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DBE" w:rsidRDefault="004E3DBE" w:rsidP="00B32E60">
      <w:pPr>
        <w:jc w:val="center"/>
        <w:rPr>
          <w:rFonts w:ascii="Lato" w:hAnsi="Lato"/>
          <w:sz w:val="22"/>
          <w:szCs w:val="22"/>
        </w:rPr>
      </w:pPr>
    </w:p>
    <w:p w:rsidR="00B32E60" w:rsidRDefault="00B32E60" w:rsidP="00B32E60">
      <w:pPr>
        <w:jc w:val="center"/>
        <w:rPr>
          <w:rFonts w:ascii="Lato" w:hAnsi="Lato"/>
          <w:sz w:val="22"/>
          <w:szCs w:val="22"/>
        </w:rPr>
      </w:pPr>
      <w:r w:rsidRPr="00FD6CAC">
        <w:rPr>
          <w:rFonts w:ascii="Lato" w:hAnsi="Lato"/>
          <w:sz w:val="22"/>
          <w:szCs w:val="22"/>
        </w:rPr>
        <w:t>June 19, 2019</w:t>
      </w:r>
    </w:p>
    <w:p w:rsidR="004E3DBE" w:rsidRDefault="004E3DBE" w:rsidP="00B32E60">
      <w:pPr>
        <w:jc w:val="center"/>
        <w:rPr>
          <w:rFonts w:ascii="Lato" w:hAnsi="Lato"/>
          <w:sz w:val="22"/>
          <w:szCs w:val="22"/>
        </w:rPr>
      </w:pPr>
    </w:p>
    <w:p w:rsidR="00FD6CAC" w:rsidRPr="00FD6CAC" w:rsidRDefault="00FD6CAC" w:rsidP="00B32E60">
      <w:pPr>
        <w:jc w:val="center"/>
        <w:rPr>
          <w:rFonts w:ascii="Lato" w:hAnsi="Lato"/>
          <w:sz w:val="22"/>
          <w:szCs w:val="22"/>
        </w:rPr>
      </w:pPr>
    </w:p>
    <w:p w:rsidR="00FD6CAC" w:rsidRDefault="00FD6CAC"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Dear Representative:</w:t>
      </w:r>
    </w:p>
    <w:p w:rsidR="00B32E60" w:rsidRPr="00FD6CAC" w:rsidRDefault="00B32E60"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Please consider Oceana’s vote recommendations for ocean-related amendments to the FY20 Commerce, Justice, Science, and Related Agencies Appropriations Act (H.R. 3055). Votes are expected later this week.</w:t>
      </w:r>
    </w:p>
    <w:p w:rsidR="00B32E60" w:rsidRPr="00FD6CAC" w:rsidRDefault="00B32E60" w:rsidP="00B32E60">
      <w:pPr>
        <w:rPr>
          <w:rFonts w:ascii="Lato" w:hAnsi="Lato"/>
          <w:sz w:val="22"/>
          <w:szCs w:val="22"/>
        </w:rPr>
      </w:pPr>
    </w:p>
    <w:p w:rsidR="00B32E60" w:rsidRPr="00FD6CAC" w:rsidRDefault="00B32E60" w:rsidP="00B32E60">
      <w:pPr>
        <w:rPr>
          <w:rFonts w:ascii="Lato" w:hAnsi="Lato"/>
          <w:b/>
          <w:sz w:val="22"/>
          <w:szCs w:val="22"/>
        </w:rPr>
      </w:pPr>
      <w:r w:rsidRPr="00FD6CAC">
        <w:rPr>
          <w:rFonts w:ascii="Lato" w:hAnsi="Lato"/>
          <w:b/>
          <w:sz w:val="22"/>
          <w:szCs w:val="22"/>
        </w:rPr>
        <w:t xml:space="preserve">Please </w:t>
      </w:r>
      <w:r w:rsidRPr="00FD6CAC">
        <w:rPr>
          <w:rFonts w:ascii="Lato" w:hAnsi="Lato"/>
          <w:b/>
          <w:sz w:val="22"/>
          <w:szCs w:val="22"/>
          <w:u w:val="single"/>
        </w:rPr>
        <w:t>support</w:t>
      </w:r>
      <w:r w:rsidRPr="00FD6CAC">
        <w:rPr>
          <w:rFonts w:ascii="Lato" w:hAnsi="Lato"/>
          <w:b/>
          <w:sz w:val="22"/>
          <w:szCs w:val="22"/>
        </w:rPr>
        <w:t xml:space="preserve"> these three amendments:</w:t>
      </w:r>
    </w:p>
    <w:p w:rsidR="00B32E60" w:rsidRPr="00FD6CAC" w:rsidRDefault="00B32E60" w:rsidP="00B32E60">
      <w:pPr>
        <w:rPr>
          <w:rFonts w:ascii="Lato" w:hAnsi="Lato"/>
          <w:sz w:val="22"/>
          <w:szCs w:val="22"/>
        </w:rPr>
      </w:pPr>
    </w:p>
    <w:p w:rsidR="00B32E60" w:rsidRPr="00FD6CAC" w:rsidRDefault="00B402CD" w:rsidP="00B32E60">
      <w:pPr>
        <w:pStyle w:val="ListParagraph"/>
        <w:numPr>
          <w:ilvl w:val="0"/>
          <w:numId w:val="3"/>
        </w:numPr>
        <w:rPr>
          <w:rFonts w:ascii="Lato" w:hAnsi="Lato"/>
          <w:b/>
          <w:sz w:val="22"/>
          <w:szCs w:val="22"/>
        </w:rPr>
      </w:pPr>
      <w:hyperlink r:id="rId7" w:history="1">
        <w:r w:rsidR="00B32E60" w:rsidRPr="00FD6CAC">
          <w:rPr>
            <w:rStyle w:val="Hyperlink"/>
            <w:rFonts w:ascii="Lato" w:hAnsi="Lato"/>
            <w:b/>
            <w:sz w:val="22"/>
            <w:szCs w:val="22"/>
          </w:rPr>
          <w:t>Huffman-Rooney-Cunningham-Carbajal amendment</w:t>
        </w:r>
      </w:hyperlink>
      <w:r w:rsidR="00B32E60" w:rsidRPr="00FD6CAC">
        <w:rPr>
          <w:rFonts w:ascii="Lato" w:hAnsi="Lato"/>
          <w:b/>
          <w:sz w:val="22"/>
          <w:szCs w:val="22"/>
        </w:rPr>
        <w:t xml:space="preserve"> #45</w:t>
      </w:r>
    </w:p>
    <w:p w:rsidR="00B32E60" w:rsidRPr="00FD6CAC" w:rsidRDefault="00B32E60" w:rsidP="00B32E60">
      <w:pPr>
        <w:pStyle w:val="ListParagraph"/>
        <w:rPr>
          <w:rFonts w:ascii="Lato" w:hAnsi="Lato"/>
          <w:i/>
          <w:sz w:val="22"/>
          <w:szCs w:val="22"/>
        </w:rPr>
      </w:pPr>
      <w:r w:rsidRPr="00FD6CAC">
        <w:rPr>
          <w:rFonts w:ascii="Lato" w:hAnsi="Lato"/>
          <w:i/>
          <w:sz w:val="22"/>
          <w:szCs w:val="22"/>
        </w:rPr>
        <w:t>#44 in the Rule (revised)</w:t>
      </w:r>
    </w:p>
    <w:p w:rsidR="00B32E60" w:rsidRPr="00FD6CAC" w:rsidRDefault="00B32E60" w:rsidP="00B32E60">
      <w:pPr>
        <w:pStyle w:val="Default"/>
        <w:rPr>
          <w:sz w:val="22"/>
          <w:szCs w:val="22"/>
        </w:rPr>
      </w:pPr>
    </w:p>
    <w:p w:rsidR="00B32E60" w:rsidRPr="00FD6CAC" w:rsidRDefault="00B32E60" w:rsidP="00B32E60">
      <w:pPr>
        <w:ind w:left="720"/>
        <w:rPr>
          <w:rFonts w:ascii="Lato" w:hAnsi="Lato"/>
          <w:sz w:val="22"/>
          <w:szCs w:val="22"/>
        </w:rPr>
      </w:pPr>
      <w:r w:rsidRPr="00FD6CAC">
        <w:rPr>
          <w:rFonts w:ascii="Lato" w:hAnsi="Lato"/>
          <w:sz w:val="22"/>
          <w:szCs w:val="22"/>
        </w:rPr>
        <w:t xml:space="preserve">The Administration has proposed making changes to the implementation of the Coastal Zone Management Act (CZMA) that could infringe on states’ ability to protect their coasts. The CZMA gives participating coastal states the opportunity to evaluate whether federal government actions—including permitting activities and plans for oil and gas leasing on the outer continental shelf—are “consistent” with their state plans for managing the coastal zone. In March, NOAA issued a notice that the agency is seeking to make the federal consistency process “more efficient across all stages of OCS oil and gas projects from leasing to development...” This appears to be an effort to dampen state’s opposition to offshore drilling, since the notice does not identify any current problems with the federal consistency process. This bipartisan funding limitation amendment would prevent NOAA from moving forward with changes to the consistency review process at this time. See </w:t>
      </w:r>
      <w:hyperlink r:id="rId8" w:history="1">
        <w:r w:rsidRPr="00FD6CAC">
          <w:rPr>
            <w:rStyle w:val="Hyperlink"/>
            <w:rFonts w:ascii="Lato" w:hAnsi="Lato"/>
            <w:sz w:val="22"/>
            <w:szCs w:val="22"/>
          </w:rPr>
          <w:t>letter from 88 organizations</w:t>
        </w:r>
      </w:hyperlink>
      <w:r w:rsidRPr="00FD6CAC">
        <w:rPr>
          <w:rFonts w:ascii="Lato" w:hAnsi="Lato"/>
          <w:sz w:val="22"/>
          <w:szCs w:val="22"/>
        </w:rPr>
        <w:t xml:space="preserve"> opposed to these potential changes.</w:t>
      </w:r>
    </w:p>
    <w:p w:rsidR="00B32E60" w:rsidRPr="00FD6CAC" w:rsidRDefault="00B32E60" w:rsidP="00B32E60">
      <w:pPr>
        <w:rPr>
          <w:rFonts w:ascii="Lato" w:hAnsi="Lato"/>
          <w:sz w:val="22"/>
          <w:szCs w:val="22"/>
        </w:rPr>
      </w:pPr>
    </w:p>
    <w:p w:rsidR="00B32E60" w:rsidRPr="00FD6CAC" w:rsidRDefault="00B402CD" w:rsidP="00B32E60">
      <w:pPr>
        <w:pStyle w:val="ListParagraph"/>
        <w:numPr>
          <w:ilvl w:val="0"/>
          <w:numId w:val="2"/>
        </w:numPr>
        <w:rPr>
          <w:rFonts w:ascii="Lato" w:hAnsi="Lato"/>
          <w:b/>
          <w:sz w:val="22"/>
          <w:szCs w:val="22"/>
        </w:rPr>
      </w:pPr>
      <w:hyperlink r:id="rId9" w:history="1">
        <w:r w:rsidR="00B32E60" w:rsidRPr="00FD6CAC">
          <w:rPr>
            <w:rStyle w:val="Hyperlink"/>
            <w:rFonts w:ascii="Lato" w:hAnsi="Lato"/>
            <w:b/>
            <w:sz w:val="22"/>
            <w:szCs w:val="22"/>
          </w:rPr>
          <w:t>Cunningham-Rooney-Rutherford amendment</w:t>
        </w:r>
      </w:hyperlink>
      <w:r w:rsidR="00B32E60" w:rsidRPr="00FD6CAC">
        <w:rPr>
          <w:rFonts w:ascii="Lato" w:hAnsi="Lato"/>
          <w:b/>
          <w:sz w:val="22"/>
          <w:szCs w:val="22"/>
        </w:rPr>
        <w:t xml:space="preserve"> #29</w:t>
      </w:r>
      <w:r w:rsidR="00B32E60" w:rsidRPr="00FD6CAC">
        <w:rPr>
          <w:rFonts w:ascii="Lato" w:hAnsi="Lato"/>
          <w:sz w:val="22"/>
          <w:szCs w:val="22"/>
        </w:rPr>
        <w:t xml:space="preserve"> </w:t>
      </w:r>
    </w:p>
    <w:p w:rsidR="00B32E60" w:rsidRPr="00FD6CAC" w:rsidRDefault="00B32E60" w:rsidP="00B32E60">
      <w:pPr>
        <w:pStyle w:val="ListParagraph"/>
        <w:rPr>
          <w:rFonts w:ascii="Lato" w:hAnsi="Lato"/>
          <w:i/>
          <w:sz w:val="22"/>
          <w:szCs w:val="22"/>
        </w:rPr>
      </w:pPr>
      <w:r w:rsidRPr="00FD6CAC">
        <w:rPr>
          <w:rFonts w:ascii="Lato" w:hAnsi="Lato"/>
          <w:i/>
          <w:sz w:val="22"/>
          <w:szCs w:val="22"/>
        </w:rPr>
        <w:t>#54 in the Rule (revised)</w:t>
      </w:r>
    </w:p>
    <w:p w:rsidR="00B32E60" w:rsidRPr="00FD6CAC" w:rsidRDefault="00B32E60" w:rsidP="00B32E60">
      <w:pPr>
        <w:rPr>
          <w:rFonts w:ascii="Lato" w:hAnsi="Lato"/>
          <w:sz w:val="22"/>
          <w:szCs w:val="22"/>
        </w:rPr>
      </w:pPr>
    </w:p>
    <w:p w:rsidR="00B32E60" w:rsidRPr="00FD6CAC" w:rsidRDefault="00B32E60" w:rsidP="00B32E60">
      <w:pPr>
        <w:ind w:left="720"/>
        <w:rPr>
          <w:rFonts w:ascii="Lato" w:hAnsi="Lato"/>
          <w:sz w:val="22"/>
          <w:szCs w:val="22"/>
        </w:rPr>
      </w:pPr>
      <w:r w:rsidRPr="00FD6CAC">
        <w:rPr>
          <w:rFonts w:ascii="Lato" w:hAnsi="Lato"/>
          <w:sz w:val="22"/>
          <w:szCs w:val="22"/>
        </w:rPr>
        <w:t xml:space="preserve">This funding limitation amendment would block harmful seismic </w:t>
      </w:r>
      <w:proofErr w:type="spellStart"/>
      <w:r w:rsidRPr="00FD6CAC">
        <w:rPr>
          <w:rFonts w:ascii="Lato" w:hAnsi="Lato"/>
          <w:sz w:val="22"/>
          <w:szCs w:val="22"/>
        </w:rPr>
        <w:t>airgun</w:t>
      </w:r>
      <w:proofErr w:type="spellEnd"/>
      <w:r w:rsidRPr="00FD6CAC">
        <w:rPr>
          <w:rFonts w:ascii="Lato" w:hAnsi="Lato"/>
          <w:sz w:val="22"/>
          <w:szCs w:val="22"/>
        </w:rPr>
        <w:t xml:space="preserve"> blasting for oil and gas exploration in the Atlantic Ocean--the first step toward drilling for oil off the Atlantic coast. The amendment would prevent the </w:t>
      </w:r>
      <w:r w:rsidRPr="00FD6CAC">
        <w:rPr>
          <w:rFonts w:ascii="Lato" w:eastAsia="Times New Roman" w:hAnsi="Lato"/>
          <w:sz w:val="22"/>
          <w:szCs w:val="22"/>
        </w:rPr>
        <w:t xml:space="preserve">National Oceanic and Atmospheric Administration (NOAA) </w:t>
      </w:r>
      <w:r w:rsidRPr="00FD6CAC">
        <w:rPr>
          <w:rFonts w:ascii="Lato" w:hAnsi="Lato"/>
          <w:sz w:val="22"/>
          <w:szCs w:val="22"/>
        </w:rPr>
        <w:t xml:space="preserve">from issuing authorizations to geological and geophysical companies to harass or harm marine mammals while searching for undersea deposits of oil and gas. Scientific studies have documented that seismic </w:t>
      </w:r>
      <w:proofErr w:type="spellStart"/>
      <w:r w:rsidRPr="00FD6CAC">
        <w:rPr>
          <w:rFonts w:ascii="Lato" w:hAnsi="Lato"/>
          <w:sz w:val="22"/>
          <w:szCs w:val="22"/>
        </w:rPr>
        <w:t>airgun</w:t>
      </w:r>
      <w:proofErr w:type="spellEnd"/>
      <w:r w:rsidRPr="00FD6CAC">
        <w:rPr>
          <w:rFonts w:ascii="Lato" w:hAnsi="Lato"/>
          <w:sz w:val="22"/>
          <w:szCs w:val="22"/>
        </w:rPr>
        <w:t xml:space="preserve"> blasting is harmful to a wide range of ocean wildlife, including fish, sea turtles, shellfish, zooplankton, whales, and dolphins. More information on this issue is available </w:t>
      </w:r>
      <w:hyperlink r:id="rId10" w:history="1">
        <w:r w:rsidRPr="00FD6CAC">
          <w:rPr>
            <w:rStyle w:val="Hyperlink"/>
            <w:rFonts w:ascii="Lato" w:hAnsi="Lato"/>
            <w:sz w:val="22"/>
            <w:szCs w:val="22"/>
          </w:rPr>
          <w:t>here</w:t>
        </w:r>
      </w:hyperlink>
      <w:r w:rsidRPr="00FD6CAC">
        <w:rPr>
          <w:rFonts w:ascii="Lato" w:hAnsi="Lato"/>
          <w:sz w:val="22"/>
          <w:szCs w:val="22"/>
        </w:rPr>
        <w:t xml:space="preserve">. </w:t>
      </w:r>
    </w:p>
    <w:p w:rsidR="00B32E60" w:rsidRPr="00FD6CAC" w:rsidRDefault="00B32E60" w:rsidP="00B32E60">
      <w:pPr>
        <w:rPr>
          <w:rFonts w:ascii="Lato" w:hAnsi="Lato"/>
          <w:sz w:val="22"/>
          <w:szCs w:val="22"/>
        </w:rPr>
      </w:pPr>
    </w:p>
    <w:p w:rsidR="00B32E60" w:rsidRPr="00FD6CAC" w:rsidRDefault="00B32E60" w:rsidP="00B32E60">
      <w:pPr>
        <w:ind w:left="720"/>
        <w:rPr>
          <w:rFonts w:ascii="Lato" w:hAnsi="Lato"/>
          <w:sz w:val="22"/>
          <w:szCs w:val="22"/>
        </w:rPr>
      </w:pPr>
      <w:r w:rsidRPr="00FD6CAC">
        <w:rPr>
          <w:rFonts w:ascii="Lato" w:hAnsi="Lato"/>
          <w:sz w:val="22"/>
          <w:szCs w:val="22"/>
        </w:rPr>
        <w:t xml:space="preserve">This bipartisan amendment is cosponsored by Representatives Rooney (FL), Rutherford (FL), Fitzpatrick (PA), Mast (FL), Huffman (CA), </w:t>
      </w:r>
      <w:proofErr w:type="spellStart"/>
      <w:r w:rsidRPr="00FD6CAC">
        <w:rPr>
          <w:rFonts w:ascii="Lato" w:hAnsi="Lato"/>
          <w:sz w:val="22"/>
          <w:szCs w:val="22"/>
        </w:rPr>
        <w:t>McEachin</w:t>
      </w:r>
      <w:proofErr w:type="spellEnd"/>
      <w:r w:rsidRPr="00FD6CAC">
        <w:rPr>
          <w:rFonts w:ascii="Lato" w:hAnsi="Lato"/>
          <w:sz w:val="22"/>
          <w:szCs w:val="22"/>
        </w:rPr>
        <w:t xml:space="preserve"> (VA), Lowenthal (CA), Blumenauer (OR), Wasserman Schultz (FL), Van Drew (NJ), Beyer (VA), Pappas (NH), Soto (FL), Pallone (NJ), Crist (FL), and Clyburn (SC).</w:t>
      </w:r>
    </w:p>
    <w:p w:rsidR="00B32E60" w:rsidRPr="00FD6CAC" w:rsidRDefault="00B32E60" w:rsidP="00B32E60">
      <w:pPr>
        <w:rPr>
          <w:rFonts w:ascii="Lato" w:hAnsi="Lato"/>
          <w:sz w:val="22"/>
          <w:szCs w:val="22"/>
        </w:rPr>
      </w:pPr>
    </w:p>
    <w:p w:rsidR="00B32E60" w:rsidRPr="00FD6CAC" w:rsidRDefault="00B402CD" w:rsidP="00B32E60">
      <w:pPr>
        <w:numPr>
          <w:ilvl w:val="0"/>
          <w:numId w:val="3"/>
        </w:numPr>
        <w:rPr>
          <w:rFonts w:ascii="Lato" w:eastAsia="Times New Roman" w:hAnsi="Lato"/>
          <w:sz w:val="22"/>
          <w:szCs w:val="22"/>
        </w:rPr>
      </w:pPr>
      <w:hyperlink r:id="rId11" w:history="1">
        <w:r w:rsidR="00B32E60" w:rsidRPr="00FD6CAC">
          <w:rPr>
            <w:rStyle w:val="Hyperlink"/>
            <w:rFonts w:ascii="Lato" w:eastAsia="Times New Roman" w:hAnsi="Lato"/>
            <w:b/>
            <w:bCs/>
            <w:sz w:val="22"/>
            <w:szCs w:val="22"/>
          </w:rPr>
          <w:t>Moulton amendment</w:t>
        </w:r>
      </w:hyperlink>
      <w:r w:rsidR="00B32E60" w:rsidRPr="00FD6CAC">
        <w:rPr>
          <w:rFonts w:ascii="Lato" w:eastAsia="Times New Roman" w:hAnsi="Lato"/>
          <w:b/>
          <w:bCs/>
          <w:sz w:val="22"/>
          <w:szCs w:val="22"/>
        </w:rPr>
        <w:t xml:space="preserve"> #111</w:t>
      </w:r>
    </w:p>
    <w:p w:rsidR="00B32E60" w:rsidRPr="00FD6CAC" w:rsidRDefault="00B32E60" w:rsidP="00B32E60">
      <w:pPr>
        <w:pStyle w:val="ListParagraph"/>
        <w:rPr>
          <w:rFonts w:ascii="Lato" w:eastAsia="Times New Roman" w:hAnsi="Lato"/>
          <w:bCs/>
          <w:sz w:val="22"/>
          <w:szCs w:val="22"/>
        </w:rPr>
      </w:pPr>
      <w:r w:rsidRPr="00FD6CAC">
        <w:rPr>
          <w:rFonts w:ascii="Lato" w:eastAsia="Times New Roman" w:hAnsi="Lato"/>
          <w:bCs/>
          <w:sz w:val="22"/>
          <w:szCs w:val="22"/>
        </w:rPr>
        <w:t>#58 in the Rule (revised)</w:t>
      </w:r>
    </w:p>
    <w:p w:rsidR="00B32E60" w:rsidRPr="00FD6CAC" w:rsidRDefault="00B32E60" w:rsidP="00B32E60">
      <w:pPr>
        <w:pStyle w:val="ListParagraph"/>
        <w:rPr>
          <w:rFonts w:ascii="Lato" w:eastAsia="Times New Roman" w:hAnsi="Lato"/>
          <w:sz w:val="22"/>
          <w:szCs w:val="22"/>
        </w:rPr>
      </w:pPr>
    </w:p>
    <w:p w:rsidR="00B32E60" w:rsidRPr="00FD6CAC" w:rsidRDefault="00B32E60" w:rsidP="00B32E60">
      <w:pPr>
        <w:ind w:left="720"/>
        <w:rPr>
          <w:rFonts w:ascii="Lato" w:eastAsia="Times New Roman" w:hAnsi="Lato"/>
          <w:sz w:val="22"/>
          <w:szCs w:val="22"/>
        </w:rPr>
      </w:pPr>
      <w:r w:rsidRPr="00FD6CAC">
        <w:rPr>
          <w:rFonts w:ascii="Lato" w:eastAsia="Times New Roman" w:hAnsi="Lato"/>
          <w:sz w:val="22"/>
          <w:szCs w:val="22"/>
        </w:rPr>
        <w:t xml:space="preserve">This amendment increases funding for the National Oceanic and Atmospheric Administration (NOAA) by $1.5M for research to conserve the highly endangered North Atlantic right whale. The North Atlantic right whale is critically endangered, with approximately 400 left on earth, and could become effectively extinct in the next few decades if we do not </w:t>
      </w:r>
      <w:proofErr w:type="gramStart"/>
      <w:r w:rsidRPr="00FD6CAC">
        <w:rPr>
          <w:rFonts w:ascii="Lato" w:eastAsia="Times New Roman" w:hAnsi="Lato"/>
          <w:sz w:val="22"/>
          <w:szCs w:val="22"/>
        </w:rPr>
        <w:t>take action</w:t>
      </w:r>
      <w:proofErr w:type="gramEnd"/>
      <w:r w:rsidRPr="00FD6CAC">
        <w:rPr>
          <w:rFonts w:ascii="Lato" w:eastAsia="Times New Roman" w:hAnsi="Lato"/>
          <w:sz w:val="22"/>
          <w:szCs w:val="22"/>
        </w:rPr>
        <w:t>. Currently, the two greatest threats to the whale’s survival are ship strikes and entanglement in fishing gear. Rep. Moulton’s amendment provides a much-needed additional source of federal investment to help reduce these threats facing this iconic American whale.</w:t>
      </w:r>
    </w:p>
    <w:p w:rsidR="00B32E60" w:rsidRPr="00FD6CAC" w:rsidRDefault="00B32E60" w:rsidP="00B32E60">
      <w:pPr>
        <w:rPr>
          <w:rFonts w:ascii="Lato" w:hAnsi="Lato"/>
          <w:sz w:val="22"/>
          <w:szCs w:val="22"/>
        </w:rPr>
      </w:pPr>
    </w:p>
    <w:p w:rsidR="00B32E60" w:rsidRPr="00FD6CAC" w:rsidRDefault="00B32E60" w:rsidP="00B32E60">
      <w:pPr>
        <w:rPr>
          <w:rFonts w:ascii="Lato" w:hAnsi="Lato"/>
          <w:b/>
          <w:sz w:val="22"/>
          <w:szCs w:val="22"/>
        </w:rPr>
      </w:pPr>
      <w:r w:rsidRPr="00FD6CAC">
        <w:rPr>
          <w:rFonts w:ascii="Lato" w:hAnsi="Lato"/>
          <w:b/>
          <w:sz w:val="22"/>
          <w:szCs w:val="22"/>
        </w:rPr>
        <w:t xml:space="preserve">Please </w:t>
      </w:r>
      <w:r w:rsidRPr="00FD6CAC">
        <w:rPr>
          <w:rFonts w:ascii="Lato" w:hAnsi="Lato"/>
          <w:b/>
          <w:sz w:val="22"/>
          <w:szCs w:val="22"/>
          <w:u w:val="single"/>
        </w:rPr>
        <w:t>oppose</w:t>
      </w:r>
      <w:r w:rsidRPr="00FD6CAC">
        <w:rPr>
          <w:rFonts w:ascii="Lato" w:hAnsi="Lato"/>
          <w:b/>
          <w:sz w:val="22"/>
          <w:szCs w:val="22"/>
        </w:rPr>
        <w:t xml:space="preserve"> this amendment:</w:t>
      </w:r>
    </w:p>
    <w:p w:rsidR="00B32E60" w:rsidRPr="00FD6CAC" w:rsidRDefault="00B32E60" w:rsidP="00B32E60">
      <w:pPr>
        <w:rPr>
          <w:rFonts w:ascii="Lato" w:hAnsi="Lato"/>
          <w:sz w:val="22"/>
          <w:szCs w:val="22"/>
        </w:rPr>
      </w:pPr>
    </w:p>
    <w:p w:rsidR="00B32E60" w:rsidRPr="00FD6CAC" w:rsidRDefault="00B402CD" w:rsidP="00B32E60">
      <w:pPr>
        <w:numPr>
          <w:ilvl w:val="0"/>
          <w:numId w:val="3"/>
        </w:numPr>
        <w:rPr>
          <w:rFonts w:ascii="Lato" w:eastAsia="Times New Roman" w:hAnsi="Lato"/>
          <w:sz w:val="22"/>
          <w:szCs w:val="22"/>
        </w:rPr>
      </w:pPr>
      <w:hyperlink r:id="rId12" w:history="1">
        <w:r w:rsidR="00B32E60" w:rsidRPr="00FD6CAC">
          <w:rPr>
            <w:rStyle w:val="Hyperlink"/>
            <w:rFonts w:ascii="Lato" w:eastAsia="Times New Roman" w:hAnsi="Lato"/>
            <w:b/>
            <w:bCs/>
            <w:sz w:val="22"/>
            <w:szCs w:val="22"/>
          </w:rPr>
          <w:t>Golden-Pingree amendment</w:t>
        </w:r>
      </w:hyperlink>
      <w:r w:rsidR="00B32E60" w:rsidRPr="00FD6CAC">
        <w:rPr>
          <w:rFonts w:ascii="Lato" w:eastAsia="Times New Roman" w:hAnsi="Lato"/>
          <w:b/>
          <w:bCs/>
          <w:sz w:val="22"/>
          <w:szCs w:val="22"/>
        </w:rPr>
        <w:t xml:space="preserve"> #103 </w:t>
      </w:r>
    </w:p>
    <w:p w:rsidR="00B32E60" w:rsidRPr="00FD6CAC" w:rsidRDefault="00B32E60" w:rsidP="00B32E60">
      <w:pPr>
        <w:ind w:left="720"/>
        <w:rPr>
          <w:rFonts w:ascii="Lato" w:eastAsia="Times New Roman" w:hAnsi="Lato"/>
          <w:sz w:val="22"/>
          <w:szCs w:val="22"/>
        </w:rPr>
      </w:pPr>
      <w:r w:rsidRPr="00FD6CAC">
        <w:rPr>
          <w:rFonts w:ascii="Lato" w:eastAsia="Times New Roman" w:hAnsi="Lato"/>
          <w:bCs/>
          <w:sz w:val="22"/>
          <w:szCs w:val="22"/>
        </w:rPr>
        <w:t>#70 in the Rule (revised)</w:t>
      </w:r>
      <w:r w:rsidRPr="00FD6CAC">
        <w:rPr>
          <w:rFonts w:ascii="Lato" w:eastAsia="Times New Roman" w:hAnsi="Lato"/>
          <w:sz w:val="22"/>
          <w:szCs w:val="22"/>
        </w:rPr>
        <w:t xml:space="preserve"> </w:t>
      </w:r>
    </w:p>
    <w:p w:rsidR="00B32E60" w:rsidRPr="00FD6CAC" w:rsidRDefault="00B32E60" w:rsidP="00B32E60">
      <w:pPr>
        <w:ind w:left="720"/>
        <w:rPr>
          <w:rFonts w:ascii="Lato" w:eastAsia="Times New Roman" w:hAnsi="Lato"/>
          <w:sz w:val="22"/>
          <w:szCs w:val="22"/>
        </w:rPr>
      </w:pPr>
    </w:p>
    <w:p w:rsidR="00B32E60" w:rsidRPr="00FD6CAC" w:rsidRDefault="00B32E60" w:rsidP="00B32E60">
      <w:pPr>
        <w:ind w:left="720"/>
        <w:rPr>
          <w:rFonts w:ascii="Lato" w:eastAsia="Times New Roman" w:hAnsi="Lato"/>
          <w:sz w:val="22"/>
          <w:szCs w:val="22"/>
        </w:rPr>
      </w:pPr>
      <w:r w:rsidRPr="00FD6CAC">
        <w:rPr>
          <w:rFonts w:ascii="Lato" w:eastAsia="Times New Roman" w:hAnsi="Lato"/>
          <w:sz w:val="22"/>
          <w:szCs w:val="22"/>
        </w:rPr>
        <w:t>This funding limitation amendment prohibits NOAA from using a science-based model to help reduce risks to the North Atlantic right whale. This restriction would severely hinder NOAA’s ability to implement recent consensus recommendations to protect the North Atlantic right whale at a time when action to save these animals is desperately needed. This amendment essentially represents an end run around a Congressionally-mandated, stakeholder-driven process for recovering this critically endangered species. See attached opposition letter from more than 40 organizations.</w:t>
      </w:r>
    </w:p>
    <w:p w:rsidR="00B32E60" w:rsidRPr="00FD6CAC" w:rsidRDefault="00B32E60"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If you would like more information on these topics, please contact these Oceana staff:</w:t>
      </w:r>
    </w:p>
    <w:p w:rsidR="00B32E60" w:rsidRPr="00FD6CAC" w:rsidRDefault="00B32E60"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Michael Messmer, Ocean Advocate – energy</w:t>
      </w:r>
    </w:p>
    <w:p w:rsidR="00B32E60" w:rsidRPr="00FD6CAC" w:rsidRDefault="00B402CD" w:rsidP="00B32E60">
      <w:pPr>
        <w:rPr>
          <w:rFonts w:ascii="Lato" w:hAnsi="Lato"/>
          <w:sz w:val="22"/>
          <w:szCs w:val="22"/>
        </w:rPr>
      </w:pPr>
      <w:hyperlink r:id="rId13" w:history="1">
        <w:r w:rsidR="00B32E60" w:rsidRPr="00FD6CAC">
          <w:rPr>
            <w:rStyle w:val="Hyperlink"/>
            <w:rFonts w:ascii="Lato" w:hAnsi="Lato"/>
            <w:sz w:val="22"/>
            <w:szCs w:val="22"/>
          </w:rPr>
          <w:t>mmessmer@ocean.org</w:t>
        </w:r>
      </w:hyperlink>
    </w:p>
    <w:p w:rsidR="00B32E60" w:rsidRPr="00FD6CAC" w:rsidRDefault="00B32E60" w:rsidP="00B32E60">
      <w:pPr>
        <w:rPr>
          <w:rFonts w:ascii="Lato" w:hAnsi="Lato"/>
          <w:color w:val="212121"/>
          <w:sz w:val="22"/>
          <w:szCs w:val="22"/>
          <w:lang w:val="fr-FR"/>
        </w:rPr>
      </w:pPr>
      <w:r w:rsidRPr="00FD6CAC">
        <w:rPr>
          <w:rFonts w:ascii="Lato" w:hAnsi="Lato"/>
          <w:b/>
          <w:bCs/>
          <w:color w:val="163E7C"/>
          <w:sz w:val="22"/>
          <w:szCs w:val="22"/>
          <w:lang w:val="fr-FR"/>
        </w:rPr>
        <w:t>D</w:t>
      </w:r>
      <w:r w:rsidRPr="00FD6CAC">
        <w:rPr>
          <w:rFonts w:ascii="Lato" w:hAnsi="Lato"/>
          <w:color w:val="17376A"/>
          <w:sz w:val="22"/>
          <w:szCs w:val="22"/>
          <w:lang w:val="fr-FR"/>
        </w:rPr>
        <w:t> </w:t>
      </w:r>
      <w:r w:rsidRPr="00FD6CAC">
        <w:rPr>
          <w:rFonts w:ascii="Lato" w:hAnsi="Lato"/>
          <w:color w:val="000000"/>
          <w:sz w:val="22"/>
          <w:szCs w:val="22"/>
          <w:lang w:val="fr-FR"/>
        </w:rPr>
        <w:t>202.467.1957 |</w:t>
      </w:r>
      <w:r w:rsidRPr="00FD6CAC">
        <w:rPr>
          <w:rFonts w:ascii="Lato" w:hAnsi="Lato"/>
          <w:color w:val="17376A"/>
          <w:sz w:val="22"/>
          <w:szCs w:val="22"/>
          <w:lang w:val="fr-FR"/>
        </w:rPr>
        <w:t> </w:t>
      </w:r>
      <w:r w:rsidRPr="00FD6CAC">
        <w:rPr>
          <w:rFonts w:ascii="Lato" w:hAnsi="Lato"/>
          <w:b/>
          <w:bCs/>
          <w:color w:val="163E7C"/>
          <w:sz w:val="22"/>
          <w:szCs w:val="22"/>
          <w:lang w:val="fr-FR"/>
        </w:rPr>
        <w:t>M </w:t>
      </w:r>
      <w:r w:rsidRPr="00FD6CAC">
        <w:rPr>
          <w:rFonts w:ascii="Lato" w:hAnsi="Lato"/>
          <w:color w:val="000000"/>
          <w:sz w:val="22"/>
          <w:szCs w:val="22"/>
          <w:lang w:val="fr-FR"/>
        </w:rPr>
        <w:t>202.286.0667</w:t>
      </w:r>
    </w:p>
    <w:p w:rsidR="00B32E60" w:rsidRPr="00FD6CAC" w:rsidRDefault="00B32E60"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Ariana Spawn, Ocean Advocate – fisheries/whales</w:t>
      </w:r>
    </w:p>
    <w:p w:rsidR="00B32E60" w:rsidRPr="00FD6CAC" w:rsidRDefault="00B402CD" w:rsidP="00B32E60">
      <w:pPr>
        <w:rPr>
          <w:rFonts w:ascii="Lato" w:hAnsi="Lato"/>
          <w:sz w:val="22"/>
          <w:szCs w:val="22"/>
        </w:rPr>
      </w:pPr>
      <w:hyperlink r:id="rId14" w:history="1">
        <w:r w:rsidR="00B32E60" w:rsidRPr="00FD6CAC">
          <w:rPr>
            <w:rStyle w:val="Hyperlink"/>
            <w:rFonts w:ascii="Lato" w:hAnsi="Lato"/>
            <w:sz w:val="22"/>
            <w:szCs w:val="22"/>
          </w:rPr>
          <w:t>aspawn@oceana.org</w:t>
        </w:r>
      </w:hyperlink>
      <w:r w:rsidR="00B32E60" w:rsidRPr="00FD6CAC">
        <w:rPr>
          <w:rFonts w:ascii="Lato" w:hAnsi="Lato"/>
          <w:sz w:val="22"/>
          <w:szCs w:val="22"/>
        </w:rPr>
        <w:t xml:space="preserve"> </w:t>
      </w:r>
    </w:p>
    <w:p w:rsidR="00B32E60" w:rsidRPr="00FD6CAC" w:rsidRDefault="00B32E60" w:rsidP="00B32E60">
      <w:pPr>
        <w:rPr>
          <w:rFonts w:ascii="Lato" w:hAnsi="Lato"/>
          <w:sz w:val="22"/>
          <w:szCs w:val="22"/>
          <w:lang w:val="en"/>
        </w:rPr>
      </w:pPr>
      <w:r w:rsidRPr="00FD6CAC">
        <w:rPr>
          <w:rFonts w:ascii="Lato" w:hAnsi="Lato"/>
          <w:b/>
          <w:bCs/>
          <w:color w:val="163E7C"/>
          <w:sz w:val="22"/>
          <w:szCs w:val="22"/>
          <w:lang w:val="en"/>
        </w:rPr>
        <w:t>D</w:t>
      </w:r>
      <w:r w:rsidRPr="00FD6CAC">
        <w:rPr>
          <w:rFonts w:ascii="Lato" w:hAnsi="Lato"/>
          <w:color w:val="17376A"/>
          <w:sz w:val="22"/>
          <w:szCs w:val="22"/>
          <w:lang w:val="en"/>
        </w:rPr>
        <w:t> </w:t>
      </w:r>
      <w:r w:rsidRPr="00FD6CAC">
        <w:rPr>
          <w:rFonts w:ascii="Lato" w:hAnsi="Lato"/>
          <w:sz w:val="22"/>
          <w:szCs w:val="22"/>
          <w:lang w:val="en"/>
        </w:rPr>
        <w:t>202.467.1918</w:t>
      </w:r>
      <w:r w:rsidRPr="00FD6CAC">
        <w:rPr>
          <w:rFonts w:ascii="Lato" w:hAnsi="Lato"/>
          <w:color w:val="000000"/>
          <w:sz w:val="22"/>
          <w:szCs w:val="22"/>
          <w:lang w:val="en"/>
        </w:rPr>
        <w:t> |</w:t>
      </w:r>
      <w:r w:rsidRPr="00FD6CAC">
        <w:rPr>
          <w:rFonts w:ascii="Lato" w:hAnsi="Lato"/>
          <w:color w:val="17376A"/>
          <w:sz w:val="22"/>
          <w:szCs w:val="22"/>
          <w:lang w:val="en"/>
        </w:rPr>
        <w:t> </w:t>
      </w:r>
      <w:r w:rsidRPr="00FD6CAC">
        <w:rPr>
          <w:rFonts w:ascii="Lato" w:hAnsi="Lato"/>
          <w:b/>
          <w:bCs/>
          <w:color w:val="17376A"/>
          <w:sz w:val="22"/>
          <w:szCs w:val="22"/>
          <w:lang w:val="en"/>
        </w:rPr>
        <w:t xml:space="preserve">C </w:t>
      </w:r>
      <w:r w:rsidRPr="00FD6CAC">
        <w:rPr>
          <w:rFonts w:ascii="Lato" w:hAnsi="Lato"/>
          <w:sz w:val="22"/>
          <w:szCs w:val="22"/>
          <w:lang w:val="en"/>
        </w:rPr>
        <w:t>202.629.6737</w:t>
      </w:r>
    </w:p>
    <w:p w:rsidR="00B32E60" w:rsidRPr="00FD6CAC" w:rsidRDefault="00B32E60" w:rsidP="00B32E60">
      <w:pPr>
        <w:rPr>
          <w:rFonts w:ascii="Lato" w:hAnsi="Lato"/>
          <w:sz w:val="22"/>
          <w:szCs w:val="22"/>
        </w:rPr>
      </w:pPr>
    </w:p>
    <w:p w:rsidR="00B32E60" w:rsidRPr="00FD6CAC" w:rsidRDefault="00B32E60" w:rsidP="00B32E60">
      <w:pPr>
        <w:rPr>
          <w:rFonts w:ascii="Lato" w:hAnsi="Lato"/>
          <w:sz w:val="22"/>
          <w:szCs w:val="22"/>
        </w:rPr>
      </w:pPr>
      <w:r w:rsidRPr="00FD6CAC">
        <w:rPr>
          <w:rFonts w:ascii="Lato" w:hAnsi="Lato"/>
          <w:sz w:val="22"/>
          <w:szCs w:val="22"/>
        </w:rPr>
        <w:t>Lara Levison, Senior Director, Federal Policy</w:t>
      </w:r>
    </w:p>
    <w:p w:rsidR="00B32E60" w:rsidRPr="00FD6CAC" w:rsidRDefault="00B402CD" w:rsidP="00B32E60">
      <w:pPr>
        <w:rPr>
          <w:rFonts w:ascii="Lato" w:hAnsi="Lato"/>
          <w:sz w:val="22"/>
          <w:szCs w:val="22"/>
        </w:rPr>
      </w:pPr>
      <w:hyperlink r:id="rId15" w:history="1">
        <w:r w:rsidR="00B32E60" w:rsidRPr="00FD6CAC">
          <w:rPr>
            <w:rStyle w:val="Hyperlink"/>
            <w:rFonts w:ascii="Lato" w:hAnsi="Lato"/>
            <w:sz w:val="22"/>
            <w:szCs w:val="22"/>
          </w:rPr>
          <w:t>llevison@oceana.org</w:t>
        </w:r>
      </w:hyperlink>
    </w:p>
    <w:p w:rsidR="00B32E60" w:rsidRPr="00FD6CAC" w:rsidRDefault="00B32E60" w:rsidP="00B32E60">
      <w:pPr>
        <w:rPr>
          <w:rFonts w:ascii="Lato" w:hAnsi="Lato"/>
          <w:sz w:val="22"/>
          <w:szCs w:val="22"/>
        </w:rPr>
      </w:pPr>
      <w:r w:rsidRPr="00FD6CAC">
        <w:rPr>
          <w:rFonts w:ascii="Lato" w:eastAsia="Calibri" w:hAnsi="Lato" w:cs="Arial"/>
          <w:b/>
          <w:bCs/>
          <w:noProof/>
          <w:color w:val="000080"/>
          <w:sz w:val="22"/>
          <w:szCs w:val="22"/>
        </w:rPr>
        <w:t>D</w:t>
      </w:r>
      <w:r w:rsidRPr="00FD6CAC">
        <w:rPr>
          <w:rFonts w:ascii="Lato" w:eastAsia="Calibri" w:hAnsi="Lato" w:cs="Arial"/>
          <w:noProof/>
          <w:color w:val="000080"/>
          <w:sz w:val="22"/>
          <w:szCs w:val="22"/>
        </w:rPr>
        <w:t xml:space="preserve"> </w:t>
      </w:r>
      <w:r w:rsidRPr="00FD6CAC">
        <w:rPr>
          <w:rFonts w:ascii="Lato" w:eastAsia="Calibri" w:hAnsi="Lato" w:cs="Arial"/>
          <w:noProof/>
          <w:color w:val="000000"/>
          <w:sz w:val="22"/>
          <w:szCs w:val="22"/>
        </w:rPr>
        <w:t xml:space="preserve">202.467.1945 </w:t>
      </w:r>
      <w:r w:rsidRPr="00FD6CAC">
        <w:rPr>
          <w:rFonts w:ascii="Lato" w:eastAsia="Calibri" w:hAnsi="Lato" w:cs="Arial"/>
          <w:b/>
          <w:bCs/>
          <w:noProof/>
          <w:color w:val="000080"/>
          <w:sz w:val="22"/>
          <w:szCs w:val="22"/>
        </w:rPr>
        <w:t>C</w:t>
      </w:r>
      <w:r w:rsidRPr="00FD6CAC">
        <w:rPr>
          <w:rFonts w:ascii="Lato" w:eastAsia="Calibri" w:hAnsi="Lato" w:cs="Arial"/>
          <w:noProof/>
          <w:color w:val="000066"/>
          <w:sz w:val="22"/>
          <w:szCs w:val="22"/>
        </w:rPr>
        <w:t xml:space="preserve"> </w:t>
      </w:r>
      <w:r w:rsidRPr="00FD6CAC">
        <w:rPr>
          <w:rFonts w:ascii="Lato" w:eastAsia="Calibri" w:hAnsi="Lato" w:cs="Arial"/>
          <w:noProof/>
          <w:color w:val="000000"/>
          <w:sz w:val="22"/>
          <w:szCs w:val="22"/>
        </w:rPr>
        <w:t>202.422.9049</w:t>
      </w:r>
    </w:p>
    <w:p w:rsidR="00391083" w:rsidRPr="00FD6CAC" w:rsidRDefault="00391083" w:rsidP="002506B8">
      <w:pPr>
        <w:widowControl w:val="0"/>
        <w:autoSpaceDE w:val="0"/>
        <w:autoSpaceDN w:val="0"/>
        <w:adjustRightInd w:val="0"/>
        <w:spacing w:after="240"/>
        <w:rPr>
          <w:rFonts w:ascii="Lato" w:hAnsi="Lato" w:cs="Lato Black"/>
          <w:b/>
          <w:bCs/>
          <w:sz w:val="22"/>
          <w:szCs w:val="22"/>
        </w:rPr>
      </w:pPr>
    </w:p>
    <w:sectPr w:rsidR="00391083" w:rsidRPr="00FD6CAC" w:rsidSect="00197408">
      <w:headerReference w:type="first" r:id="rId16"/>
      <w:footerReference w:type="first" r:id="rId17"/>
      <w:pgSz w:w="12240" w:h="15840"/>
      <w:pgMar w:top="1440" w:right="1440" w:bottom="1440" w:left="1440" w:header="446" w:footer="6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2CD" w:rsidRDefault="00B402CD" w:rsidP="00944C8E">
      <w:r>
        <w:separator/>
      </w:r>
    </w:p>
  </w:endnote>
  <w:endnote w:type="continuationSeparator" w:id="0">
    <w:p w:rsidR="00B402CD" w:rsidRDefault="00B402CD" w:rsidP="0094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ato">
    <w:altName w:val="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Black">
    <w:panose1 w:val="020F0A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6B8" w:rsidRDefault="002506B8">
    <w:pPr>
      <w:pStyle w:val="Footer"/>
    </w:pPr>
    <w:r>
      <w:rPr>
        <w:noProof/>
      </w:rPr>
      <w:drawing>
        <wp:anchor distT="0" distB="0" distL="114300" distR="114300" simplePos="0" relativeHeight="251660288" behindDoc="0" locked="0" layoutInCell="1" allowOverlap="1" wp14:anchorId="17A23884" wp14:editId="454BAF27">
          <wp:simplePos x="0" y="0"/>
          <wp:positionH relativeFrom="margin">
            <wp:posOffset>-1143000</wp:posOffset>
          </wp:positionH>
          <wp:positionV relativeFrom="paragraph">
            <wp:posOffset>-454660</wp:posOffset>
          </wp:positionV>
          <wp:extent cx="7772400" cy="10661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Image.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66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2CD" w:rsidRDefault="00B402CD" w:rsidP="00944C8E">
      <w:r>
        <w:separator/>
      </w:r>
    </w:p>
  </w:footnote>
  <w:footnote w:type="continuationSeparator" w:id="0">
    <w:p w:rsidR="00B402CD" w:rsidRDefault="00B402CD" w:rsidP="0094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8D" w:rsidRDefault="002506B8">
    <w:pPr>
      <w:pStyle w:val="Header"/>
    </w:pPr>
    <w:r>
      <w:rPr>
        <w:noProof/>
      </w:rPr>
      <w:drawing>
        <wp:anchor distT="0" distB="0" distL="114300" distR="114300" simplePos="0" relativeHeight="251658240" behindDoc="0" locked="1" layoutInCell="1" allowOverlap="1" wp14:anchorId="13E7175F" wp14:editId="30057762">
          <wp:simplePos x="0" y="0"/>
          <wp:positionH relativeFrom="column">
            <wp:posOffset>-635000</wp:posOffset>
          </wp:positionH>
          <wp:positionV relativeFrom="paragraph">
            <wp:posOffset>231775</wp:posOffset>
          </wp:positionV>
          <wp:extent cx="6412230" cy="11315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Image.pdf"/>
                  <pic:cNvPicPr/>
                </pic:nvPicPr>
                <pic:blipFill>
                  <a:blip r:embed="rId1">
                    <a:extLst>
                      <a:ext uri="{28A0092B-C50C-407E-A947-70E740481C1C}">
                        <a14:useLocalDpi xmlns:a14="http://schemas.microsoft.com/office/drawing/2010/main" val="0"/>
                      </a:ext>
                    </a:extLst>
                  </a:blip>
                  <a:stretch>
                    <a:fillRect/>
                  </a:stretch>
                </pic:blipFill>
                <pic:spPr>
                  <a:xfrm>
                    <a:off x="0" y="0"/>
                    <a:ext cx="6412230" cy="1131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D30D7"/>
    <w:multiLevelType w:val="hybridMultilevel"/>
    <w:tmpl w:val="7564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E0BCF"/>
    <w:multiLevelType w:val="hybridMultilevel"/>
    <w:tmpl w:val="75AA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B407E"/>
    <w:multiLevelType w:val="hybridMultilevel"/>
    <w:tmpl w:val="71D2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8E"/>
    <w:rsid w:val="000276D4"/>
    <w:rsid w:val="000A2D3B"/>
    <w:rsid w:val="000B608E"/>
    <w:rsid w:val="000D73E3"/>
    <w:rsid w:val="00197408"/>
    <w:rsid w:val="002506B8"/>
    <w:rsid w:val="00260827"/>
    <w:rsid w:val="0026578A"/>
    <w:rsid w:val="002B5C02"/>
    <w:rsid w:val="0031343F"/>
    <w:rsid w:val="003407CC"/>
    <w:rsid w:val="003803B4"/>
    <w:rsid w:val="00391083"/>
    <w:rsid w:val="004E3DBE"/>
    <w:rsid w:val="00606D48"/>
    <w:rsid w:val="00621282"/>
    <w:rsid w:val="00621B71"/>
    <w:rsid w:val="00671E99"/>
    <w:rsid w:val="00734306"/>
    <w:rsid w:val="007D20D2"/>
    <w:rsid w:val="00862E06"/>
    <w:rsid w:val="0089683E"/>
    <w:rsid w:val="008B1F26"/>
    <w:rsid w:val="008E0F4E"/>
    <w:rsid w:val="00944C8E"/>
    <w:rsid w:val="00A02F4A"/>
    <w:rsid w:val="00A341A4"/>
    <w:rsid w:val="00B32E60"/>
    <w:rsid w:val="00B402CD"/>
    <w:rsid w:val="00C32061"/>
    <w:rsid w:val="00C84803"/>
    <w:rsid w:val="00CB428D"/>
    <w:rsid w:val="00D366F6"/>
    <w:rsid w:val="00E011EC"/>
    <w:rsid w:val="00EB74A1"/>
    <w:rsid w:val="00F0758D"/>
    <w:rsid w:val="00FD37CA"/>
    <w:rsid w:val="00FD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F364"/>
  <w14:defaultImageDpi w14:val="300"/>
  <w15:docId w15:val="{4D5FA6B7-834E-497D-B6DC-F739A747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8E"/>
    <w:pPr>
      <w:tabs>
        <w:tab w:val="center" w:pos="4320"/>
        <w:tab w:val="right" w:pos="8640"/>
      </w:tabs>
    </w:pPr>
  </w:style>
  <w:style w:type="character" w:customStyle="1" w:styleId="HeaderChar">
    <w:name w:val="Header Char"/>
    <w:basedOn w:val="DefaultParagraphFont"/>
    <w:link w:val="Header"/>
    <w:uiPriority w:val="99"/>
    <w:rsid w:val="00944C8E"/>
  </w:style>
  <w:style w:type="paragraph" w:styleId="Footer">
    <w:name w:val="footer"/>
    <w:basedOn w:val="Normal"/>
    <w:link w:val="FooterChar"/>
    <w:uiPriority w:val="99"/>
    <w:unhideWhenUsed/>
    <w:rsid w:val="00944C8E"/>
    <w:pPr>
      <w:tabs>
        <w:tab w:val="center" w:pos="4320"/>
        <w:tab w:val="right" w:pos="8640"/>
      </w:tabs>
    </w:pPr>
  </w:style>
  <w:style w:type="character" w:customStyle="1" w:styleId="FooterChar">
    <w:name w:val="Footer Char"/>
    <w:basedOn w:val="DefaultParagraphFont"/>
    <w:link w:val="Footer"/>
    <w:uiPriority w:val="99"/>
    <w:rsid w:val="00944C8E"/>
  </w:style>
  <w:style w:type="paragraph" w:styleId="BalloonText">
    <w:name w:val="Balloon Text"/>
    <w:basedOn w:val="Normal"/>
    <w:link w:val="BalloonTextChar"/>
    <w:uiPriority w:val="99"/>
    <w:semiHidden/>
    <w:unhideWhenUsed/>
    <w:rsid w:val="00944C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C8E"/>
    <w:rPr>
      <w:rFonts w:ascii="Lucida Grande" w:hAnsi="Lucida Grande" w:cs="Lucida Grande"/>
      <w:sz w:val="18"/>
      <w:szCs w:val="18"/>
    </w:rPr>
  </w:style>
  <w:style w:type="paragraph" w:styleId="ListParagraph">
    <w:name w:val="List Paragraph"/>
    <w:basedOn w:val="Normal"/>
    <w:uiPriority w:val="34"/>
    <w:qFormat/>
    <w:rsid w:val="000276D4"/>
    <w:pPr>
      <w:ind w:left="720"/>
      <w:contextualSpacing/>
    </w:pPr>
  </w:style>
  <w:style w:type="character" w:styleId="Hyperlink">
    <w:name w:val="Hyperlink"/>
    <w:basedOn w:val="DefaultParagraphFont"/>
    <w:uiPriority w:val="99"/>
    <w:unhideWhenUsed/>
    <w:rsid w:val="00E011EC"/>
    <w:rPr>
      <w:color w:val="0000FF" w:themeColor="hyperlink"/>
      <w:u w:val="single"/>
    </w:rPr>
  </w:style>
  <w:style w:type="paragraph" w:customStyle="1" w:styleId="Default">
    <w:name w:val="Default"/>
    <w:rsid w:val="00B32E60"/>
    <w:pPr>
      <w:autoSpaceDE w:val="0"/>
      <w:autoSpaceDN w:val="0"/>
      <w:adjustRightInd w:val="0"/>
    </w:pPr>
    <w:rPr>
      <w:rFonts w:ascii="Lato" w:eastAsiaTheme="minorHAnsi" w:hAnsi="Lato" w:cs="Lat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oceana.org/sites/default/files/17335/czma_anpr_coalition_comment_letter_-_final_w_sign_ons.pdf" TargetMode="External"/><Relationship Id="rId13" Type="http://schemas.openxmlformats.org/officeDocument/2006/relationships/hyperlink" Target="mailto:mmessmer@ocean.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endments-rules.house.gov/amendments/HUFFCA_042_xml_revised61419160451451.pdf" TargetMode="External"/><Relationship Id="rId12" Type="http://schemas.openxmlformats.org/officeDocument/2006/relationships/hyperlink" Target="https://amendments-rules.house.gov/amendments/GOLDEN_024_xml617191551405140.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endments-rules.house.gov/amendments/MOULTO_044_xml6181912070878.pdf" TargetMode="External"/><Relationship Id="rId5" Type="http://schemas.openxmlformats.org/officeDocument/2006/relationships/footnotes" Target="footnotes.xml"/><Relationship Id="rId15" Type="http://schemas.openxmlformats.org/officeDocument/2006/relationships/hyperlink" Target="mailto:llevison@oceana.org" TargetMode="External"/><Relationship Id="rId10" Type="http://schemas.openxmlformats.org/officeDocument/2006/relationships/hyperlink" Target="https://usa.oceana.org/our-campaigns/seismic_airgun_testing/campaig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mendments-rules.house.gov/amendments/CUNNSC_021_xml617191115501550.pdf" TargetMode="External"/><Relationship Id="rId14" Type="http://schemas.openxmlformats.org/officeDocument/2006/relationships/hyperlink" Target="mailto:aspawn@ocean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Levison, Lara</cp:lastModifiedBy>
  <cp:revision>6</cp:revision>
  <cp:lastPrinted>2015-01-20T16:43:00Z</cp:lastPrinted>
  <dcterms:created xsi:type="dcterms:W3CDTF">2019-06-19T18:02:00Z</dcterms:created>
  <dcterms:modified xsi:type="dcterms:W3CDTF">2019-06-19T19:26:00Z</dcterms:modified>
</cp:coreProperties>
</file>