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C72B0" w14:textId="3312A0B4" w:rsidR="006F263D" w:rsidRDefault="002971F8" w:rsidP="00D73658">
      <w:pPr>
        <w:tabs>
          <w:tab w:val="num" w:pos="720"/>
        </w:tabs>
        <w:rPr>
          <w:noProof/>
        </w:rPr>
      </w:pPr>
      <w:r>
        <w:rPr>
          <w:noProof/>
        </w:rPr>
        <w:drawing>
          <wp:inline distT="0" distB="0" distL="0" distR="0" wp14:anchorId="40724806" wp14:editId="7BED5B4E">
            <wp:extent cx="1130300" cy="68288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889" cy="71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 w:rsidR="00264942">
        <w:rPr>
          <w:b/>
        </w:rPr>
        <w:tab/>
      </w:r>
      <w:bookmarkStart w:id="0" w:name="_GoBack"/>
      <w:bookmarkEnd w:id="0"/>
      <w:r>
        <w:rPr>
          <w:noProof/>
        </w:rPr>
        <w:drawing>
          <wp:inline distT="0" distB="0" distL="0" distR="0" wp14:anchorId="50BFD0F4" wp14:editId="726CD4E3">
            <wp:extent cx="1517650" cy="662457"/>
            <wp:effectExtent l="0" t="0" r="635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774" cy="70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noProof/>
        </w:rPr>
        <w:drawing>
          <wp:inline distT="0" distB="0" distL="0" distR="0" wp14:anchorId="2BB2E027" wp14:editId="4E291806">
            <wp:extent cx="1885950" cy="70782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775" cy="72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ECD68" w14:textId="77777777" w:rsidR="006F263D" w:rsidRDefault="006F263D" w:rsidP="00D73658">
      <w:pPr>
        <w:tabs>
          <w:tab w:val="num" w:pos="720"/>
        </w:tabs>
        <w:rPr>
          <w:b/>
        </w:rPr>
      </w:pPr>
    </w:p>
    <w:p w14:paraId="244FF0AC" w14:textId="28969A95" w:rsidR="002971F8" w:rsidRDefault="00114EDA" w:rsidP="00D73658">
      <w:pPr>
        <w:tabs>
          <w:tab w:val="num" w:pos="720"/>
        </w:tabs>
        <w:rPr>
          <w:b/>
        </w:rPr>
      </w:pPr>
      <w:r>
        <w:rPr>
          <w:noProof/>
        </w:rPr>
        <w:drawing>
          <wp:inline distT="0" distB="0" distL="0" distR="0" wp14:anchorId="1194A31D" wp14:editId="1CB0E28B">
            <wp:extent cx="1822450" cy="507924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095" cy="55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63D">
        <w:rPr>
          <w:noProof/>
        </w:rPr>
        <w:drawing>
          <wp:inline distT="0" distB="0" distL="0" distR="0" wp14:anchorId="49A21679" wp14:editId="15779B89">
            <wp:extent cx="2328694" cy="635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240" cy="67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A8F">
        <w:rPr>
          <w:noProof/>
        </w:rPr>
        <w:drawing>
          <wp:inline distT="0" distB="0" distL="0" distR="0" wp14:anchorId="4569EEA1" wp14:editId="2A44ABFD">
            <wp:extent cx="2247900" cy="524510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388" cy="54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A8F">
        <w:rPr>
          <w:b/>
        </w:rPr>
        <w:tab/>
      </w:r>
    </w:p>
    <w:p w14:paraId="47F40D82" w14:textId="6418FE6A" w:rsidR="002971F8" w:rsidRDefault="00EF253A" w:rsidP="00D73658">
      <w:pPr>
        <w:tabs>
          <w:tab w:val="num" w:pos="720"/>
        </w:tabs>
        <w:rPr>
          <w:b/>
        </w:rPr>
      </w:pPr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130D741A" wp14:editId="7F50FF82">
            <wp:extent cx="1739900" cy="63796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968" cy="65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4EDA">
        <w:rPr>
          <w:b/>
        </w:rPr>
        <w:tab/>
      </w:r>
      <w:r w:rsidR="00837F5F">
        <w:rPr>
          <w:b/>
        </w:rPr>
        <w:tab/>
      </w:r>
      <w:r w:rsidR="00FD7AED">
        <w:rPr>
          <w:noProof/>
        </w:rPr>
        <w:drawing>
          <wp:inline distT="0" distB="0" distL="0" distR="0" wp14:anchorId="28354E11" wp14:editId="018923BE">
            <wp:extent cx="1659468" cy="933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610" cy="96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4EDA">
        <w:rPr>
          <w:b/>
        </w:rPr>
        <w:tab/>
      </w:r>
      <w:r w:rsidR="00114EDA">
        <w:rPr>
          <w:noProof/>
        </w:rPr>
        <w:drawing>
          <wp:inline distT="0" distB="0" distL="0" distR="0" wp14:anchorId="2DE51E72" wp14:editId="49CDD182">
            <wp:extent cx="1306285" cy="857250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368" cy="88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554D0" w14:textId="31AD5929" w:rsidR="002971F8" w:rsidRDefault="00D207C8" w:rsidP="00D73658">
      <w:pPr>
        <w:tabs>
          <w:tab w:val="num" w:pos="72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14EDA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14EDA">
        <w:rPr>
          <w:b/>
        </w:rPr>
        <w:tab/>
      </w:r>
      <w:r>
        <w:rPr>
          <w:b/>
        </w:rPr>
        <w:tab/>
      </w:r>
      <w:r w:rsidR="00114EDA">
        <w:rPr>
          <w:b/>
        </w:rPr>
        <w:tab/>
      </w:r>
      <w:r w:rsidR="00114EDA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5E2D790" w14:textId="3E13FCB8" w:rsidR="002971F8" w:rsidRPr="00215555" w:rsidRDefault="00D207C8" w:rsidP="00D73658">
      <w:pPr>
        <w:tabs>
          <w:tab w:val="num" w:pos="720"/>
        </w:tabs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7A0F963D" wp14:editId="2A82655C">
            <wp:extent cx="2139950" cy="4953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53" b="21692"/>
                    <a:stretch/>
                  </pic:blipFill>
                  <pic:spPr bwMode="auto">
                    <a:xfrm>
                      <a:off x="0" y="0"/>
                      <a:ext cx="21399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0477EB" wp14:editId="7284086E">
            <wp:extent cx="1530350" cy="58663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834" cy="59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  <w:r>
        <w:rPr>
          <w:noProof/>
        </w:rPr>
        <w:drawing>
          <wp:inline distT="0" distB="0" distL="0" distR="0" wp14:anchorId="1FD2EA26" wp14:editId="254043C0">
            <wp:extent cx="2006600" cy="38427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881" cy="40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</w:p>
    <w:p w14:paraId="2E070062" w14:textId="77777777" w:rsidR="002971F8" w:rsidRDefault="002971F8" w:rsidP="00D73658">
      <w:pPr>
        <w:tabs>
          <w:tab w:val="num" w:pos="720"/>
        </w:tabs>
        <w:rPr>
          <w:b/>
        </w:rPr>
      </w:pPr>
    </w:p>
    <w:p w14:paraId="7162A333" w14:textId="77777777" w:rsidR="002971F8" w:rsidRDefault="002971F8" w:rsidP="00D73658">
      <w:pPr>
        <w:tabs>
          <w:tab w:val="num" w:pos="720"/>
        </w:tabs>
        <w:rPr>
          <w:b/>
        </w:rPr>
      </w:pPr>
    </w:p>
    <w:p w14:paraId="189F9E59" w14:textId="208CDEA4" w:rsidR="002971F8" w:rsidRPr="00215555" w:rsidRDefault="002971F8" w:rsidP="00215555">
      <w:pPr>
        <w:tabs>
          <w:tab w:val="num" w:pos="720"/>
        </w:tabs>
        <w:jc w:val="center"/>
        <w:rPr>
          <w:b/>
          <w:sz w:val="40"/>
          <w:szCs w:val="40"/>
        </w:rPr>
      </w:pPr>
      <w:r w:rsidRPr="00215555">
        <w:rPr>
          <w:b/>
          <w:sz w:val="40"/>
          <w:szCs w:val="40"/>
        </w:rPr>
        <w:t>We Need Climate Action Now</w:t>
      </w:r>
      <w:r w:rsidR="00215555" w:rsidRPr="00215555">
        <w:rPr>
          <w:b/>
          <w:sz w:val="40"/>
          <w:szCs w:val="40"/>
        </w:rPr>
        <w:br/>
        <w:t>Pass Clean Energy and Electric Vehicle Incentives This Year</w:t>
      </w:r>
    </w:p>
    <w:p w14:paraId="606BC44F" w14:textId="77777777" w:rsidR="002971F8" w:rsidRDefault="002971F8" w:rsidP="00D73658">
      <w:pPr>
        <w:tabs>
          <w:tab w:val="num" w:pos="720"/>
        </w:tabs>
        <w:rPr>
          <w:b/>
        </w:rPr>
      </w:pPr>
    </w:p>
    <w:p w14:paraId="0C0CB59D" w14:textId="3A10E6AB" w:rsidR="00D73658" w:rsidRPr="00215555" w:rsidRDefault="00D73658" w:rsidP="00215555">
      <w:pPr>
        <w:tabs>
          <w:tab w:val="num" w:pos="720"/>
        </w:tabs>
        <w:jc w:val="center"/>
        <w:rPr>
          <w:b/>
          <w:i/>
          <w:sz w:val="23"/>
          <w:szCs w:val="23"/>
        </w:rPr>
      </w:pPr>
      <w:r w:rsidRPr="00215555">
        <w:rPr>
          <w:b/>
          <w:i/>
          <w:sz w:val="23"/>
          <w:szCs w:val="23"/>
        </w:rPr>
        <w:t xml:space="preserve">Please tell House leadership to include clean energy </w:t>
      </w:r>
      <w:r w:rsidR="005C28DB" w:rsidRPr="00215555">
        <w:rPr>
          <w:b/>
          <w:i/>
          <w:sz w:val="23"/>
          <w:szCs w:val="23"/>
        </w:rPr>
        <w:t xml:space="preserve">and electric vehicle </w:t>
      </w:r>
      <w:r w:rsidRPr="00215555">
        <w:rPr>
          <w:b/>
          <w:i/>
          <w:sz w:val="23"/>
          <w:szCs w:val="23"/>
        </w:rPr>
        <w:t>incentives in any end</w:t>
      </w:r>
      <w:r w:rsidR="00215555" w:rsidRPr="00215555">
        <w:rPr>
          <w:b/>
          <w:i/>
          <w:sz w:val="23"/>
          <w:szCs w:val="23"/>
        </w:rPr>
        <w:t>-</w:t>
      </w:r>
      <w:r w:rsidRPr="00215555">
        <w:rPr>
          <w:b/>
          <w:i/>
          <w:sz w:val="23"/>
          <w:szCs w:val="23"/>
        </w:rPr>
        <w:t>of</w:t>
      </w:r>
      <w:r w:rsidR="00215555" w:rsidRPr="00215555">
        <w:rPr>
          <w:b/>
          <w:i/>
          <w:sz w:val="23"/>
          <w:szCs w:val="23"/>
        </w:rPr>
        <w:t>-</w:t>
      </w:r>
      <w:r w:rsidRPr="00215555">
        <w:rPr>
          <w:b/>
          <w:i/>
          <w:sz w:val="23"/>
          <w:szCs w:val="23"/>
        </w:rPr>
        <w:t>year package</w:t>
      </w:r>
    </w:p>
    <w:p w14:paraId="4B002A33" w14:textId="605FC2B0" w:rsidR="005C28DB" w:rsidRDefault="005C28DB" w:rsidP="00D73658">
      <w:pPr>
        <w:tabs>
          <w:tab w:val="num" w:pos="720"/>
        </w:tabs>
        <w:rPr>
          <w:b/>
          <w:i/>
        </w:rPr>
      </w:pPr>
    </w:p>
    <w:p w14:paraId="1E009DD6" w14:textId="3F351B0A" w:rsidR="005A5DCD" w:rsidRDefault="005C28DB" w:rsidP="00D73658">
      <w:pPr>
        <w:tabs>
          <w:tab w:val="num" w:pos="720"/>
        </w:tabs>
        <w:rPr>
          <w:bCs/>
          <w:iCs/>
        </w:rPr>
      </w:pPr>
      <w:r>
        <w:rPr>
          <w:bCs/>
          <w:iCs/>
        </w:rPr>
        <w:t xml:space="preserve">Extending and expanding tax incentives for </w:t>
      </w:r>
      <w:r w:rsidRPr="005A5DCD">
        <w:rPr>
          <w:bCs/>
          <w:iCs/>
          <w:u w:val="single"/>
        </w:rPr>
        <w:t>solar, wind, offshore wind, energy storage, electric vehicles and energy efficiency</w:t>
      </w:r>
      <w:r>
        <w:rPr>
          <w:bCs/>
          <w:iCs/>
        </w:rPr>
        <w:t xml:space="preserve"> is the most important thing </w:t>
      </w:r>
      <w:r w:rsidR="00215555">
        <w:rPr>
          <w:bCs/>
          <w:iCs/>
        </w:rPr>
        <w:t>C</w:t>
      </w:r>
      <w:r>
        <w:rPr>
          <w:bCs/>
          <w:iCs/>
        </w:rPr>
        <w:t xml:space="preserve">ongress can do </w:t>
      </w:r>
      <w:r w:rsidR="00215555">
        <w:rPr>
          <w:bCs/>
          <w:iCs/>
        </w:rPr>
        <w:t xml:space="preserve">for the climate </w:t>
      </w:r>
      <w:r>
        <w:rPr>
          <w:bCs/>
          <w:iCs/>
        </w:rPr>
        <w:t xml:space="preserve">this year. </w:t>
      </w:r>
      <w:r w:rsidR="005A5DCD">
        <w:rPr>
          <w:bCs/>
          <w:iCs/>
        </w:rPr>
        <w:t xml:space="preserve">These tax incentives have been our most important policy tool </w:t>
      </w:r>
      <w:r w:rsidR="00215555">
        <w:rPr>
          <w:bCs/>
          <w:iCs/>
        </w:rPr>
        <w:t>for</w:t>
      </w:r>
      <w:r w:rsidR="005A5DCD">
        <w:rPr>
          <w:bCs/>
          <w:iCs/>
        </w:rPr>
        <w:t xml:space="preserve"> growing clean energy and driving down emissions that contribute to climate change</w:t>
      </w:r>
      <w:r w:rsidR="00215555">
        <w:rPr>
          <w:bCs/>
          <w:iCs/>
        </w:rPr>
        <w:t xml:space="preserve">. But they </w:t>
      </w:r>
      <w:r w:rsidR="005A5DCD">
        <w:rPr>
          <w:bCs/>
          <w:iCs/>
        </w:rPr>
        <w:t xml:space="preserve">are now outdated, expired, or phasing out.  </w:t>
      </w:r>
      <w:r>
        <w:rPr>
          <w:bCs/>
          <w:iCs/>
        </w:rPr>
        <w:t xml:space="preserve">We </w:t>
      </w:r>
      <w:r w:rsidR="00215555">
        <w:rPr>
          <w:bCs/>
          <w:iCs/>
        </w:rPr>
        <w:t xml:space="preserve">simply </w:t>
      </w:r>
      <w:r>
        <w:rPr>
          <w:bCs/>
          <w:iCs/>
        </w:rPr>
        <w:t>cannot afford to go backwards</w:t>
      </w:r>
      <w:r w:rsidR="00215555">
        <w:rPr>
          <w:bCs/>
          <w:iCs/>
        </w:rPr>
        <w:t>.  W</w:t>
      </w:r>
      <w:r>
        <w:rPr>
          <w:bCs/>
          <w:iCs/>
        </w:rPr>
        <w:t>e must keep our clean energy momentum going</w:t>
      </w:r>
      <w:r w:rsidR="00215555">
        <w:rPr>
          <w:bCs/>
          <w:iCs/>
        </w:rPr>
        <w:t>,</w:t>
      </w:r>
      <w:r w:rsidR="005A5DCD">
        <w:rPr>
          <w:bCs/>
          <w:iCs/>
        </w:rPr>
        <w:t xml:space="preserve"> or we will fall further behind our climate goals.  </w:t>
      </w:r>
    </w:p>
    <w:p w14:paraId="52D4E335" w14:textId="4C1D3BE0" w:rsidR="005A5DCD" w:rsidRDefault="005A5DCD" w:rsidP="00D73658">
      <w:pPr>
        <w:tabs>
          <w:tab w:val="num" w:pos="720"/>
        </w:tabs>
        <w:rPr>
          <w:bCs/>
          <w:iCs/>
        </w:rPr>
      </w:pPr>
    </w:p>
    <w:p w14:paraId="09436330" w14:textId="0AF42289" w:rsidR="008F06EA" w:rsidRPr="00013F4B" w:rsidRDefault="00E2178D" w:rsidP="008F06EA">
      <w:pPr>
        <w:numPr>
          <w:ilvl w:val="0"/>
          <w:numId w:val="1"/>
        </w:numPr>
        <w:rPr>
          <w:rFonts w:eastAsia="Times New Roman"/>
        </w:rPr>
      </w:pPr>
      <w:r w:rsidRPr="00013F4B">
        <w:rPr>
          <w:rFonts w:asciiTheme="minorHAnsi" w:eastAsia="Times New Roman" w:hAnsiTheme="minorHAnsi" w:cstheme="minorHAnsi"/>
        </w:rPr>
        <w:t>Including clean energy</w:t>
      </w:r>
      <w:r w:rsidR="00013F4B">
        <w:rPr>
          <w:rFonts w:asciiTheme="minorHAnsi" w:eastAsia="Times New Roman" w:hAnsiTheme="minorHAnsi" w:cstheme="minorHAnsi"/>
        </w:rPr>
        <w:t>, energy storage</w:t>
      </w:r>
      <w:r w:rsidR="00334DD2" w:rsidRPr="00013F4B">
        <w:rPr>
          <w:rFonts w:asciiTheme="minorHAnsi" w:eastAsia="Times New Roman" w:hAnsiTheme="minorHAnsi" w:cstheme="minorHAnsi"/>
        </w:rPr>
        <w:t xml:space="preserve"> and</w:t>
      </w:r>
      <w:r w:rsidR="008F06EA" w:rsidRPr="00013F4B">
        <w:rPr>
          <w:rFonts w:asciiTheme="minorHAnsi" w:eastAsia="Times New Roman" w:hAnsiTheme="minorHAnsi" w:cstheme="minorHAnsi"/>
        </w:rPr>
        <w:t xml:space="preserve"> electric </w:t>
      </w:r>
      <w:r w:rsidR="00334DD2" w:rsidRPr="00013F4B">
        <w:rPr>
          <w:rFonts w:asciiTheme="minorHAnsi" w:eastAsia="Times New Roman" w:hAnsiTheme="minorHAnsi" w:cstheme="minorHAnsi"/>
        </w:rPr>
        <w:t>vehicle</w:t>
      </w:r>
      <w:r w:rsidR="001B14F8">
        <w:rPr>
          <w:rFonts w:asciiTheme="minorHAnsi" w:eastAsia="Times New Roman" w:hAnsiTheme="minorHAnsi" w:cstheme="minorHAnsi"/>
        </w:rPr>
        <w:t xml:space="preserve"> (EV)</w:t>
      </w:r>
      <w:r w:rsidRPr="00013F4B">
        <w:rPr>
          <w:rFonts w:asciiTheme="minorHAnsi" w:eastAsia="Times New Roman" w:hAnsiTheme="minorHAnsi" w:cstheme="minorHAnsi"/>
        </w:rPr>
        <w:t xml:space="preserve"> tax incentives as part of any extenders package</w:t>
      </w:r>
      <w:r w:rsidR="00065F84" w:rsidRPr="00013F4B">
        <w:rPr>
          <w:rFonts w:asciiTheme="minorHAnsi" w:eastAsia="Times New Roman" w:hAnsiTheme="minorHAnsi" w:cstheme="minorHAnsi"/>
        </w:rPr>
        <w:t xml:space="preserve"> is </w:t>
      </w:r>
      <w:r w:rsidR="00013F4B" w:rsidRPr="00013F4B">
        <w:rPr>
          <w:rFonts w:asciiTheme="minorHAnsi" w:eastAsia="Times New Roman" w:hAnsiTheme="minorHAnsi" w:cstheme="minorHAnsi"/>
          <w:color w:val="000000"/>
        </w:rPr>
        <w:t xml:space="preserve">our best remaining opportunity to get </w:t>
      </w:r>
      <w:r w:rsidR="00013F4B">
        <w:rPr>
          <w:rFonts w:asciiTheme="minorHAnsi" w:eastAsia="Times New Roman" w:hAnsiTheme="minorHAnsi" w:cstheme="minorHAnsi"/>
          <w:color w:val="000000"/>
        </w:rPr>
        <w:t xml:space="preserve">meaningful </w:t>
      </w:r>
      <w:r w:rsidR="00013F4B" w:rsidRPr="00013F4B">
        <w:rPr>
          <w:rFonts w:asciiTheme="minorHAnsi" w:eastAsia="Times New Roman" w:hAnsiTheme="minorHAnsi" w:cstheme="minorHAnsi"/>
          <w:color w:val="000000"/>
        </w:rPr>
        <w:t>climate legislation signed into law this year</w:t>
      </w:r>
      <w:r w:rsidR="00065F84" w:rsidRPr="00013F4B">
        <w:rPr>
          <w:rFonts w:asciiTheme="minorHAnsi" w:eastAsia="Times New Roman" w:hAnsiTheme="minorHAnsi" w:cstheme="minorHAnsi"/>
        </w:rPr>
        <w:t xml:space="preserve">. </w:t>
      </w:r>
      <w:r w:rsidR="00215555" w:rsidRPr="00013F4B">
        <w:rPr>
          <w:rFonts w:eastAsia="Times New Roman"/>
        </w:rPr>
        <w:br/>
      </w:r>
    </w:p>
    <w:p w14:paraId="18A24DE7" w14:textId="409F71B2" w:rsidR="004F47DB" w:rsidRDefault="00D73658" w:rsidP="00334DD2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334DD2">
        <w:rPr>
          <w:rFonts w:eastAsia="Times New Roman"/>
        </w:rPr>
        <w:t>Emission reductions from clean energy and EV tax credits would be a critical down payment on our nation’s efforts to help limit climate change</w:t>
      </w:r>
      <w:r w:rsidR="004F47DB">
        <w:rPr>
          <w:rFonts w:eastAsia="Times New Roman"/>
        </w:rPr>
        <w:t>.</w:t>
      </w:r>
      <w:r w:rsidR="00215555">
        <w:rPr>
          <w:rFonts w:eastAsia="Times New Roman"/>
        </w:rPr>
        <w:t xml:space="preserve"> </w:t>
      </w:r>
      <w:r w:rsidR="00215555" w:rsidRPr="00334DD2">
        <w:rPr>
          <w:rFonts w:eastAsia="Times New Roman"/>
        </w:rPr>
        <w:t xml:space="preserve">We need these </w:t>
      </w:r>
      <w:r w:rsidR="00215555">
        <w:rPr>
          <w:rFonts w:eastAsia="Times New Roman"/>
        </w:rPr>
        <w:t xml:space="preserve">incentives </w:t>
      </w:r>
      <w:r w:rsidR="00215555" w:rsidRPr="00334DD2">
        <w:rPr>
          <w:rFonts w:eastAsia="Times New Roman"/>
        </w:rPr>
        <w:t>as a bridge to more comprehensive climate legislation that could come up in the next few years.</w:t>
      </w:r>
      <w:r w:rsidR="00215555">
        <w:rPr>
          <w:rFonts w:eastAsia="Times New Roman"/>
        </w:rPr>
        <w:br/>
      </w:r>
    </w:p>
    <w:p w14:paraId="701F7998" w14:textId="1FF1EFF1" w:rsidR="00334DD2" w:rsidRDefault="004F47DB" w:rsidP="0021555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A new </w:t>
      </w:r>
      <w:hyperlink r:id="rId22" w:history="1">
        <w:r>
          <w:rPr>
            <w:rStyle w:val="Hyperlink"/>
            <w:rFonts w:eastAsia="Times New Roman"/>
          </w:rPr>
          <w:t xml:space="preserve">study from The Rhodium Group released last week </w:t>
        </w:r>
      </w:hyperlink>
      <w:r>
        <w:rPr>
          <w:rFonts w:eastAsia="Times New Roman"/>
        </w:rPr>
        <w:t xml:space="preserve"> found that extending clean </w:t>
      </w:r>
      <w:r w:rsidR="00BE7D70">
        <w:rPr>
          <w:rFonts w:eastAsia="Times New Roman"/>
        </w:rPr>
        <w:t xml:space="preserve">electricity </w:t>
      </w:r>
      <w:r>
        <w:rPr>
          <w:rFonts w:eastAsia="Times New Roman"/>
        </w:rPr>
        <w:t>tax incentives could reduce U.S. net GHG emissions by 19% below 2005 levels.  </w:t>
      </w:r>
      <w:r w:rsidR="00F03A3B">
        <w:rPr>
          <w:rFonts w:eastAsia="Times New Roman"/>
        </w:rPr>
        <w:t xml:space="preserve">And extending electric vehicle tax incentives would </w:t>
      </w:r>
      <w:r w:rsidR="00CB347F">
        <w:rPr>
          <w:rFonts w:eastAsia="Times New Roman"/>
        </w:rPr>
        <w:t>increase</w:t>
      </w:r>
      <w:r w:rsidR="00F03A3B">
        <w:rPr>
          <w:rFonts w:eastAsia="Times New Roman"/>
        </w:rPr>
        <w:t xml:space="preserve"> </w:t>
      </w:r>
      <w:r w:rsidR="005228B7">
        <w:rPr>
          <w:rFonts w:eastAsia="Times New Roman"/>
        </w:rPr>
        <w:t>EV</w:t>
      </w:r>
      <w:r w:rsidR="001B14F8">
        <w:rPr>
          <w:rFonts w:eastAsia="Times New Roman"/>
        </w:rPr>
        <w:t>s</w:t>
      </w:r>
      <w:r w:rsidR="00FD7AED">
        <w:rPr>
          <w:rFonts w:eastAsia="Times New Roman"/>
        </w:rPr>
        <w:t xml:space="preserve"> </w:t>
      </w:r>
      <w:r w:rsidR="005228B7">
        <w:rPr>
          <w:rFonts w:eastAsia="Times New Roman"/>
        </w:rPr>
        <w:t xml:space="preserve">to 38% of all </w:t>
      </w:r>
      <w:r w:rsidR="00B53CCE">
        <w:rPr>
          <w:rFonts w:eastAsia="Times New Roman"/>
        </w:rPr>
        <w:t xml:space="preserve">car sales </w:t>
      </w:r>
      <w:r w:rsidR="001B14F8">
        <w:rPr>
          <w:rFonts w:eastAsia="Times New Roman"/>
        </w:rPr>
        <w:t>in</w:t>
      </w:r>
      <w:r w:rsidR="00067BE5">
        <w:rPr>
          <w:rFonts w:eastAsia="Times New Roman"/>
        </w:rPr>
        <w:t xml:space="preserve"> 2030</w:t>
      </w:r>
      <w:r w:rsidR="00EE57FC">
        <w:rPr>
          <w:rFonts w:eastAsia="Times New Roman"/>
        </w:rPr>
        <w:t>.</w:t>
      </w:r>
      <w:r w:rsidR="00215555">
        <w:rPr>
          <w:rFonts w:eastAsia="Times New Roman"/>
        </w:rPr>
        <w:br/>
      </w:r>
    </w:p>
    <w:p w14:paraId="6F566248" w14:textId="71B71048" w:rsidR="00065F84" w:rsidRPr="00334DD2" w:rsidRDefault="00065F84" w:rsidP="00334DD2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334DD2">
        <w:rPr>
          <w:rFonts w:eastAsia="Times New Roman"/>
        </w:rPr>
        <w:t xml:space="preserve">A </w:t>
      </w:r>
      <w:hyperlink r:id="rId23" w:history="1">
        <w:r w:rsidRPr="00334DD2">
          <w:rPr>
            <w:rStyle w:val="Hyperlink"/>
            <w:rFonts w:eastAsia="Times New Roman"/>
          </w:rPr>
          <w:t>recent poll</w:t>
        </w:r>
      </w:hyperlink>
      <w:r w:rsidRPr="00334DD2">
        <w:rPr>
          <w:rFonts w:eastAsia="Times New Roman"/>
        </w:rPr>
        <w:t xml:space="preserve"> from Global Strategy Group found that </w:t>
      </w:r>
      <w:r w:rsidRPr="00334DD2">
        <w:rPr>
          <w:rFonts w:eastAsia="Times New Roman"/>
          <w:b/>
          <w:bCs/>
        </w:rPr>
        <w:t>89%</w:t>
      </w:r>
      <w:r w:rsidRPr="00334DD2">
        <w:rPr>
          <w:rFonts w:eastAsia="Times New Roman"/>
        </w:rPr>
        <w:t xml:space="preserve"> of Americans support </w:t>
      </w:r>
      <w:r w:rsidR="00382BFC" w:rsidRPr="00334DD2">
        <w:rPr>
          <w:rFonts w:eastAsia="Times New Roman"/>
        </w:rPr>
        <w:t>extending incentives</w:t>
      </w:r>
      <w:r w:rsidRPr="00334DD2">
        <w:rPr>
          <w:rFonts w:eastAsia="Times New Roman"/>
        </w:rPr>
        <w:t xml:space="preserve"> for </w:t>
      </w:r>
      <w:r w:rsidR="007B664E">
        <w:rPr>
          <w:rFonts w:eastAsia="Times New Roman"/>
        </w:rPr>
        <w:t>solar, wind and energy storage</w:t>
      </w:r>
      <w:r w:rsidRPr="00334DD2">
        <w:rPr>
          <w:rFonts w:eastAsia="Times New Roman"/>
        </w:rPr>
        <w:t xml:space="preserve">. That is bipartisan and wide-reaching support unheard of on nearly any other issue. </w:t>
      </w:r>
      <w:r w:rsidR="00215555">
        <w:rPr>
          <w:rFonts w:eastAsia="Times New Roman"/>
        </w:rPr>
        <w:br/>
      </w:r>
    </w:p>
    <w:p w14:paraId="1306814D" w14:textId="0B67032E" w:rsidR="004F47DB" w:rsidRPr="004F47DB" w:rsidRDefault="004F47DB" w:rsidP="004F47DB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These are pro-business incentives which can grow jobs in every state. There are over 3 million Americans already working in clean energy and </w:t>
      </w:r>
      <w:r w:rsidR="00411F3E">
        <w:rPr>
          <w:rFonts w:eastAsia="Times New Roman"/>
        </w:rPr>
        <w:t xml:space="preserve">clean </w:t>
      </w:r>
      <w:r>
        <w:rPr>
          <w:rFonts w:eastAsia="Times New Roman"/>
        </w:rPr>
        <w:t xml:space="preserve">vehicles. </w:t>
      </w:r>
      <w:r w:rsidR="00215555">
        <w:rPr>
          <w:rFonts w:eastAsia="Times New Roman"/>
        </w:rPr>
        <w:br/>
      </w:r>
    </w:p>
    <w:p w14:paraId="60056448" w14:textId="18D78ABB" w:rsidR="00065F84" w:rsidRDefault="000C0C8E" w:rsidP="004E669B">
      <w:pPr>
        <w:numPr>
          <w:ilvl w:val="0"/>
          <w:numId w:val="1"/>
        </w:numPr>
      </w:pPr>
      <w:r w:rsidRPr="00837F5F">
        <w:rPr>
          <w:rFonts w:eastAsia="Times New Roman"/>
        </w:rPr>
        <w:t xml:space="preserve">Continued progress in the deployment of renewable energy, </w:t>
      </w:r>
      <w:r w:rsidR="004F47DB" w:rsidRPr="00837F5F">
        <w:rPr>
          <w:rFonts w:eastAsia="Times New Roman"/>
        </w:rPr>
        <w:t xml:space="preserve">energy storage, </w:t>
      </w:r>
      <w:r w:rsidRPr="00837F5F">
        <w:rPr>
          <w:rFonts w:eastAsia="Times New Roman"/>
        </w:rPr>
        <w:t xml:space="preserve">energy efficient buildings and electric </w:t>
      </w:r>
      <w:r w:rsidR="001B14F8">
        <w:rPr>
          <w:rFonts w:eastAsia="Times New Roman"/>
        </w:rPr>
        <w:t xml:space="preserve">vehicles </w:t>
      </w:r>
      <w:r w:rsidR="00D73658" w:rsidRPr="00837F5F">
        <w:rPr>
          <w:rFonts w:eastAsia="Times New Roman"/>
        </w:rPr>
        <w:t>will</w:t>
      </w:r>
      <w:r w:rsidRPr="00837F5F">
        <w:rPr>
          <w:rFonts w:eastAsia="Times New Roman"/>
        </w:rPr>
        <w:t xml:space="preserve"> make our communities healthier by reducing air and water pollution.  </w:t>
      </w:r>
    </w:p>
    <w:sectPr w:rsidR="00065F84" w:rsidSect="00D736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76FE2"/>
    <w:multiLevelType w:val="multilevel"/>
    <w:tmpl w:val="05B0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84"/>
    <w:rsid w:val="00013F4B"/>
    <w:rsid w:val="00065F84"/>
    <w:rsid w:val="00067BE5"/>
    <w:rsid w:val="00090A78"/>
    <w:rsid w:val="000C0C8E"/>
    <w:rsid w:val="00114EDA"/>
    <w:rsid w:val="00193A8F"/>
    <w:rsid w:val="001B14F8"/>
    <w:rsid w:val="002025D6"/>
    <w:rsid w:val="00215555"/>
    <w:rsid w:val="00233FC2"/>
    <w:rsid w:val="00264942"/>
    <w:rsid w:val="002971F8"/>
    <w:rsid w:val="002D0ECA"/>
    <w:rsid w:val="00334DD2"/>
    <w:rsid w:val="00382BFC"/>
    <w:rsid w:val="00411F3E"/>
    <w:rsid w:val="0047353C"/>
    <w:rsid w:val="00495253"/>
    <w:rsid w:val="004F47DB"/>
    <w:rsid w:val="005228B7"/>
    <w:rsid w:val="005A5DCD"/>
    <w:rsid w:val="005C28DB"/>
    <w:rsid w:val="006F263D"/>
    <w:rsid w:val="007B664E"/>
    <w:rsid w:val="00837F5F"/>
    <w:rsid w:val="008633DF"/>
    <w:rsid w:val="008F06EA"/>
    <w:rsid w:val="00B53CCE"/>
    <w:rsid w:val="00BE1109"/>
    <w:rsid w:val="00BE7D70"/>
    <w:rsid w:val="00BF64A4"/>
    <w:rsid w:val="00C50262"/>
    <w:rsid w:val="00CB347F"/>
    <w:rsid w:val="00D207C8"/>
    <w:rsid w:val="00D658A4"/>
    <w:rsid w:val="00D73658"/>
    <w:rsid w:val="00E2178D"/>
    <w:rsid w:val="00EE57FC"/>
    <w:rsid w:val="00EF253A"/>
    <w:rsid w:val="00F03A3B"/>
    <w:rsid w:val="00F263AC"/>
    <w:rsid w:val="00FB5D90"/>
    <w:rsid w:val="00F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9AF5"/>
  <w15:chartTrackingRefBased/>
  <w15:docId w15:val="{5DAF4F11-C7F9-428B-8991-B975FB1E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F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5F8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1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7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78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78D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7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C8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025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cid:ii_k401o0yg5" TargetMode="External"/><Relationship Id="rId23" Type="http://schemas.openxmlformats.org/officeDocument/2006/relationships/hyperlink" Target="https://www.axios.com/poll-clean-energy-tax-credits-battleground-states-69824637-1deb-4d0f-b4d1-23222616a893.html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s://rhg.com/research/an-assessment-of-the-green-a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CE2FAD89FFF4BBC947709D3E524D1" ma:contentTypeVersion="12" ma:contentTypeDescription="Create a new document." ma:contentTypeScope="" ma:versionID="837f5e98eeb3ec558d23553e10110430">
  <xsd:schema xmlns:xsd="http://www.w3.org/2001/XMLSchema" xmlns:xs="http://www.w3.org/2001/XMLSchema" xmlns:p="http://schemas.microsoft.com/office/2006/metadata/properties" xmlns:ns3="6dae0d88-6cc2-407d-b8dd-410226042591" xmlns:ns4="90144873-bf5b-4007-9f84-58109be6a1ae" targetNamespace="http://schemas.microsoft.com/office/2006/metadata/properties" ma:root="true" ma:fieldsID="08a33d7dc11830f5c630b40423e16b66" ns3:_="" ns4:_="">
    <xsd:import namespace="6dae0d88-6cc2-407d-b8dd-410226042591"/>
    <xsd:import namespace="90144873-bf5b-4007-9f84-58109be6a1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e0d88-6cc2-407d-b8dd-410226042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44873-bf5b-4007-9f84-58109be6a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4EC88-8042-4EAE-9F8E-312D5FEDF8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75E0B7-19A8-4247-B961-8E5D15006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3CC3F-4689-428A-88C9-9B219CA43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e0d88-6cc2-407d-b8dd-410226042591"/>
    <ds:schemaRef ds:uri="90144873-bf5b-4007-9f84-58109be6a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FFF46-477F-4710-B33A-00137983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Carlisle, Grant</dc:creator>
  <cp:keywords/>
  <dc:description/>
  <cp:lastModifiedBy>Robert Cowin</cp:lastModifiedBy>
  <cp:revision>3</cp:revision>
  <cp:lastPrinted>2019-12-10T16:15:00Z</cp:lastPrinted>
  <dcterms:created xsi:type="dcterms:W3CDTF">2019-12-10T16:14:00Z</dcterms:created>
  <dcterms:modified xsi:type="dcterms:W3CDTF">2019-12-10T16:15:00Z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0x010100366CE2FAD89FFF4BBC947709D3E524D1</vt:lpwstr>
  </property>
</Properties>
</file>