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00E" w:rsidRPr="00A10AAC" w:rsidRDefault="00420F9C">
      <w:pPr>
        <w:rPr>
          <w:rFonts w:ascii="Times New Roman" w:hAnsi="Times New Roman" w:cs="Times New Roman"/>
          <w:b/>
          <w:sz w:val="24"/>
          <w:szCs w:val="24"/>
          <w:u w:val="single"/>
        </w:rPr>
      </w:pPr>
      <w:r w:rsidRPr="00A10AAC">
        <w:rPr>
          <w:rFonts w:ascii="Times New Roman" w:hAnsi="Times New Roman" w:cs="Times New Roman"/>
          <w:b/>
          <w:sz w:val="24"/>
          <w:szCs w:val="24"/>
          <w:u w:val="single"/>
        </w:rPr>
        <w:t>NEPA &amp; Emergencies Talking Points</w:t>
      </w:r>
    </w:p>
    <w:p w:rsidR="00420F9C" w:rsidRPr="00A10AAC" w:rsidRDefault="00420F9C">
      <w:pPr>
        <w:rPr>
          <w:rFonts w:ascii="Times New Roman" w:hAnsi="Times New Roman" w:cs="Times New Roman"/>
          <w:sz w:val="24"/>
          <w:szCs w:val="24"/>
        </w:rPr>
      </w:pPr>
      <w:r w:rsidRPr="00A10AAC">
        <w:rPr>
          <w:rFonts w:ascii="Times New Roman" w:hAnsi="Times New Roman" w:cs="Times New Roman"/>
          <w:b/>
          <w:sz w:val="24"/>
          <w:szCs w:val="24"/>
          <w:u w:val="single"/>
        </w:rPr>
        <w:t>Overview</w:t>
      </w:r>
      <w:r w:rsidRPr="00A10AAC">
        <w:rPr>
          <w:rFonts w:ascii="Times New Roman" w:hAnsi="Times New Roman" w:cs="Times New Roman"/>
          <w:sz w:val="24"/>
          <w:szCs w:val="24"/>
        </w:rPr>
        <w:t xml:space="preserve">: The National Environmental Policy Act (NEPA) has </w:t>
      </w:r>
      <w:r w:rsidRPr="00A10AAC">
        <w:rPr>
          <w:rFonts w:ascii="Times New Roman" w:hAnsi="Times New Roman" w:cs="Times New Roman"/>
          <w:b/>
          <w:sz w:val="24"/>
          <w:szCs w:val="24"/>
        </w:rPr>
        <w:t>never stood in the way of emergency response activities</w:t>
      </w:r>
      <w:r w:rsidRPr="00A10AAC">
        <w:rPr>
          <w:rFonts w:ascii="Times New Roman" w:hAnsi="Times New Roman" w:cs="Times New Roman"/>
          <w:sz w:val="24"/>
          <w:szCs w:val="24"/>
        </w:rPr>
        <w:t>. When agencies are required to take immediate action to secure the lives and safety of people in our communities, NEPA provides for alternative arrangements for compliance. In addition to existing flexibilities in the CEQ regulations, there are additional emergency provisions available under other laws such as the Stafford Act</w:t>
      </w:r>
      <w:r w:rsidR="00B35C6C">
        <w:rPr>
          <w:rFonts w:ascii="Times New Roman" w:hAnsi="Times New Roman" w:cs="Times New Roman"/>
          <w:sz w:val="24"/>
          <w:szCs w:val="24"/>
        </w:rPr>
        <w:t>, which are outlined below</w:t>
      </w:r>
      <w:r w:rsidRPr="00A10AAC">
        <w:rPr>
          <w:rFonts w:ascii="Times New Roman" w:hAnsi="Times New Roman" w:cs="Times New Roman"/>
          <w:sz w:val="24"/>
          <w:szCs w:val="24"/>
        </w:rPr>
        <w:t>. The bottom line is NEPA has never stood in the way of emergency response activities.</w:t>
      </w:r>
    </w:p>
    <w:p w:rsidR="00420F9C" w:rsidRPr="00A10AAC" w:rsidRDefault="00420F9C" w:rsidP="00420F9C">
      <w:pPr>
        <w:spacing w:after="0" w:line="240" w:lineRule="auto"/>
        <w:rPr>
          <w:rFonts w:ascii="Times New Roman" w:hAnsi="Times New Roman" w:cs="Times New Roman"/>
          <w:sz w:val="24"/>
          <w:szCs w:val="24"/>
        </w:rPr>
      </w:pPr>
      <w:r w:rsidRPr="00A10AAC">
        <w:rPr>
          <w:rFonts w:ascii="Times New Roman" w:hAnsi="Times New Roman" w:cs="Times New Roman"/>
          <w:sz w:val="24"/>
          <w:szCs w:val="24"/>
          <w:u w:val="single"/>
        </w:rPr>
        <w:t>40 C.F.R. 1506.11 Alternative Arrangements under NEPA</w:t>
      </w:r>
      <w:r w:rsidRPr="00A10AAC">
        <w:rPr>
          <w:rFonts w:ascii="Times New Roman" w:hAnsi="Times New Roman" w:cs="Times New Roman"/>
          <w:sz w:val="24"/>
          <w:szCs w:val="24"/>
        </w:rPr>
        <w:t xml:space="preserve"> </w:t>
      </w:r>
    </w:p>
    <w:p w:rsidR="00420F9C" w:rsidRPr="00A10AAC" w:rsidRDefault="00420F9C" w:rsidP="00420F9C">
      <w:pPr>
        <w:spacing w:after="0" w:line="240" w:lineRule="auto"/>
        <w:rPr>
          <w:rFonts w:ascii="Times New Roman" w:hAnsi="Times New Roman" w:cs="Times New Roman"/>
          <w:sz w:val="24"/>
          <w:szCs w:val="24"/>
        </w:rPr>
      </w:pPr>
    </w:p>
    <w:p w:rsidR="00420F9C" w:rsidRPr="00A10AAC" w:rsidRDefault="00420F9C" w:rsidP="00420F9C">
      <w:pPr>
        <w:widowControl w:val="0"/>
        <w:numPr>
          <w:ilvl w:val="0"/>
          <w:numId w:val="1"/>
        </w:numPr>
        <w:suppressAutoHyphens/>
        <w:spacing w:after="0" w:line="240" w:lineRule="auto"/>
        <w:rPr>
          <w:rFonts w:ascii="Times New Roman" w:hAnsi="Times New Roman" w:cs="Times New Roman"/>
          <w:sz w:val="24"/>
          <w:szCs w:val="24"/>
        </w:rPr>
      </w:pPr>
      <w:r w:rsidRPr="00A10AAC">
        <w:rPr>
          <w:rFonts w:ascii="Times New Roman" w:hAnsi="Times New Roman" w:cs="Times New Roman"/>
          <w:sz w:val="24"/>
          <w:szCs w:val="24"/>
        </w:rPr>
        <w:t>“Where emergency circumstances make it necessary to take an action with significant environmental impact without” conducting NEPA analysis, “the Federal agency taking the action should consult with the Council on Environmental Quality about alternative arrangements. Agencies and the Council will limit such arrangements to actions necessary to control the immediate impacts of the emergency.”</w:t>
      </w:r>
    </w:p>
    <w:p w:rsidR="00420F9C" w:rsidRPr="00A10AAC" w:rsidRDefault="00420F9C" w:rsidP="00420F9C">
      <w:pPr>
        <w:widowControl w:val="0"/>
        <w:numPr>
          <w:ilvl w:val="0"/>
          <w:numId w:val="1"/>
        </w:numPr>
        <w:suppressAutoHyphens/>
        <w:spacing w:after="0" w:line="240" w:lineRule="auto"/>
        <w:rPr>
          <w:rFonts w:ascii="Times New Roman" w:hAnsi="Times New Roman" w:cs="Times New Roman"/>
          <w:sz w:val="24"/>
          <w:szCs w:val="24"/>
        </w:rPr>
      </w:pPr>
      <w:r w:rsidRPr="00A10AAC">
        <w:rPr>
          <w:rFonts w:ascii="Times New Roman" w:hAnsi="Times New Roman" w:cs="Times New Roman"/>
          <w:sz w:val="24"/>
          <w:szCs w:val="24"/>
        </w:rPr>
        <w:t>CEQ has worked with agencies on nearly 50 occasions to provide for alternative arrangements under NEPA, often on the same day of request.</w:t>
      </w:r>
    </w:p>
    <w:p w:rsidR="00420F9C" w:rsidRPr="00A10AAC" w:rsidRDefault="00420F9C" w:rsidP="00420F9C">
      <w:pPr>
        <w:widowControl w:val="0"/>
        <w:numPr>
          <w:ilvl w:val="1"/>
          <w:numId w:val="1"/>
        </w:numPr>
        <w:suppressAutoHyphens/>
        <w:spacing w:after="0" w:line="240" w:lineRule="auto"/>
        <w:rPr>
          <w:rFonts w:ascii="Times New Roman" w:hAnsi="Times New Roman" w:cs="Times New Roman"/>
          <w:sz w:val="24"/>
          <w:szCs w:val="24"/>
        </w:rPr>
      </w:pPr>
      <w:r w:rsidRPr="00A10AAC">
        <w:rPr>
          <w:rFonts w:ascii="Times New Roman" w:hAnsi="Times New Roman" w:cs="Times New Roman"/>
          <w:sz w:val="24"/>
          <w:szCs w:val="24"/>
        </w:rPr>
        <w:t xml:space="preserve">Examples available at: </w:t>
      </w:r>
      <w:hyperlink r:id="rId5" w:history="1">
        <w:r w:rsidRPr="00A10AAC">
          <w:rPr>
            <w:rStyle w:val="Hyperlink"/>
            <w:rFonts w:ascii="Times New Roman" w:hAnsi="Times New Roman" w:cs="Times New Roman"/>
            <w:sz w:val="24"/>
            <w:szCs w:val="24"/>
          </w:rPr>
          <w:t>https://ceq.doe.gov/docs/nepa-practice/Alternative_Arrangements_Chart_051419.pdf</w:t>
        </w:r>
      </w:hyperlink>
      <w:r w:rsidRPr="00A10AAC">
        <w:rPr>
          <w:rFonts w:ascii="Times New Roman" w:hAnsi="Times New Roman" w:cs="Times New Roman"/>
          <w:sz w:val="24"/>
          <w:szCs w:val="24"/>
        </w:rPr>
        <w:t xml:space="preserve"> </w:t>
      </w:r>
    </w:p>
    <w:p w:rsidR="00420F9C" w:rsidRDefault="00420F9C" w:rsidP="00420F9C">
      <w:pPr>
        <w:widowControl w:val="0"/>
        <w:numPr>
          <w:ilvl w:val="0"/>
          <w:numId w:val="1"/>
        </w:numPr>
        <w:suppressAutoHyphens/>
        <w:spacing w:after="0" w:line="240" w:lineRule="auto"/>
        <w:rPr>
          <w:rFonts w:ascii="Times New Roman" w:hAnsi="Times New Roman" w:cs="Times New Roman"/>
          <w:sz w:val="24"/>
          <w:szCs w:val="24"/>
        </w:rPr>
      </w:pPr>
      <w:r w:rsidRPr="00A10AAC">
        <w:rPr>
          <w:rFonts w:ascii="Times New Roman" w:hAnsi="Times New Roman" w:cs="Times New Roman"/>
          <w:sz w:val="24"/>
          <w:szCs w:val="24"/>
        </w:rPr>
        <w:t>Alternative arrangements have been granted for release of loan guarantee funds to initiate land acquisition, relocation,</w:t>
      </w:r>
      <w:r w:rsidR="00A10AAC" w:rsidRPr="00A10AAC">
        <w:rPr>
          <w:rFonts w:ascii="Times New Roman" w:hAnsi="Times New Roman" w:cs="Times New Roman"/>
          <w:sz w:val="24"/>
          <w:szCs w:val="24"/>
        </w:rPr>
        <w:t xml:space="preserve"> and site clearing in response to an economic crisis as well as, most recently, in response to Hurricane Michael, to the Air Force.</w:t>
      </w:r>
    </w:p>
    <w:p w:rsidR="00A10AAC" w:rsidRDefault="00A10AAC" w:rsidP="00A10AAC">
      <w:pPr>
        <w:widowControl w:val="0"/>
        <w:suppressAutoHyphens/>
        <w:spacing w:after="0" w:line="240" w:lineRule="auto"/>
        <w:rPr>
          <w:rFonts w:ascii="Times New Roman" w:hAnsi="Times New Roman" w:cs="Times New Roman"/>
          <w:sz w:val="24"/>
          <w:szCs w:val="24"/>
        </w:rPr>
      </w:pPr>
    </w:p>
    <w:p w:rsidR="00A10AAC" w:rsidRPr="00A10AAC" w:rsidRDefault="00A10AAC" w:rsidP="00A10AAC">
      <w:pPr>
        <w:widowControl w:val="0"/>
        <w:suppressAutoHyphens/>
        <w:spacing w:after="0" w:line="240" w:lineRule="auto"/>
        <w:rPr>
          <w:rFonts w:ascii="Times New Roman" w:hAnsi="Times New Roman" w:cs="Times New Roman"/>
          <w:sz w:val="24"/>
          <w:szCs w:val="24"/>
          <w:u w:val="single"/>
        </w:rPr>
      </w:pPr>
      <w:r w:rsidRPr="00A10AAC">
        <w:rPr>
          <w:rFonts w:ascii="Times New Roman" w:hAnsi="Times New Roman" w:cs="Times New Roman"/>
          <w:sz w:val="24"/>
          <w:szCs w:val="24"/>
          <w:u w:val="single"/>
        </w:rPr>
        <w:t>American Recovery and Reinvestment Act of 2009 (ARRA)</w:t>
      </w:r>
    </w:p>
    <w:p w:rsidR="00A10AAC" w:rsidRDefault="00A10AAC" w:rsidP="00A10AAC">
      <w:pPr>
        <w:widowControl w:val="0"/>
        <w:suppressAutoHyphens/>
        <w:spacing w:after="0" w:line="240" w:lineRule="auto"/>
        <w:rPr>
          <w:rFonts w:ascii="Times New Roman" w:hAnsi="Times New Roman" w:cs="Times New Roman"/>
          <w:sz w:val="24"/>
          <w:szCs w:val="24"/>
        </w:rPr>
      </w:pPr>
    </w:p>
    <w:p w:rsidR="00A10AAC" w:rsidRDefault="00A10AAC" w:rsidP="00A10AAC">
      <w:pPr>
        <w:pStyle w:val="ListParagraph"/>
        <w:widowControl w:val="0"/>
        <w:numPr>
          <w:ilvl w:val="0"/>
          <w:numId w:val="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During the last financial crisis, Congress passed to promote economic recovery and growth, included no NEPA waivers or limitations.</w:t>
      </w:r>
    </w:p>
    <w:p w:rsidR="00A10AAC" w:rsidRPr="00A10AAC" w:rsidRDefault="00A10AAC" w:rsidP="00A10AAC">
      <w:pPr>
        <w:pStyle w:val="ListParagraph"/>
        <w:widowControl w:val="0"/>
        <w:numPr>
          <w:ilvl w:val="0"/>
          <w:numId w:val="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Over $300 billion dollars in ARRA funds were distributed “in a timely and environmentally sound manner” according to CEQ’s last report to Congress in 2011. </w:t>
      </w:r>
    </w:p>
    <w:p w:rsidR="00A10AAC" w:rsidRPr="00A10AAC" w:rsidRDefault="00A10AAC" w:rsidP="00A10AAC">
      <w:pPr>
        <w:widowControl w:val="0"/>
        <w:suppressAutoHyphens/>
        <w:spacing w:after="0" w:line="240" w:lineRule="auto"/>
        <w:rPr>
          <w:rFonts w:ascii="Times New Roman" w:hAnsi="Times New Roman" w:cs="Times New Roman"/>
          <w:sz w:val="24"/>
          <w:szCs w:val="24"/>
        </w:rPr>
      </w:pPr>
    </w:p>
    <w:p w:rsidR="00A10AAC" w:rsidRPr="00A10AAC" w:rsidRDefault="00A10AAC" w:rsidP="00A10AAC">
      <w:pPr>
        <w:spacing w:after="0" w:line="240" w:lineRule="auto"/>
        <w:rPr>
          <w:rFonts w:ascii="Times New Roman" w:hAnsi="Times New Roman" w:cs="Times New Roman"/>
          <w:sz w:val="24"/>
          <w:szCs w:val="24"/>
        </w:rPr>
      </w:pPr>
      <w:r w:rsidRPr="00A10AAC">
        <w:rPr>
          <w:rFonts w:ascii="Times New Roman" w:hAnsi="Times New Roman" w:cs="Times New Roman"/>
          <w:sz w:val="24"/>
          <w:szCs w:val="24"/>
          <w:u w:val="single"/>
        </w:rPr>
        <w:t>Public Law 93-288 Robert T Stafford Disaster Relief and Emergency Assistance Act</w:t>
      </w:r>
    </w:p>
    <w:p w:rsidR="00A10AAC" w:rsidRPr="00A10AAC" w:rsidRDefault="00A10AAC" w:rsidP="00A10AAC">
      <w:pPr>
        <w:widowControl w:val="0"/>
        <w:numPr>
          <w:ilvl w:val="0"/>
          <w:numId w:val="2"/>
        </w:numPr>
        <w:suppressAutoHyphens/>
        <w:spacing w:after="0" w:line="240" w:lineRule="auto"/>
        <w:rPr>
          <w:rFonts w:ascii="Times New Roman" w:hAnsi="Times New Roman" w:cs="Times New Roman"/>
          <w:sz w:val="24"/>
          <w:szCs w:val="24"/>
        </w:rPr>
      </w:pPr>
      <w:r w:rsidRPr="00A10AAC">
        <w:rPr>
          <w:rFonts w:ascii="Times New Roman" w:hAnsi="Times New Roman" w:cs="Times New Roman"/>
          <w:sz w:val="24"/>
          <w:szCs w:val="24"/>
        </w:rPr>
        <w:t xml:space="preserve">The Stafford Act allows the Federal Emergency Management Agency to provide immediate relief without conducting NEPA analysis. </w:t>
      </w:r>
    </w:p>
    <w:p w:rsidR="00A10AAC" w:rsidRPr="00A10AAC" w:rsidRDefault="00A10AAC" w:rsidP="00A10AAC">
      <w:pPr>
        <w:pStyle w:val="NormalWeb"/>
        <w:numPr>
          <w:ilvl w:val="0"/>
          <w:numId w:val="2"/>
        </w:numPr>
        <w:spacing w:before="0" w:after="0" w:line="240" w:lineRule="auto"/>
      </w:pPr>
      <w:r w:rsidRPr="00A10AAC">
        <w:t xml:space="preserve">FEMA does not have to conduct environmental analysis before providing essential assistance including: providing medicine and medical equipment, water, food, personnel; deploying search and rescue teams; providing temporary housing, crisis counseling, community disaster loans, emergency public transportation; clearing roads; demolishing unsafe structures; providing technical advice, and distributing Federal resources. </w:t>
      </w:r>
    </w:p>
    <w:p w:rsidR="00A10AAC" w:rsidRPr="00A10AAC" w:rsidRDefault="00A10AAC" w:rsidP="00A10AAC">
      <w:pPr>
        <w:pStyle w:val="NormalWeb"/>
        <w:numPr>
          <w:ilvl w:val="0"/>
          <w:numId w:val="2"/>
        </w:numPr>
        <w:spacing w:before="0" w:after="0" w:line="240" w:lineRule="auto"/>
      </w:pPr>
      <w:r w:rsidRPr="00A10AAC">
        <w:t xml:space="preserve">FEMA is also not required to conduct NEPA analysis for clearing debris or restoring damaged buildings to their original condition. </w:t>
      </w:r>
    </w:p>
    <w:p w:rsidR="00A10AAC" w:rsidRPr="00A10AAC" w:rsidRDefault="00A10AAC" w:rsidP="00A10AAC">
      <w:pPr>
        <w:widowControl w:val="0"/>
        <w:numPr>
          <w:ilvl w:val="0"/>
          <w:numId w:val="2"/>
        </w:numPr>
        <w:suppressAutoHyphens/>
        <w:spacing w:after="0" w:line="240" w:lineRule="auto"/>
        <w:rPr>
          <w:rFonts w:ascii="Times New Roman" w:hAnsi="Times New Roman" w:cs="Times New Roman"/>
          <w:sz w:val="24"/>
          <w:szCs w:val="24"/>
        </w:rPr>
      </w:pPr>
      <w:r w:rsidRPr="00A10AAC">
        <w:rPr>
          <w:rFonts w:ascii="Times New Roman" w:hAnsi="Times New Roman" w:cs="Times New Roman"/>
          <w:sz w:val="24"/>
          <w:szCs w:val="24"/>
        </w:rPr>
        <w:t xml:space="preserve">FEMA was not required to make any Environmental Impact Statements (EIS) for its response to Hurricane Katrina. </w:t>
      </w:r>
    </w:p>
    <w:p w:rsidR="00A10AAC" w:rsidRPr="00A10AAC" w:rsidRDefault="00A10AAC" w:rsidP="00A10AAC">
      <w:pPr>
        <w:widowControl w:val="0"/>
        <w:suppressAutoHyphens/>
        <w:spacing w:after="0" w:line="240" w:lineRule="auto"/>
        <w:rPr>
          <w:rFonts w:ascii="Times New Roman" w:hAnsi="Times New Roman" w:cs="Times New Roman"/>
          <w:sz w:val="24"/>
          <w:szCs w:val="24"/>
        </w:rPr>
      </w:pPr>
    </w:p>
    <w:p w:rsidR="00A10AAC" w:rsidRPr="00A10AAC" w:rsidRDefault="00A10AAC" w:rsidP="00A10AAC">
      <w:pPr>
        <w:spacing w:after="0" w:line="240" w:lineRule="auto"/>
        <w:rPr>
          <w:rFonts w:ascii="Times New Roman" w:hAnsi="Times New Roman" w:cs="Times New Roman"/>
          <w:sz w:val="24"/>
          <w:szCs w:val="24"/>
        </w:rPr>
      </w:pPr>
      <w:r w:rsidRPr="00A10AAC">
        <w:rPr>
          <w:rFonts w:ascii="Times New Roman" w:hAnsi="Times New Roman" w:cs="Times New Roman"/>
          <w:sz w:val="24"/>
          <w:szCs w:val="24"/>
          <w:u w:val="single"/>
        </w:rPr>
        <w:t xml:space="preserve">Military Emergency Procedures </w:t>
      </w:r>
    </w:p>
    <w:p w:rsidR="00A10AAC" w:rsidRPr="00A10AAC" w:rsidRDefault="00A10AAC" w:rsidP="00A10AAC">
      <w:pPr>
        <w:widowControl w:val="0"/>
        <w:numPr>
          <w:ilvl w:val="0"/>
          <w:numId w:val="3"/>
        </w:numPr>
        <w:suppressAutoHyphens/>
        <w:spacing w:after="0" w:line="240" w:lineRule="auto"/>
        <w:rPr>
          <w:rFonts w:ascii="Times New Roman" w:hAnsi="Times New Roman" w:cs="Times New Roman"/>
          <w:sz w:val="24"/>
          <w:szCs w:val="24"/>
        </w:rPr>
      </w:pPr>
      <w:r w:rsidRPr="00A10AAC">
        <w:rPr>
          <w:rFonts w:ascii="Times New Roman" w:hAnsi="Times New Roman" w:cs="Times New Roman"/>
          <w:sz w:val="24"/>
          <w:szCs w:val="24"/>
        </w:rPr>
        <w:t xml:space="preserve">Defense agencies may take immediate steps without environmental analysis to respond to </w:t>
      </w:r>
      <w:r w:rsidRPr="00A10AAC">
        <w:rPr>
          <w:rFonts w:ascii="Times New Roman" w:hAnsi="Times New Roman" w:cs="Times New Roman"/>
          <w:sz w:val="24"/>
          <w:szCs w:val="24"/>
        </w:rPr>
        <w:lastRenderedPageBreak/>
        <w:t xml:space="preserve">emergencies that threaten national security, life, or property. When practicable a designated officer will coordinate alternative NEPA arrangements with CEQ. </w:t>
      </w:r>
    </w:p>
    <w:p w:rsidR="00A10AAC" w:rsidRPr="00A10AAC" w:rsidRDefault="00A10AAC" w:rsidP="00A10AAC">
      <w:pPr>
        <w:widowControl w:val="0"/>
        <w:numPr>
          <w:ilvl w:val="0"/>
          <w:numId w:val="3"/>
        </w:numPr>
        <w:suppressAutoHyphens/>
        <w:spacing w:after="0" w:line="240" w:lineRule="auto"/>
        <w:rPr>
          <w:rFonts w:ascii="Times New Roman" w:hAnsi="Times New Roman" w:cs="Times New Roman"/>
          <w:sz w:val="24"/>
          <w:szCs w:val="24"/>
        </w:rPr>
      </w:pPr>
      <w:r w:rsidRPr="00A10AAC">
        <w:rPr>
          <w:rFonts w:ascii="Times New Roman" w:hAnsi="Times New Roman" w:cs="Times New Roman"/>
          <w:sz w:val="24"/>
          <w:szCs w:val="24"/>
        </w:rPr>
        <w:t>Classified projects do not have to go through the public scoping process to comply with NEPA. They can remain classified until the project is declassified.</w:t>
      </w:r>
    </w:p>
    <w:p w:rsidR="00A10AAC" w:rsidRDefault="00A10AAC" w:rsidP="00A10AAC">
      <w:pPr>
        <w:widowControl w:val="0"/>
        <w:numPr>
          <w:ilvl w:val="0"/>
          <w:numId w:val="3"/>
        </w:numPr>
        <w:suppressAutoHyphens/>
        <w:spacing w:after="0" w:line="240" w:lineRule="auto"/>
        <w:rPr>
          <w:rFonts w:ascii="Times New Roman" w:hAnsi="Times New Roman" w:cs="Times New Roman"/>
          <w:sz w:val="24"/>
          <w:szCs w:val="24"/>
        </w:rPr>
      </w:pPr>
      <w:r w:rsidRPr="00A10AAC">
        <w:rPr>
          <w:rFonts w:ascii="Times New Roman" w:hAnsi="Times New Roman" w:cs="Times New Roman"/>
          <w:sz w:val="24"/>
          <w:szCs w:val="24"/>
        </w:rPr>
        <w:t xml:space="preserve">Army (32 CFR 651.11(b)), Navy (32 CFR 775.6(d)), Air Force (32 CFR 989.34(b)), Coast Guard (67 FR 141), and Defense Logistics Agency (32 CFR 1000.22 subpart </w:t>
      </w:r>
      <w:proofErr w:type="gramStart"/>
      <w:r w:rsidRPr="00A10AAC">
        <w:rPr>
          <w:rFonts w:ascii="Times New Roman" w:hAnsi="Times New Roman" w:cs="Times New Roman"/>
          <w:sz w:val="24"/>
          <w:szCs w:val="24"/>
        </w:rPr>
        <w:t>B(</w:t>
      </w:r>
      <w:proofErr w:type="gramEnd"/>
      <w:r w:rsidRPr="00A10AAC">
        <w:rPr>
          <w:rFonts w:ascii="Times New Roman" w:hAnsi="Times New Roman" w:cs="Times New Roman"/>
          <w:sz w:val="24"/>
          <w:szCs w:val="24"/>
        </w:rPr>
        <w:t>4)(b)(1)).</w:t>
      </w:r>
    </w:p>
    <w:p w:rsidR="00B35C6C" w:rsidRPr="00A10AAC" w:rsidRDefault="00B35C6C" w:rsidP="00B35C6C">
      <w:pPr>
        <w:widowControl w:val="0"/>
        <w:suppressAutoHyphens/>
        <w:spacing w:after="0" w:line="240" w:lineRule="auto"/>
        <w:rPr>
          <w:rFonts w:ascii="Times New Roman" w:hAnsi="Times New Roman" w:cs="Times New Roman"/>
          <w:sz w:val="24"/>
          <w:szCs w:val="24"/>
        </w:rPr>
      </w:pPr>
    </w:p>
    <w:p w:rsidR="00A10AAC" w:rsidRPr="00A10AAC" w:rsidRDefault="00A10AAC" w:rsidP="00A10AAC">
      <w:pPr>
        <w:spacing w:after="0" w:line="240" w:lineRule="auto"/>
        <w:rPr>
          <w:rFonts w:ascii="Times New Roman" w:hAnsi="Times New Roman" w:cs="Times New Roman"/>
          <w:sz w:val="24"/>
          <w:szCs w:val="24"/>
        </w:rPr>
      </w:pPr>
      <w:r w:rsidRPr="00A10AAC">
        <w:rPr>
          <w:rFonts w:ascii="Times New Roman" w:hAnsi="Times New Roman" w:cs="Times New Roman"/>
          <w:sz w:val="24"/>
          <w:szCs w:val="24"/>
          <w:u w:val="single"/>
        </w:rPr>
        <w:t>Non-Military Federal Agency Emergency Procedures</w:t>
      </w:r>
    </w:p>
    <w:p w:rsidR="00A10AAC" w:rsidRPr="00A10AAC" w:rsidRDefault="00A10AAC" w:rsidP="00A10AAC">
      <w:pPr>
        <w:widowControl w:val="0"/>
        <w:numPr>
          <w:ilvl w:val="0"/>
          <w:numId w:val="4"/>
        </w:numPr>
        <w:suppressAutoHyphens/>
        <w:spacing w:after="0" w:line="240" w:lineRule="auto"/>
        <w:rPr>
          <w:rFonts w:ascii="Times New Roman" w:hAnsi="Times New Roman" w:cs="Times New Roman"/>
          <w:sz w:val="24"/>
          <w:szCs w:val="24"/>
        </w:rPr>
      </w:pPr>
      <w:r w:rsidRPr="00A10AAC">
        <w:rPr>
          <w:rFonts w:ascii="Times New Roman" w:hAnsi="Times New Roman" w:cs="Times New Roman"/>
          <w:sz w:val="24"/>
          <w:szCs w:val="24"/>
        </w:rPr>
        <w:t xml:space="preserve">Most federal agencies have regulations specifying how to comply with NEPA during an emergency. Generally agencies must address the immediate needs of the situation and coordinate alternative arrangements with CEQ as soon as practicable. </w:t>
      </w:r>
    </w:p>
    <w:p w:rsidR="00A10AAC" w:rsidRPr="00A10AAC" w:rsidRDefault="00A10AAC" w:rsidP="00A10AAC">
      <w:pPr>
        <w:pStyle w:val="NormalWeb"/>
        <w:numPr>
          <w:ilvl w:val="0"/>
          <w:numId w:val="4"/>
        </w:numPr>
        <w:spacing w:before="0" w:after="0" w:line="240" w:lineRule="auto"/>
      </w:pPr>
      <w:r w:rsidRPr="00A10AAC">
        <w:t xml:space="preserve">The Army Corps of Engineers– 33 CFR 230.8 – “In responding to emergency situations to prevent or reduce imminent risk of life, health, property, or severe economic losses, district commanders may proceed without” following NEPA documentation. District Commanders will consider “the probable environmental consequences” and may file NEPA documentation after the action to record such impacts. </w:t>
      </w:r>
    </w:p>
    <w:p w:rsidR="00A10AAC" w:rsidRPr="00A10AAC" w:rsidRDefault="00A10AAC" w:rsidP="00A10AAC">
      <w:pPr>
        <w:widowControl w:val="0"/>
        <w:numPr>
          <w:ilvl w:val="0"/>
          <w:numId w:val="4"/>
        </w:numPr>
        <w:suppressAutoHyphens/>
        <w:spacing w:after="0" w:line="240" w:lineRule="auto"/>
        <w:rPr>
          <w:rFonts w:ascii="Times New Roman" w:hAnsi="Times New Roman" w:cs="Times New Roman"/>
          <w:sz w:val="24"/>
          <w:szCs w:val="24"/>
        </w:rPr>
      </w:pPr>
      <w:r w:rsidRPr="00A10AAC">
        <w:rPr>
          <w:rFonts w:ascii="Times New Roman" w:hAnsi="Times New Roman" w:cs="Times New Roman"/>
          <w:sz w:val="24"/>
          <w:szCs w:val="24"/>
        </w:rPr>
        <w:t xml:space="preserve">Department of the Interior– 43 C.F.R. 46.150 – “The Responsible Official may take those actions necessary to control the immediate impacts of the emergency that are urgently needed to mitigate harm to life, property, or important natural, cultural, or historic resources. When taking such actions, the Responsible Official shall take into account the probable environmental consequences of these actions and mitigate foreseeable adverse environmental effects to the extent practical.” </w:t>
      </w:r>
    </w:p>
    <w:p w:rsidR="00A10AAC" w:rsidRPr="00A10AAC" w:rsidRDefault="00A10AAC" w:rsidP="00A10AAC">
      <w:pPr>
        <w:widowControl w:val="0"/>
        <w:numPr>
          <w:ilvl w:val="0"/>
          <w:numId w:val="4"/>
        </w:numPr>
        <w:suppressAutoHyphens/>
        <w:spacing w:after="0" w:line="240" w:lineRule="auto"/>
        <w:rPr>
          <w:rFonts w:ascii="Times New Roman" w:hAnsi="Times New Roman" w:cs="Times New Roman"/>
          <w:sz w:val="24"/>
          <w:szCs w:val="24"/>
        </w:rPr>
      </w:pPr>
      <w:r w:rsidRPr="00A10AAC">
        <w:rPr>
          <w:rFonts w:ascii="Times New Roman" w:hAnsi="Times New Roman" w:cs="Times New Roman"/>
          <w:sz w:val="24"/>
          <w:szCs w:val="24"/>
        </w:rPr>
        <w:t xml:space="preserve">Department of Homeland Security– 71 FR 16790 – In the event of emergencies such as hurricanes, earthquakes, imminent terrorism threat, or the release hazardous substances, the DHS “will not delay an emergency action” to comply with NEPA. Instead the DHS official will consider and minimize as practicable environmental harm and contact CEQ when possible. </w:t>
      </w:r>
    </w:p>
    <w:p w:rsidR="00A10AAC" w:rsidRPr="00A10AAC" w:rsidRDefault="00A10AAC" w:rsidP="00A10AAC">
      <w:pPr>
        <w:widowControl w:val="0"/>
        <w:numPr>
          <w:ilvl w:val="0"/>
          <w:numId w:val="4"/>
        </w:numPr>
        <w:suppressAutoHyphens/>
        <w:spacing w:after="0" w:line="240" w:lineRule="auto"/>
        <w:rPr>
          <w:rFonts w:ascii="Times New Roman" w:hAnsi="Times New Roman" w:cs="Times New Roman"/>
          <w:sz w:val="24"/>
          <w:szCs w:val="24"/>
        </w:rPr>
      </w:pPr>
      <w:r w:rsidRPr="00A10AAC">
        <w:rPr>
          <w:rFonts w:ascii="Times New Roman" w:hAnsi="Times New Roman" w:cs="Times New Roman"/>
          <w:sz w:val="24"/>
          <w:szCs w:val="24"/>
        </w:rPr>
        <w:t xml:space="preserve">Department of Energy–10 CFR 1021.343(a) – DOE may respond to emergencies without fully following NEPA documentation, but document as practicable. As soon as possible the responsible party shall consult with the office of NEPA compliance. </w:t>
      </w:r>
    </w:p>
    <w:p w:rsidR="00A10AAC" w:rsidRPr="00A10AAC" w:rsidRDefault="00A10AAC" w:rsidP="00A10AAC">
      <w:pPr>
        <w:widowControl w:val="0"/>
        <w:suppressAutoHyphens/>
        <w:spacing w:after="0" w:line="240" w:lineRule="auto"/>
        <w:rPr>
          <w:rFonts w:ascii="Times New Roman" w:hAnsi="Times New Roman" w:cs="Times New Roman"/>
          <w:sz w:val="24"/>
          <w:szCs w:val="24"/>
        </w:rPr>
      </w:pPr>
    </w:p>
    <w:p w:rsidR="00A10AAC" w:rsidRPr="00A10AAC" w:rsidRDefault="00A10AAC" w:rsidP="00A10AAC">
      <w:pPr>
        <w:spacing w:after="0" w:line="240" w:lineRule="auto"/>
        <w:rPr>
          <w:rFonts w:ascii="Times New Roman" w:hAnsi="Times New Roman" w:cs="Times New Roman"/>
          <w:sz w:val="24"/>
          <w:szCs w:val="24"/>
        </w:rPr>
      </w:pPr>
      <w:r w:rsidRPr="00A10AAC">
        <w:rPr>
          <w:rFonts w:ascii="Times New Roman" w:hAnsi="Times New Roman" w:cs="Times New Roman"/>
          <w:sz w:val="24"/>
          <w:szCs w:val="24"/>
          <w:u w:val="single"/>
        </w:rPr>
        <w:t>Categorical Exclusions</w:t>
      </w:r>
    </w:p>
    <w:p w:rsidR="00A10AAC" w:rsidRPr="00A10AAC" w:rsidRDefault="00A10AAC" w:rsidP="00A10AAC">
      <w:pPr>
        <w:widowControl w:val="0"/>
        <w:numPr>
          <w:ilvl w:val="0"/>
          <w:numId w:val="5"/>
        </w:numPr>
        <w:suppressAutoHyphens/>
        <w:spacing w:after="0" w:line="240" w:lineRule="auto"/>
        <w:rPr>
          <w:rFonts w:ascii="Times New Roman" w:hAnsi="Times New Roman" w:cs="Times New Roman"/>
          <w:sz w:val="24"/>
          <w:szCs w:val="24"/>
        </w:rPr>
      </w:pPr>
      <w:r w:rsidRPr="00A10AAC">
        <w:rPr>
          <w:rFonts w:ascii="Times New Roman" w:hAnsi="Times New Roman" w:cs="Times New Roman"/>
          <w:sz w:val="24"/>
          <w:szCs w:val="24"/>
        </w:rPr>
        <w:t>NEPA recognizes that some types of actions consistently do not have significant environmental impacts. Thus NEPA allows agencies to create and implement categorical exclusions: “a category of actions which do not individually or cumulatively have a significant effect on the human environment,” and therefore do not require further analysis. The agency must consider whether extraordinary circumstances- such as expected public concern- indicate that an action does not fall into the categorical exclusion. 40 CFR 1508.4.</w:t>
      </w:r>
    </w:p>
    <w:p w:rsidR="00A10AAC" w:rsidRPr="00A10AAC" w:rsidRDefault="00A10AAC" w:rsidP="00A10AAC">
      <w:pPr>
        <w:widowControl w:val="0"/>
        <w:numPr>
          <w:ilvl w:val="0"/>
          <w:numId w:val="5"/>
        </w:numPr>
        <w:suppressAutoHyphens/>
        <w:spacing w:after="0" w:line="240" w:lineRule="auto"/>
        <w:rPr>
          <w:rFonts w:ascii="Times New Roman" w:hAnsi="Times New Roman" w:cs="Times New Roman"/>
          <w:sz w:val="24"/>
          <w:szCs w:val="24"/>
        </w:rPr>
      </w:pPr>
      <w:r w:rsidRPr="00A10AAC">
        <w:rPr>
          <w:rFonts w:ascii="Times New Roman" w:hAnsi="Times New Roman" w:cs="Times New Roman"/>
          <w:bCs/>
          <w:sz w:val="24"/>
          <w:szCs w:val="24"/>
        </w:rPr>
        <w:t xml:space="preserve">Categorical exclusions are the most commonly used form of analysis to comply with NEPA. </w:t>
      </w:r>
      <w:r w:rsidRPr="00A10AAC">
        <w:rPr>
          <w:rFonts w:ascii="Times New Roman" w:hAnsi="Times New Roman" w:cs="Times New Roman"/>
          <w:sz w:val="24"/>
          <w:szCs w:val="24"/>
        </w:rPr>
        <w:t xml:space="preserve">Every year, 99% of FEMA actions fall under the Stafford Act exemptions or categorical exclusions. </w:t>
      </w:r>
    </w:p>
    <w:p w:rsidR="00A10AAC" w:rsidRPr="00A10AAC" w:rsidRDefault="00A10AAC" w:rsidP="00A10AAC">
      <w:pPr>
        <w:widowControl w:val="0"/>
        <w:numPr>
          <w:ilvl w:val="0"/>
          <w:numId w:val="5"/>
        </w:numPr>
        <w:suppressAutoHyphens/>
        <w:spacing w:after="0" w:line="240" w:lineRule="auto"/>
        <w:rPr>
          <w:rFonts w:ascii="Times New Roman" w:hAnsi="Times New Roman" w:cs="Times New Roman"/>
          <w:sz w:val="24"/>
          <w:szCs w:val="24"/>
        </w:rPr>
      </w:pPr>
      <w:r w:rsidRPr="00A10AAC">
        <w:rPr>
          <w:rFonts w:ascii="Times New Roman" w:hAnsi="Times New Roman" w:cs="Times New Roman"/>
          <w:sz w:val="24"/>
          <w:szCs w:val="24"/>
        </w:rPr>
        <w:t>44 C.F.R. 10.8 (d)(2) – FEMA categorical exclusions include: training, procuring emergency supplies, improving facilities, activating the Emergency Support Team, activating the Regional Operations Center,</w:t>
      </w:r>
      <w:bookmarkStart w:id="0" w:name="_GoBack"/>
      <w:bookmarkEnd w:id="0"/>
      <w:r w:rsidRPr="00A10AAC">
        <w:rPr>
          <w:rFonts w:ascii="Times New Roman" w:hAnsi="Times New Roman" w:cs="Times New Roman"/>
          <w:sz w:val="24"/>
          <w:szCs w:val="24"/>
        </w:rPr>
        <w:t xml:space="preserve"> deploying an Emergency Response Team, </w:t>
      </w:r>
      <w:r w:rsidRPr="00A10AAC">
        <w:rPr>
          <w:rFonts w:ascii="Times New Roman" w:hAnsi="Times New Roman" w:cs="Times New Roman"/>
          <w:sz w:val="24"/>
          <w:szCs w:val="24"/>
        </w:rPr>
        <w:lastRenderedPageBreak/>
        <w:t>ground and aerial reconnaissance, and reporting rescue efforts.</w:t>
      </w:r>
    </w:p>
    <w:p w:rsidR="00A10AAC" w:rsidRPr="00A10AAC" w:rsidRDefault="00A10AAC" w:rsidP="00A10AAC">
      <w:pPr>
        <w:widowControl w:val="0"/>
        <w:numPr>
          <w:ilvl w:val="0"/>
          <w:numId w:val="5"/>
        </w:numPr>
        <w:suppressAutoHyphens/>
        <w:spacing w:after="0" w:line="240" w:lineRule="auto"/>
        <w:rPr>
          <w:rFonts w:ascii="Times New Roman" w:hAnsi="Times New Roman" w:cs="Times New Roman"/>
          <w:sz w:val="24"/>
          <w:szCs w:val="24"/>
        </w:rPr>
      </w:pPr>
      <w:r w:rsidRPr="00A10AAC">
        <w:rPr>
          <w:rFonts w:ascii="Times New Roman" w:hAnsi="Times New Roman" w:cs="Times New Roman"/>
          <w:sz w:val="24"/>
          <w:szCs w:val="24"/>
        </w:rPr>
        <w:t>32 C.F.R. 651 Appendix B–Army categorical exclusions include “Emergency or disaster assistance provided to federal, state, or local entities,” and response to hazardous waste and chemical spills</w:t>
      </w:r>
    </w:p>
    <w:p w:rsidR="00A10AAC" w:rsidRPr="00C178C9" w:rsidRDefault="00A10AAC" w:rsidP="00A10AAC">
      <w:pPr>
        <w:widowControl w:val="0"/>
        <w:suppressAutoHyphens/>
        <w:spacing w:after="0" w:line="240" w:lineRule="auto"/>
        <w:rPr>
          <w:rFonts w:cs="Times New Roman"/>
        </w:rPr>
      </w:pPr>
    </w:p>
    <w:p w:rsidR="00420F9C" w:rsidRPr="00420F9C" w:rsidRDefault="00420F9C">
      <w:pPr>
        <w:rPr>
          <w:rFonts w:ascii="Times New Roman" w:hAnsi="Times New Roman" w:cs="Times New Roman"/>
        </w:rPr>
      </w:pPr>
    </w:p>
    <w:sectPr w:rsidR="00420F9C" w:rsidRPr="00420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Calibri">
    <w:panose1 w:val="020F05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0F70"/>
    <w:multiLevelType w:val="hybridMultilevel"/>
    <w:tmpl w:val="E268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55D18"/>
    <w:multiLevelType w:val="multilevel"/>
    <w:tmpl w:val="B52CE3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2B2039F"/>
    <w:multiLevelType w:val="multilevel"/>
    <w:tmpl w:val="187C8B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66B76FF"/>
    <w:multiLevelType w:val="multilevel"/>
    <w:tmpl w:val="AE5201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7F038C1"/>
    <w:multiLevelType w:val="multilevel"/>
    <w:tmpl w:val="EB744A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4D5706A"/>
    <w:multiLevelType w:val="multilevel"/>
    <w:tmpl w:val="C5DE51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9C"/>
    <w:rsid w:val="00420F9C"/>
    <w:rsid w:val="005E100E"/>
    <w:rsid w:val="00A10AAC"/>
    <w:rsid w:val="00B3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5DEF"/>
  <w15:chartTrackingRefBased/>
  <w15:docId w15:val="{EB0000A8-9C0D-47D7-83B4-AC37ED0E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0F9C"/>
    <w:rPr>
      <w:color w:val="0000FF"/>
      <w:u w:val="single"/>
    </w:rPr>
  </w:style>
  <w:style w:type="paragraph" w:styleId="NormalWeb">
    <w:name w:val="Normal (Web)"/>
    <w:basedOn w:val="Normal"/>
    <w:uiPriority w:val="99"/>
    <w:rsid w:val="00A10AAC"/>
    <w:pPr>
      <w:widowControl w:val="0"/>
      <w:tabs>
        <w:tab w:val="left" w:pos="709"/>
      </w:tabs>
      <w:suppressAutoHyphens/>
      <w:spacing w:before="28" w:after="115" w:line="100" w:lineRule="atLeast"/>
    </w:pPr>
    <w:rPr>
      <w:rFonts w:ascii="Times New Roman" w:eastAsia="WenQuanYi Micro Hei" w:hAnsi="Times New Roman" w:cs="Times New Roman"/>
      <w:color w:val="000000"/>
      <w:sz w:val="24"/>
      <w:szCs w:val="24"/>
      <w:lang w:eastAsia="zh-CN" w:bidi="hi-IN"/>
    </w:rPr>
  </w:style>
  <w:style w:type="paragraph" w:styleId="ListParagraph">
    <w:name w:val="List Paragraph"/>
    <w:basedOn w:val="Normal"/>
    <w:uiPriority w:val="34"/>
    <w:qFormat/>
    <w:rsid w:val="00A1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eq.doe.gov/docs/nepa-practice/Alternative_Arrangements_Chart_0514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Schima</dc:creator>
  <cp:keywords/>
  <dc:description/>
  <cp:lastModifiedBy>Stephen Schima</cp:lastModifiedBy>
  <cp:revision>2</cp:revision>
  <dcterms:created xsi:type="dcterms:W3CDTF">2020-03-23T15:01:00Z</dcterms:created>
  <dcterms:modified xsi:type="dcterms:W3CDTF">2020-03-23T15:39:00Z</dcterms:modified>
</cp:coreProperties>
</file>