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AB782" w14:textId="2EC0DC30" w:rsidR="00D02F72" w:rsidRPr="00C0582D" w:rsidRDefault="00FE73E4" w:rsidP="00FE73E4">
      <w:pPr>
        <w:rPr>
          <w:rFonts w:ascii="Cambria" w:hAnsi="Cambria"/>
          <w:b/>
          <w:bCs/>
          <w:sz w:val="22"/>
          <w:szCs w:val="22"/>
          <w:u w:val="single"/>
        </w:rPr>
      </w:pPr>
      <w:r w:rsidRPr="00C0582D">
        <w:rPr>
          <w:rFonts w:ascii="Cambria" w:hAnsi="Cambria"/>
          <w:b/>
          <w:bCs/>
          <w:sz w:val="22"/>
          <w:szCs w:val="22"/>
          <w:u w:val="single"/>
        </w:rPr>
        <w:t>Summary of DOI’s Interim Guidance on Oil &amp; Gas Royalty R</w:t>
      </w:r>
      <w:r w:rsidR="00C02FB6" w:rsidRPr="00C0582D">
        <w:rPr>
          <w:rFonts w:ascii="Cambria" w:hAnsi="Cambria"/>
          <w:b/>
          <w:bCs/>
          <w:sz w:val="22"/>
          <w:szCs w:val="22"/>
          <w:u w:val="single"/>
        </w:rPr>
        <w:t xml:space="preserve">ate Reductions </w:t>
      </w:r>
      <w:r w:rsidRPr="00C0582D">
        <w:rPr>
          <w:rFonts w:ascii="Cambria" w:hAnsi="Cambria"/>
          <w:b/>
          <w:bCs/>
          <w:sz w:val="22"/>
          <w:szCs w:val="22"/>
          <w:u w:val="single"/>
        </w:rPr>
        <w:t>and Lease Suspension</w:t>
      </w:r>
      <w:r w:rsidR="00FA327E">
        <w:rPr>
          <w:rFonts w:ascii="Cambria" w:hAnsi="Cambria"/>
          <w:b/>
          <w:bCs/>
          <w:sz w:val="22"/>
          <w:szCs w:val="22"/>
          <w:u w:val="single"/>
        </w:rPr>
        <w:t>s</w:t>
      </w:r>
    </w:p>
    <w:p w14:paraId="34812706" w14:textId="59C2D883" w:rsidR="00FE73E4" w:rsidRPr="00C0582D" w:rsidRDefault="00FE73E4" w:rsidP="00FE73E4">
      <w:pPr>
        <w:rPr>
          <w:rFonts w:ascii="Cambria" w:hAnsi="Cambria"/>
          <w:b/>
          <w:bCs/>
          <w:sz w:val="22"/>
          <w:szCs w:val="22"/>
          <w:u w:val="single"/>
        </w:rPr>
      </w:pPr>
    </w:p>
    <w:p w14:paraId="35FDD6A6" w14:textId="5F2EC5D0" w:rsidR="00AE66F3" w:rsidRPr="00C0582D" w:rsidRDefault="00FE73E4" w:rsidP="00FE73E4">
      <w:pPr>
        <w:rPr>
          <w:rFonts w:ascii="Cambria" w:hAnsi="Cambria"/>
          <w:sz w:val="22"/>
          <w:szCs w:val="22"/>
        </w:rPr>
      </w:pPr>
      <w:r w:rsidRPr="00C0582D">
        <w:rPr>
          <w:rFonts w:ascii="Cambria" w:hAnsi="Cambria"/>
          <w:sz w:val="22"/>
          <w:szCs w:val="22"/>
        </w:rPr>
        <w:t xml:space="preserve">On April 21, 2020, the Interior Department (DOI) issued “interim” guidance on expediting </w:t>
      </w:r>
      <w:r w:rsidR="00077224">
        <w:rPr>
          <w:rFonts w:ascii="Cambria" w:hAnsi="Cambria"/>
          <w:sz w:val="22"/>
          <w:szCs w:val="22"/>
        </w:rPr>
        <w:t xml:space="preserve">both </w:t>
      </w:r>
      <w:r w:rsidRPr="00C0582D">
        <w:rPr>
          <w:rFonts w:ascii="Cambria" w:hAnsi="Cambria"/>
          <w:sz w:val="22"/>
          <w:szCs w:val="22"/>
        </w:rPr>
        <w:t>oil and gas royalty r</w:t>
      </w:r>
      <w:r w:rsidR="00C02FB6" w:rsidRPr="00C0582D">
        <w:rPr>
          <w:rFonts w:ascii="Cambria" w:hAnsi="Cambria"/>
          <w:sz w:val="22"/>
          <w:szCs w:val="22"/>
        </w:rPr>
        <w:t>ate reductions</w:t>
      </w:r>
      <w:r w:rsidRPr="00C0582D">
        <w:rPr>
          <w:rFonts w:ascii="Cambria" w:hAnsi="Cambria"/>
          <w:sz w:val="22"/>
          <w:szCs w:val="22"/>
        </w:rPr>
        <w:t xml:space="preserve"> </w:t>
      </w:r>
      <w:r w:rsidR="00C02FB6" w:rsidRPr="00C0582D">
        <w:rPr>
          <w:rFonts w:ascii="Cambria" w:hAnsi="Cambria"/>
          <w:sz w:val="22"/>
          <w:szCs w:val="22"/>
        </w:rPr>
        <w:t>and lease suspensions</w:t>
      </w:r>
      <w:r w:rsidRPr="00C0582D">
        <w:rPr>
          <w:rFonts w:ascii="Cambria" w:hAnsi="Cambria"/>
          <w:sz w:val="22"/>
          <w:szCs w:val="22"/>
        </w:rPr>
        <w:t xml:space="preserve">.  </w:t>
      </w:r>
      <w:r w:rsidR="00AE66F3" w:rsidRPr="00C0582D">
        <w:rPr>
          <w:rFonts w:ascii="Cambria" w:hAnsi="Cambria"/>
          <w:sz w:val="22"/>
          <w:szCs w:val="22"/>
        </w:rPr>
        <w:t>According to DOI, t</w:t>
      </w:r>
      <w:r w:rsidR="00C02FB6" w:rsidRPr="00C0582D">
        <w:rPr>
          <w:rFonts w:ascii="Cambria" w:hAnsi="Cambria"/>
          <w:sz w:val="22"/>
          <w:szCs w:val="22"/>
        </w:rPr>
        <w:t>his guidance, which is unsigned and was leaked to the press,</w:t>
      </w:r>
      <w:r w:rsidR="00C0582D" w:rsidRPr="00C0582D">
        <w:rPr>
          <w:rStyle w:val="FootnoteReference"/>
          <w:rFonts w:ascii="Cambria" w:hAnsi="Cambria"/>
          <w:sz w:val="22"/>
          <w:szCs w:val="22"/>
        </w:rPr>
        <w:footnoteReference w:id="1"/>
      </w:r>
      <w:r w:rsidR="00C02FB6" w:rsidRPr="00C0582D">
        <w:rPr>
          <w:rFonts w:ascii="Cambria" w:hAnsi="Cambria"/>
          <w:sz w:val="22"/>
          <w:szCs w:val="22"/>
        </w:rPr>
        <w:t xml:space="preserve"> </w:t>
      </w:r>
      <w:r w:rsidR="00AE66F3" w:rsidRPr="00C0582D">
        <w:rPr>
          <w:rFonts w:ascii="Cambria" w:hAnsi="Cambria"/>
          <w:sz w:val="22"/>
          <w:szCs w:val="22"/>
        </w:rPr>
        <w:t>stems from t</w:t>
      </w:r>
      <w:r w:rsidR="00C02FB6" w:rsidRPr="00C0582D">
        <w:rPr>
          <w:rFonts w:ascii="Cambria" w:hAnsi="Cambria"/>
          <w:sz w:val="22"/>
          <w:szCs w:val="22"/>
        </w:rPr>
        <w:t>he “unprecedented hardships” facing the oil and gas industry</w:t>
      </w:r>
      <w:r w:rsidR="00AE66F3" w:rsidRPr="00C0582D">
        <w:rPr>
          <w:rFonts w:ascii="Cambria" w:hAnsi="Cambria"/>
          <w:sz w:val="22"/>
          <w:szCs w:val="22"/>
        </w:rPr>
        <w:t xml:space="preserve">, along with the national emergency declared by the President on March 16, 2020.  </w:t>
      </w:r>
      <w:r w:rsidR="00C0582D" w:rsidRPr="00C0582D">
        <w:rPr>
          <w:rFonts w:ascii="Cambria" w:hAnsi="Cambria"/>
          <w:sz w:val="22"/>
          <w:szCs w:val="22"/>
        </w:rPr>
        <w:t>The guidance applies solely to oil and gas leases on public lands under the jurisdiction of the Bureau of Land Management (BLM), and does not cover wells/leases on tribal or non-federal lands.</w:t>
      </w:r>
    </w:p>
    <w:p w14:paraId="6522A099" w14:textId="77777777" w:rsidR="00C0582D" w:rsidRPr="00C0582D" w:rsidRDefault="00C0582D" w:rsidP="00FE73E4">
      <w:pPr>
        <w:rPr>
          <w:rFonts w:ascii="Cambria" w:hAnsi="Cambria"/>
          <w:sz w:val="22"/>
          <w:szCs w:val="22"/>
        </w:rPr>
      </w:pPr>
    </w:p>
    <w:p w14:paraId="22F8F06F" w14:textId="059635F3" w:rsidR="00FE73E4" w:rsidRPr="00C0582D" w:rsidRDefault="00C0582D" w:rsidP="00C0582D">
      <w:pPr>
        <w:rPr>
          <w:rFonts w:ascii="Cambria" w:hAnsi="Cambria"/>
          <w:sz w:val="22"/>
          <w:szCs w:val="22"/>
        </w:rPr>
      </w:pPr>
      <w:r w:rsidRPr="00C0582D">
        <w:rPr>
          <w:rFonts w:ascii="Cambria" w:hAnsi="Cambria"/>
          <w:sz w:val="22"/>
          <w:szCs w:val="22"/>
        </w:rPr>
        <w:t>A brief summary of the guidance is provided below.  However, i</w:t>
      </w:r>
      <w:r w:rsidR="00AE66F3" w:rsidRPr="00C0582D">
        <w:rPr>
          <w:rFonts w:ascii="Cambria" w:hAnsi="Cambria"/>
          <w:sz w:val="22"/>
          <w:szCs w:val="22"/>
        </w:rPr>
        <w:t xml:space="preserve">n general, the guidance </w:t>
      </w:r>
      <w:r w:rsidR="00090265">
        <w:rPr>
          <w:rFonts w:ascii="Cambria" w:hAnsi="Cambria"/>
          <w:sz w:val="22"/>
          <w:szCs w:val="22"/>
        </w:rPr>
        <w:t>seem</w:t>
      </w:r>
      <w:r w:rsidR="00667480">
        <w:rPr>
          <w:rFonts w:ascii="Cambria" w:hAnsi="Cambria"/>
          <w:sz w:val="22"/>
          <w:szCs w:val="22"/>
        </w:rPr>
        <w:t>s</w:t>
      </w:r>
      <w:r w:rsidR="00090265">
        <w:rPr>
          <w:rFonts w:ascii="Cambria" w:hAnsi="Cambria"/>
          <w:sz w:val="22"/>
          <w:szCs w:val="22"/>
        </w:rPr>
        <w:t xml:space="preserve"> to encourage companies to </w:t>
      </w:r>
      <w:r w:rsidR="00133058">
        <w:rPr>
          <w:rFonts w:ascii="Cambria" w:hAnsi="Cambria"/>
          <w:sz w:val="22"/>
          <w:szCs w:val="22"/>
        </w:rPr>
        <w:t xml:space="preserve">actively </w:t>
      </w:r>
      <w:r w:rsidR="00090265">
        <w:rPr>
          <w:rFonts w:ascii="Cambria" w:hAnsi="Cambria"/>
          <w:sz w:val="22"/>
          <w:szCs w:val="22"/>
        </w:rPr>
        <w:t xml:space="preserve">avoid paying royalties or rents while </w:t>
      </w:r>
      <w:r w:rsidR="00133058">
        <w:rPr>
          <w:rFonts w:ascii="Cambria" w:hAnsi="Cambria"/>
          <w:sz w:val="22"/>
          <w:szCs w:val="22"/>
        </w:rPr>
        <w:t xml:space="preserve">simultaneously extending the life of </w:t>
      </w:r>
      <w:r w:rsidR="00090265">
        <w:rPr>
          <w:rFonts w:ascii="Cambria" w:hAnsi="Cambria"/>
          <w:sz w:val="22"/>
          <w:szCs w:val="22"/>
        </w:rPr>
        <w:t xml:space="preserve">their leases. </w:t>
      </w:r>
      <w:r w:rsidR="00667480">
        <w:rPr>
          <w:rFonts w:ascii="Cambria" w:hAnsi="Cambria"/>
          <w:sz w:val="22"/>
          <w:szCs w:val="22"/>
        </w:rPr>
        <w:t xml:space="preserve"> </w:t>
      </w:r>
      <w:r w:rsidR="00090265">
        <w:rPr>
          <w:rFonts w:ascii="Cambria" w:hAnsi="Cambria"/>
          <w:sz w:val="22"/>
          <w:szCs w:val="22"/>
        </w:rPr>
        <w:t xml:space="preserve">The guidance documents also </w:t>
      </w:r>
      <w:r w:rsidR="00AE66F3" w:rsidRPr="00C0582D">
        <w:rPr>
          <w:rFonts w:ascii="Cambria" w:hAnsi="Cambria"/>
          <w:sz w:val="22"/>
          <w:szCs w:val="22"/>
        </w:rPr>
        <w:t xml:space="preserve">lack </w:t>
      </w:r>
      <w:r w:rsidRPr="00C0582D">
        <w:rPr>
          <w:rFonts w:ascii="Cambria" w:hAnsi="Cambria"/>
          <w:sz w:val="22"/>
          <w:szCs w:val="22"/>
        </w:rPr>
        <w:t>mechanisms for</w:t>
      </w:r>
      <w:r w:rsidR="00AE66F3" w:rsidRPr="00C0582D">
        <w:rPr>
          <w:rFonts w:ascii="Cambria" w:hAnsi="Cambria"/>
          <w:sz w:val="22"/>
          <w:szCs w:val="22"/>
        </w:rPr>
        <w:t xml:space="preserve"> public oversight and accountability</w:t>
      </w:r>
      <w:r w:rsidR="00090265">
        <w:rPr>
          <w:rFonts w:ascii="Cambria" w:hAnsi="Cambria"/>
          <w:sz w:val="22"/>
          <w:szCs w:val="22"/>
        </w:rPr>
        <w:t>, do not put appropriate sideboards on granting royalty relief or lease suspension</w:t>
      </w:r>
      <w:r w:rsidR="00667480">
        <w:rPr>
          <w:rFonts w:ascii="Cambria" w:hAnsi="Cambria"/>
          <w:sz w:val="22"/>
          <w:szCs w:val="22"/>
        </w:rPr>
        <w:t>s</w:t>
      </w:r>
      <w:r w:rsidR="00090265">
        <w:rPr>
          <w:rFonts w:ascii="Cambria" w:hAnsi="Cambria"/>
          <w:sz w:val="22"/>
          <w:szCs w:val="22"/>
        </w:rPr>
        <w:t>,</w:t>
      </w:r>
      <w:r w:rsidR="0074295B">
        <w:rPr>
          <w:rFonts w:ascii="Cambria" w:hAnsi="Cambria"/>
          <w:sz w:val="22"/>
          <w:szCs w:val="22"/>
        </w:rPr>
        <w:t xml:space="preserve"> and </w:t>
      </w:r>
      <w:r w:rsidRPr="00C0582D">
        <w:rPr>
          <w:rFonts w:ascii="Cambria" w:hAnsi="Cambria"/>
          <w:sz w:val="22"/>
          <w:szCs w:val="22"/>
        </w:rPr>
        <w:t xml:space="preserve">could artificially and unnecessarily extend the life of marginal, unprofitable wells and leases on public lands.  </w:t>
      </w:r>
    </w:p>
    <w:p w14:paraId="4D236C1A" w14:textId="62F70D7D" w:rsidR="00C02FB6" w:rsidRPr="00C0582D" w:rsidRDefault="00C02FB6" w:rsidP="00FE73E4">
      <w:pPr>
        <w:rPr>
          <w:rFonts w:ascii="Cambria" w:hAnsi="Cambria"/>
          <w:sz w:val="22"/>
          <w:szCs w:val="22"/>
        </w:rPr>
      </w:pPr>
    </w:p>
    <w:p w14:paraId="12E4323F" w14:textId="7E0EC54E" w:rsidR="00C02FB6" w:rsidRPr="00C0582D" w:rsidRDefault="00C02FB6" w:rsidP="00C02FB6">
      <w:pPr>
        <w:pStyle w:val="ListParagraph"/>
        <w:numPr>
          <w:ilvl w:val="0"/>
          <w:numId w:val="1"/>
        </w:numPr>
        <w:rPr>
          <w:rFonts w:ascii="Cambria" w:hAnsi="Cambria"/>
          <w:b/>
          <w:bCs/>
          <w:sz w:val="22"/>
          <w:szCs w:val="22"/>
        </w:rPr>
      </w:pPr>
      <w:r w:rsidRPr="00667480">
        <w:rPr>
          <w:rFonts w:ascii="Cambria" w:hAnsi="Cambria"/>
          <w:b/>
          <w:bCs/>
          <w:sz w:val="22"/>
          <w:szCs w:val="22"/>
        </w:rPr>
        <w:t>Interim Guidance for Royalty Rate Reduction Requests for Oil and Gas Leases During the COVID-19 National E</w:t>
      </w:r>
      <w:r w:rsidRPr="00667480">
        <w:rPr>
          <w:rFonts w:ascii="Cambria" w:hAnsi="Cambria"/>
          <w:b/>
          <w:bCs/>
          <w:sz w:val="22"/>
          <w:szCs w:val="22"/>
        </w:rPr>
        <w:t>m</w:t>
      </w:r>
      <w:r w:rsidRPr="00667480">
        <w:rPr>
          <w:rFonts w:ascii="Cambria" w:hAnsi="Cambria"/>
          <w:b/>
          <w:bCs/>
          <w:sz w:val="22"/>
          <w:szCs w:val="22"/>
        </w:rPr>
        <w:t>ergency</w:t>
      </w:r>
      <w:r w:rsidR="00667480">
        <w:rPr>
          <w:rStyle w:val="FootnoteReference"/>
          <w:rFonts w:ascii="Cambria" w:hAnsi="Cambria"/>
          <w:b/>
          <w:bCs/>
          <w:sz w:val="22"/>
          <w:szCs w:val="22"/>
        </w:rPr>
        <w:footnoteReference w:id="2"/>
      </w:r>
    </w:p>
    <w:p w14:paraId="0C2F4937" w14:textId="77777777" w:rsidR="00C02FB6" w:rsidRPr="00C0582D" w:rsidRDefault="00C02FB6" w:rsidP="00C02FB6">
      <w:pPr>
        <w:rPr>
          <w:rFonts w:ascii="Cambria" w:hAnsi="Cambria"/>
          <w:b/>
          <w:bCs/>
          <w:sz w:val="22"/>
          <w:szCs w:val="22"/>
        </w:rPr>
      </w:pPr>
    </w:p>
    <w:p w14:paraId="18EC3965" w14:textId="67BD423C" w:rsidR="00AE66F3" w:rsidRPr="00C0582D" w:rsidRDefault="00AE66F3" w:rsidP="00A00B86">
      <w:pPr>
        <w:rPr>
          <w:rFonts w:ascii="Cambria" w:hAnsi="Cambria"/>
          <w:b/>
          <w:bCs/>
          <w:sz w:val="22"/>
          <w:szCs w:val="22"/>
        </w:rPr>
      </w:pPr>
      <w:r w:rsidRPr="00C0582D">
        <w:rPr>
          <w:rFonts w:ascii="Cambria" w:hAnsi="Cambria"/>
          <w:b/>
          <w:bCs/>
          <w:sz w:val="22"/>
          <w:szCs w:val="22"/>
        </w:rPr>
        <w:t>Source of authority</w:t>
      </w:r>
      <w:r w:rsidR="00A00B86" w:rsidRPr="00C0582D">
        <w:rPr>
          <w:rFonts w:ascii="Cambria" w:hAnsi="Cambria"/>
          <w:b/>
          <w:bCs/>
          <w:sz w:val="22"/>
          <w:szCs w:val="22"/>
        </w:rPr>
        <w:t xml:space="preserve">: </w:t>
      </w:r>
      <w:r w:rsidR="00A00B86" w:rsidRPr="00C0582D">
        <w:rPr>
          <w:rFonts w:ascii="Cambria" w:hAnsi="Cambria"/>
          <w:sz w:val="22"/>
          <w:szCs w:val="22"/>
        </w:rPr>
        <w:t xml:space="preserve">The Mineral Leasing Act – DOI may “waive, suspend, or reduce” royalty rates in order to “encourage[e] the greatest ultimate recovery of oil [and] gas” and if necessary to “promote development” or if “the leases cannot be successfully operated under the [applicable] terms. . . .”  30 U.S.C. § </w:t>
      </w:r>
      <w:r w:rsidR="00C0582D" w:rsidRPr="00C0582D">
        <w:rPr>
          <w:rFonts w:ascii="Cambria" w:hAnsi="Cambria"/>
          <w:sz w:val="22"/>
          <w:szCs w:val="22"/>
        </w:rPr>
        <w:t>209</w:t>
      </w:r>
      <w:r w:rsidR="00A00B86" w:rsidRPr="00C0582D">
        <w:rPr>
          <w:rFonts w:ascii="Cambria" w:hAnsi="Cambria"/>
          <w:sz w:val="22"/>
          <w:szCs w:val="22"/>
        </w:rPr>
        <w:t>; 43 C.F.R. § 3103.4-1.</w:t>
      </w:r>
    </w:p>
    <w:p w14:paraId="559974F6" w14:textId="77777777" w:rsidR="00A00B86" w:rsidRPr="00C0582D" w:rsidRDefault="00A00B86" w:rsidP="00A00B86">
      <w:pPr>
        <w:pStyle w:val="ListParagraph"/>
        <w:ind w:left="777" w:firstLine="0"/>
        <w:rPr>
          <w:rFonts w:ascii="Cambria" w:hAnsi="Cambria"/>
          <w:b/>
          <w:bCs/>
          <w:sz w:val="22"/>
          <w:szCs w:val="22"/>
        </w:rPr>
      </w:pPr>
    </w:p>
    <w:p w14:paraId="378D25DF" w14:textId="7F429539" w:rsidR="00AE66F3" w:rsidRPr="00C0582D" w:rsidRDefault="00AE66F3" w:rsidP="00A00B86">
      <w:pPr>
        <w:rPr>
          <w:rFonts w:ascii="Cambria" w:hAnsi="Cambria"/>
          <w:b/>
          <w:bCs/>
          <w:sz w:val="22"/>
          <w:szCs w:val="22"/>
        </w:rPr>
      </w:pPr>
      <w:r w:rsidRPr="00C0582D">
        <w:rPr>
          <w:rFonts w:ascii="Cambria" w:hAnsi="Cambria"/>
          <w:b/>
          <w:bCs/>
          <w:sz w:val="22"/>
          <w:szCs w:val="22"/>
        </w:rPr>
        <w:t>Process</w:t>
      </w:r>
      <w:r w:rsidR="00A00B86" w:rsidRPr="00C0582D">
        <w:rPr>
          <w:rFonts w:ascii="Cambria" w:hAnsi="Cambria"/>
          <w:b/>
          <w:bCs/>
          <w:sz w:val="22"/>
          <w:szCs w:val="22"/>
        </w:rPr>
        <w:t xml:space="preserve"> for obtaining </w:t>
      </w:r>
      <w:r w:rsidR="0057251B">
        <w:rPr>
          <w:rFonts w:ascii="Cambria" w:hAnsi="Cambria"/>
          <w:b/>
          <w:bCs/>
          <w:sz w:val="22"/>
          <w:szCs w:val="22"/>
        </w:rPr>
        <w:t xml:space="preserve">royalty </w:t>
      </w:r>
      <w:r w:rsidR="00A00B86" w:rsidRPr="00C0582D">
        <w:rPr>
          <w:rFonts w:ascii="Cambria" w:hAnsi="Cambria"/>
          <w:b/>
          <w:bCs/>
          <w:sz w:val="22"/>
          <w:szCs w:val="22"/>
        </w:rPr>
        <w:t>rate reductions</w:t>
      </w:r>
      <w:r w:rsidR="00D763BF">
        <w:rPr>
          <w:rFonts w:ascii="Cambria" w:hAnsi="Cambria"/>
          <w:b/>
          <w:bCs/>
          <w:sz w:val="22"/>
          <w:szCs w:val="22"/>
        </w:rPr>
        <w:t xml:space="preserve"> under the </w:t>
      </w:r>
      <w:r w:rsidR="0074295B">
        <w:rPr>
          <w:rFonts w:ascii="Cambria" w:hAnsi="Cambria"/>
          <w:b/>
          <w:bCs/>
          <w:sz w:val="22"/>
          <w:szCs w:val="22"/>
        </w:rPr>
        <w:t xml:space="preserve">interim </w:t>
      </w:r>
      <w:r w:rsidR="00D763BF">
        <w:rPr>
          <w:rFonts w:ascii="Cambria" w:hAnsi="Cambria"/>
          <w:b/>
          <w:bCs/>
          <w:sz w:val="22"/>
          <w:szCs w:val="22"/>
        </w:rPr>
        <w:t>guidance</w:t>
      </w:r>
      <w:r w:rsidRPr="00C0582D">
        <w:rPr>
          <w:rFonts w:ascii="Cambria" w:hAnsi="Cambria"/>
          <w:b/>
          <w:bCs/>
          <w:sz w:val="22"/>
          <w:szCs w:val="22"/>
        </w:rPr>
        <w:t>:</w:t>
      </w:r>
    </w:p>
    <w:p w14:paraId="173BDABF" w14:textId="19EF214A" w:rsidR="0057251B" w:rsidRPr="0057251B" w:rsidRDefault="00C0582D" w:rsidP="00667480">
      <w:pPr>
        <w:pStyle w:val="ListParagraph"/>
        <w:numPr>
          <w:ilvl w:val="0"/>
          <w:numId w:val="2"/>
        </w:numPr>
        <w:ind w:right="-90"/>
        <w:rPr>
          <w:rFonts w:ascii="Cambria" w:hAnsi="Cambria"/>
          <w:b/>
          <w:bCs/>
          <w:sz w:val="22"/>
          <w:szCs w:val="22"/>
        </w:rPr>
      </w:pPr>
      <w:r w:rsidRPr="00C0582D">
        <w:rPr>
          <w:rFonts w:ascii="Cambria" w:hAnsi="Cambria"/>
          <w:sz w:val="22"/>
          <w:szCs w:val="22"/>
        </w:rPr>
        <w:t xml:space="preserve">Operators must file </w:t>
      </w:r>
      <w:r w:rsidR="0057251B">
        <w:rPr>
          <w:rFonts w:ascii="Cambria" w:hAnsi="Cambria"/>
          <w:sz w:val="22"/>
          <w:szCs w:val="22"/>
        </w:rPr>
        <w:t xml:space="preserve">royalty </w:t>
      </w:r>
      <w:r w:rsidRPr="00C0582D">
        <w:rPr>
          <w:rFonts w:ascii="Cambria" w:hAnsi="Cambria"/>
          <w:sz w:val="22"/>
          <w:szCs w:val="22"/>
        </w:rPr>
        <w:t>rate reduction petitions for a lease</w:t>
      </w:r>
      <w:r w:rsidR="00667480">
        <w:rPr>
          <w:rFonts w:ascii="Cambria" w:hAnsi="Cambria"/>
          <w:sz w:val="22"/>
          <w:szCs w:val="22"/>
        </w:rPr>
        <w:t>/</w:t>
      </w:r>
      <w:r w:rsidRPr="00C0582D">
        <w:rPr>
          <w:rFonts w:ascii="Cambria" w:hAnsi="Cambria"/>
          <w:sz w:val="22"/>
          <w:szCs w:val="22"/>
        </w:rPr>
        <w:t xml:space="preserve">leases with BLM state offices.  </w:t>
      </w:r>
    </w:p>
    <w:p w14:paraId="512B8315" w14:textId="6EA061BF" w:rsidR="0057251B" w:rsidRPr="0057251B" w:rsidRDefault="00C0582D" w:rsidP="0057251B">
      <w:pPr>
        <w:pStyle w:val="ListParagraph"/>
        <w:numPr>
          <w:ilvl w:val="0"/>
          <w:numId w:val="2"/>
        </w:numPr>
        <w:rPr>
          <w:rFonts w:ascii="Cambria" w:hAnsi="Cambria"/>
          <w:b/>
          <w:bCs/>
          <w:sz w:val="22"/>
          <w:szCs w:val="22"/>
        </w:rPr>
      </w:pPr>
      <w:r w:rsidRPr="0057251B">
        <w:rPr>
          <w:rFonts w:ascii="Cambria" w:hAnsi="Cambria"/>
          <w:sz w:val="22"/>
          <w:szCs w:val="22"/>
        </w:rPr>
        <w:t>Petitions must include: (1) a statement “with supporting documentation” that the lease could produce oil or gas in “paying quantities” but-for COVID-19; (2) a “simpl</w:t>
      </w:r>
      <w:r w:rsidR="0057251B" w:rsidRPr="0057251B">
        <w:rPr>
          <w:rFonts w:ascii="Cambria" w:hAnsi="Cambria"/>
          <w:sz w:val="22"/>
          <w:szCs w:val="22"/>
        </w:rPr>
        <w:t>e</w:t>
      </w:r>
      <w:r w:rsidRPr="0057251B">
        <w:rPr>
          <w:rFonts w:ascii="Cambria" w:hAnsi="Cambria"/>
          <w:sz w:val="22"/>
          <w:szCs w:val="22"/>
        </w:rPr>
        <w:t xml:space="preserve"> economic analysis</w:t>
      </w:r>
      <w:r w:rsidR="0057251B">
        <w:rPr>
          <w:rFonts w:ascii="Cambria" w:hAnsi="Cambria"/>
          <w:sz w:val="22"/>
          <w:szCs w:val="22"/>
        </w:rPr>
        <w:t xml:space="preserve"> table </w:t>
      </w:r>
      <w:r w:rsidRPr="0057251B">
        <w:rPr>
          <w:rFonts w:ascii="Cambria" w:eastAsia="Times New Roman" w:hAnsi="Cambria" w:cs="Arial"/>
          <w:sz w:val="22"/>
          <w:szCs w:val="22"/>
        </w:rPr>
        <w:t>that shows the lease(s) that are uneconomic at the current royalty rate,</w:t>
      </w:r>
      <w:r w:rsidR="0057251B" w:rsidRPr="0057251B">
        <w:rPr>
          <w:rFonts w:ascii="Cambria" w:eastAsia="Times New Roman" w:hAnsi="Cambria" w:cs="Arial"/>
          <w:sz w:val="22"/>
          <w:szCs w:val="22"/>
        </w:rPr>
        <w:t xml:space="preserve"> </w:t>
      </w:r>
      <w:r w:rsidRPr="0057251B">
        <w:rPr>
          <w:rFonts w:ascii="Cambria" w:eastAsia="Times New Roman" w:hAnsi="Cambria" w:cs="Arial"/>
          <w:sz w:val="22"/>
          <w:szCs w:val="22"/>
        </w:rPr>
        <w:t>but that would be</w:t>
      </w:r>
      <w:r w:rsidR="0057251B" w:rsidRPr="0057251B">
        <w:rPr>
          <w:rFonts w:ascii="Cambria" w:eastAsia="Times New Roman" w:hAnsi="Cambria" w:cs="Arial"/>
          <w:sz w:val="22"/>
          <w:szCs w:val="22"/>
        </w:rPr>
        <w:t xml:space="preserve"> </w:t>
      </w:r>
      <w:r w:rsidRPr="0057251B">
        <w:rPr>
          <w:rFonts w:ascii="Cambria" w:eastAsia="Times New Roman" w:hAnsi="Cambria" w:cs="Arial"/>
          <w:sz w:val="22"/>
          <w:szCs w:val="22"/>
        </w:rPr>
        <w:t>economic with the royalty rate reduction</w:t>
      </w:r>
      <w:r w:rsidR="0057251B" w:rsidRPr="0057251B">
        <w:rPr>
          <w:rFonts w:ascii="Cambria" w:eastAsia="Times New Roman" w:hAnsi="Cambria" w:cs="Arial"/>
          <w:sz w:val="22"/>
          <w:szCs w:val="22"/>
        </w:rPr>
        <w:t xml:space="preserve">;” and (3) the requested rate reduction – </w:t>
      </w:r>
      <w:r w:rsidR="0074295B">
        <w:rPr>
          <w:rFonts w:ascii="Cambria" w:eastAsia="Times New Roman" w:hAnsi="Cambria" w:cs="Arial"/>
          <w:sz w:val="22"/>
          <w:szCs w:val="22"/>
        </w:rPr>
        <w:t>e.g.,</w:t>
      </w:r>
      <w:r w:rsidR="0057251B" w:rsidRPr="0057251B">
        <w:rPr>
          <w:rFonts w:ascii="Cambria" w:eastAsia="Times New Roman" w:hAnsi="Cambria" w:cs="Arial"/>
          <w:sz w:val="22"/>
          <w:szCs w:val="22"/>
        </w:rPr>
        <w:t xml:space="preserve"> “a lessee might request BLM to reduce a</w:t>
      </w:r>
      <w:r w:rsidR="00133058">
        <w:rPr>
          <w:rFonts w:ascii="Cambria" w:eastAsia="Times New Roman" w:hAnsi="Cambria" w:cs="Arial"/>
          <w:sz w:val="22"/>
          <w:szCs w:val="22"/>
        </w:rPr>
        <w:t xml:space="preserve"> </w:t>
      </w:r>
      <w:r w:rsidR="0057251B" w:rsidRPr="0057251B">
        <w:rPr>
          <w:rFonts w:ascii="Cambria" w:eastAsia="Times New Roman" w:hAnsi="Cambria" w:cs="Arial"/>
          <w:sz w:val="22"/>
          <w:szCs w:val="22"/>
        </w:rPr>
        <w:t>12 ½ percent royalty rate to 0.5 percent</w:t>
      </w:r>
      <w:r w:rsidR="0057251B">
        <w:rPr>
          <w:rFonts w:ascii="Cambria" w:eastAsia="Times New Roman" w:hAnsi="Cambria" w:cs="Arial"/>
          <w:sz w:val="22"/>
          <w:szCs w:val="22"/>
        </w:rPr>
        <w:t xml:space="preserve"> </w:t>
      </w:r>
      <w:r w:rsidR="0057251B" w:rsidRPr="0057251B">
        <w:rPr>
          <w:rFonts w:ascii="Cambria" w:eastAsia="Times New Roman" w:hAnsi="Cambria" w:cs="Arial"/>
          <w:sz w:val="22"/>
          <w:szCs w:val="22"/>
        </w:rPr>
        <w:t>royalty rate.</w:t>
      </w:r>
      <w:r w:rsidR="0057251B">
        <w:rPr>
          <w:rFonts w:ascii="Cambria" w:eastAsia="Times New Roman" w:hAnsi="Cambria" w:cs="Arial"/>
          <w:sz w:val="22"/>
          <w:szCs w:val="22"/>
        </w:rPr>
        <w:t>”</w:t>
      </w:r>
    </w:p>
    <w:p w14:paraId="3E3025E4" w14:textId="0CAC258B" w:rsidR="00C0582D" w:rsidRPr="00C0582D" w:rsidRDefault="0057251B" w:rsidP="00C0582D">
      <w:pPr>
        <w:pStyle w:val="ListParagraph"/>
        <w:numPr>
          <w:ilvl w:val="0"/>
          <w:numId w:val="2"/>
        </w:numPr>
        <w:rPr>
          <w:rFonts w:ascii="Cambria" w:hAnsi="Cambria"/>
          <w:b/>
          <w:bCs/>
          <w:sz w:val="22"/>
          <w:szCs w:val="22"/>
        </w:rPr>
      </w:pPr>
      <w:r>
        <w:rPr>
          <w:rFonts w:ascii="Cambria" w:hAnsi="Cambria"/>
          <w:sz w:val="22"/>
          <w:szCs w:val="22"/>
        </w:rPr>
        <w:t>BLM “must verify the application information within five business days.”</w:t>
      </w:r>
    </w:p>
    <w:p w14:paraId="6E2B2065" w14:textId="61964D3E" w:rsidR="00C0582D" w:rsidRPr="00C0582D" w:rsidRDefault="0057251B" w:rsidP="00C0582D">
      <w:pPr>
        <w:pStyle w:val="ListParagraph"/>
        <w:numPr>
          <w:ilvl w:val="0"/>
          <w:numId w:val="2"/>
        </w:numPr>
        <w:rPr>
          <w:rFonts w:ascii="Cambria" w:hAnsi="Cambria"/>
          <w:b/>
          <w:bCs/>
          <w:sz w:val="22"/>
          <w:szCs w:val="22"/>
        </w:rPr>
      </w:pPr>
      <w:r>
        <w:rPr>
          <w:rFonts w:ascii="Cambria" w:hAnsi="Cambria"/>
          <w:sz w:val="22"/>
          <w:szCs w:val="22"/>
        </w:rPr>
        <w:t>If approved</w:t>
      </w:r>
      <w:r w:rsidR="00516D4F">
        <w:rPr>
          <w:rFonts w:ascii="Cambria" w:hAnsi="Cambria"/>
          <w:sz w:val="22"/>
          <w:szCs w:val="22"/>
        </w:rPr>
        <w:t>, BLM will notify the applicant + Office of Natural Resources Revenue.</w:t>
      </w:r>
    </w:p>
    <w:p w14:paraId="2AEEB778" w14:textId="77777777" w:rsidR="00A00B86" w:rsidRPr="00C0582D" w:rsidRDefault="00A00B86" w:rsidP="00A00B86">
      <w:pPr>
        <w:rPr>
          <w:rFonts w:ascii="Cambria" w:hAnsi="Cambria"/>
          <w:b/>
          <w:bCs/>
          <w:sz w:val="22"/>
          <w:szCs w:val="22"/>
        </w:rPr>
      </w:pPr>
    </w:p>
    <w:p w14:paraId="296A6827" w14:textId="0439729E" w:rsidR="00C02FB6" w:rsidRPr="00C0582D" w:rsidRDefault="00A00B86" w:rsidP="00A00B86">
      <w:pPr>
        <w:rPr>
          <w:rFonts w:ascii="Cambria" w:hAnsi="Cambria"/>
          <w:b/>
          <w:bCs/>
          <w:sz w:val="22"/>
          <w:szCs w:val="22"/>
        </w:rPr>
      </w:pPr>
      <w:r w:rsidRPr="00C0582D">
        <w:rPr>
          <w:rFonts w:ascii="Cambria" w:hAnsi="Cambria"/>
          <w:b/>
          <w:bCs/>
          <w:sz w:val="22"/>
          <w:szCs w:val="22"/>
        </w:rPr>
        <w:t>Major issues/flaws:</w:t>
      </w:r>
    </w:p>
    <w:p w14:paraId="70BB71D0" w14:textId="59D23547" w:rsidR="00090265" w:rsidRPr="00090265" w:rsidRDefault="00516D4F" w:rsidP="00090265">
      <w:pPr>
        <w:pStyle w:val="ListParagraph"/>
        <w:numPr>
          <w:ilvl w:val="0"/>
          <w:numId w:val="2"/>
        </w:numPr>
        <w:rPr>
          <w:rFonts w:ascii="Cambria" w:hAnsi="Cambria"/>
          <w:sz w:val="22"/>
          <w:szCs w:val="22"/>
        </w:rPr>
      </w:pPr>
      <w:r w:rsidRPr="00090265">
        <w:rPr>
          <w:rFonts w:ascii="Cambria" w:hAnsi="Cambria"/>
          <w:b/>
          <w:bCs/>
          <w:sz w:val="22"/>
          <w:szCs w:val="22"/>
        </w:rPr>
        <w:t xml:space="preserve">No public oversight/accountability: </w:t>
      </w:r>
      <w:r w:rsidRPr="00090265">
        <w:rPr>
          <w:rFonts w:ascii="Cambria" w:hAnsi="Cambria"/>
          <w:sz w:val="22"/>
          <w:szCs w:val="22"/>
        </w:rPr>
        <w:t xml:space="preserve">There is no requirement for public notice/review of </w:t>
      </w:r>
      <w:r w:rsidR="00D763BF" w:rsidRPr="00090265">
        <w:rPr>
          <w:rFonts w:ascii="Cambria" w:hAnsi="Cambria"/>
          <w:sz w:val="22"/>
          <w:szCs w:val="22"/>
        </w:rPr>
        <w:t>royalty r</w:t>
      </w:r>
      <w:r w:rsidRPr="00090265">
        <w:rPr>
          <w:rFonts w:ascii="Cambria" w:hAnsi="Cambria"/>
          <w:sz w:val="22"/>
          <w:szCs w:val="22"/>
        </w:rPr>
        <w:t xml:space="preserve">ate reduction petitions.  Nor does the guidance require notice to states, which are entitled to roughly half of the revenues from public lands production.  Only after the fact, if at all, will the public </w:t>
      </w:r>
      <w:r w:rsidR="00090265">
        <w:rPr>
          <w:rFonts w:ascii="Cambria" w:hAnsi="Cambria"/>
          <w:sz w:val="22"/>
          <w:szCs w:val="22"/>
        </w:rPr>
        <w:t>and</w:t>
      </w:r>
      <w:r w:rsidRPr="00090265">
        <w:rPr>
          <w:rFonts w:ascii="Cambria" w:hAnsi="Cambria"/>
          <w:sz w:val="22"/>
          <w:szCs w:val="22"/>
        </w:rPr>
        <w:t xml:space="preserve"> states learn of rate reductions. </w:t>
      </w:r>
      <w:r w:rsidR="00667480">
        <w:rPr>
          <w:rFonts w:ascii="Cambria" w:hAnsi="Cambria"/>
          <w:sz w:val="22"/>
          <w:szCs w:val="22"/>
        </w:rPr>
        <w:t xml:space="preserve"> </w:t>
      </w:r>
      <w:r w:rsidR="00090265">
        <w:rPr>
          <w:rFonts w:ascii="Cambria" w:hAnsi="Cambria"/>
          <w:sz w:val="22"/>
          <w:szCs w:val="22"/>
        </w:rPr>
        <w:t>Further, t</w:t>
      </w:r>
      <w:r w:rsidR="00090265" w:rsidRPr="00090265">
        <w:rPr>
          <w:rFonts w:ascii="Cambria" w:hAnsi="Cambria"/>
          <w:sz w:val="22"/>
          <w:szCs w:val="22"/>
        </w:rPr>
        <w:t xml:space="preserve">he guidance </w:t>
      </w:r>
      <w:r w:rsidR="00090265">
        <w:rPr>
          <w:rFonts w:ascii="Cambria" w:hAnsi="Cambria"/>
          <w:sz w:val="22"/>
          <w:szCs w:val="22"/>
        </w:rPr>
        <w:t xml:space="preserve">also </w:t>
      </w:r>
      <w:r w:rsidR="00090265" w:rsidRPr="00090265">
        <w:rPr>
          <w:rFonts w:ascii="Cambria" w:hAnsi="Cambria"/>
          <w:sz w:val="22"/>
          <w:szCs w:val="22"/>
        </w:rPr>
        <w:t>permits companies to simply designate information</w:t>
      </w:r>
      <w:r w:rsidR="00090265">
        <w:rPr>
          <w:rFonts w:ascii="Cambria" w:hAnsi="Cambria"/>
          <w:sz w:val="22"/>
          <w:szCs w:val="22"/>
        </w:rPr>
        <w:t xml:space="preserve"> as “confidential/proprietary” s</w:t>
      </w:r>
      <w:r w:rsidR="00090265" w:rsidRPr="00090265">
        <w:rPr>
          <w:rFonts w:ascii="Cambria" w:hAnsi="Cambria"/>
          <w:sz w:val="22"/>
          <w:szCs w:val="22"/>
        </w:rPr>
        <w:t xml:space="preserve">o it will not be subject to oversight, even if </w:t>
      </w:r>
      <w:r w:rsidR="00090265">
        <w:rPr>
          <w:rFonts w:ascii="Cambria" w:hAnsi="Cambria"/>
          <w:sz w:val="22"/>
          <w:szCs w:val="22"/>
        </w:rPr>
        <w:t>records are ultimately obtained.</w:t>
      </w:r>
    </w:p>
    <w:p w14:paraId="7A9C7459" w14:textId="19D2DE9D" w:rsidR="0074295B" w:rsidRPr="00133058" w:rsidRDefault="00516D4F" w:rsidP="00D763BF">
      <w:pPr>
        <w:pStyle w:val="ListParagraph"/>
        <w:numPr>
          <w:ilvl w:val="0"/>
          <w:numId w:val="2"/>
        </w:numPr>
        <w:rPr>
          <w:rFonts w:ascii="Cambria" w:hAnsi="Cambria"/>
          <w:b/>
          <w:bCs/>
          <w:sz w:val="22"/>
          <w:szCs w:val="22"/>
        </w:rPr>
      </w:pPr>
      <w:r>
        <w:rPr>
          <w:rFonts w:ascii="Cambria" w:hAnsi="Cambria"/>
          <w:b/>
          <w:bCs/>
          <w:sz w:val="22"/>
          <w:szCs w:val="22"/>
        </w:rPr>
        <w:t>Indefinite duration:</w:t>
      </w:r>
      <w:r>
        <w:rPr>
          <w:rFonts w:ascii="Cambria" w:hAnsi="Cambria"/>
          <w:sz w:val="22"/>
          <w:szCs w:val="22"/>
        </w:rPr>
        <w:t xml:space="preserve"> The guidance suggests that rate reductions will sunset within one-year of being</w:t>
      </w:r>
      <w:r w:rsidR="00677523">
        <w:rPr>
          <w:rFonts w:ascii="Cambria" w:hAnsi="Cambria"/>
          <w:sz w:val="22"/>
          <w:szCs w:val="22"/>
        </w:rPr>
        <w:t xml:space="preserve"> granted</w:t>
      </w:r>
      <w:r>
        <w:rPr>
          <w:rFonts w:ascii="Cambria" w:hAnsi="Cambria"/>
          <w:sz w:val="22"/>
          <w:szCs w:val="22"/>
        </w:rPr>
        <w:t>.  However, the guidance indicates that BLM may extend r</w:t>
      </w:r>
      <w:r w:rsidR="00D763BF">
        <w:rPr>
          <w:rFonts w:ascii="Cambria" w:hAnsi="Cambria"/>
          <w:sz w:val="22"/>
          <w:szCs w:val="22"/>
        </w:rPr>
        <w:t>ate r</w:t>
      </w:r>
      <w:r>
        <w:rPr>
          <w:rFonts w:ascii="Cambria" w:hAnsi="Cambria"/>
          <w:sz w:val="22"/>
          <w:szCs w:val="22"/>
        </w:rPr>
        <w:t>eductions beyond the one-year period</w:t>
      </w:r>
      <w:r w:rsidR="00677523">
        <w:rPr>
          <w:rFonts w:ascii="Cambria" w:hAnsi="Cambria"/>
          <w:sz w:val="22"/>
          <w:szCs w:val="22"/>
        </w:rPr>
        <w:t xml:space="preserve">, and </w:t>
      </w:r>
      <w:r>
        <w:rPr>
          <w:rFonts w:ascii="Cambria" w:hAnsi="Cambria"/>
          <w:sz w:val="22"/>
          <w:szCs w:val="22"/>
        </w:rPr>
        <w:t xml:space="preserve">there is nothing tying the duration of rate reductions to COVID-19 + the national emergency – the purported basis for the guidance. </w:t>
      </w:r>
    </w:p>
    <w:p w14:paraId="49B2FB2F" w14:textId="68EBEC3A" w:rsidR="00133058" w:rsidRDefault="00133058" w:rsidP="00133058">
      <w:pPr>
        <w:rPr>
          <w:rFonts w:ascii="Cambria" w:hAnsi="Cambria"/>
          <w:b/>
          <w:bCs/>
          <w:sz w:val="22"/>
          <w:szCs w:val="22"/>
        </w:rPr>
      </w:pPr>
    </w:p>
    <w:p w14:paraId="3DD2554C" w14:textId="491F117C" w:rsidR="00133058" w:rsidRDefault="00133058" w:rsidP="00133058">
      <w:pPr>
        <w:rPr>
          <w:rFonts w:ascii="Cambria" w:hAnsi="Cambria"/>
          <w:b/>
          <w:bCs/>
          <w:sz w:val="22"/>
          <w:szCs w:val="22"/>
        </w:rPr>
      </w:pPr>
    </w:p>
    <w:p w14:paraId="47EEA9D3" w14:textId="77777777" w:rsidR="00133058" w:rsidRPr="00133058" w:rsidRDefault="00133058" w:rsidP="00133058">
      <w:pPr>
        <w:rPr>
          <w:rFonts w:ascii="Cambria" w:hAnsi="Cambria"/>
          <w:b/>
          <w:bCs/>
          <w:sz w:val="22"/>
          <w:szCs w:val="22"/>
        </w:rPr>
      </w:pPr>
    </w:p>
    <w:p w14:paraId="1C8E43A3" w14:textId="25001441" w:rsidR="00D763BF" w:rsidRDefault="00D763BF" w:rsidP="00D763BF">
      <w:pPr>
        <w:pStyle w:val="ListParagraph"/>
        <w:numPr>
          <w:ilvl w:val="0"/>
          <w:numId w:val="1"/>
        </w:numPr>
        <w:rPr>
          <w:rFonts w:ascii="Cambria" w:hAnsi="Cambria"/>
          <w:b/>
          <w:bCs/>
          <w:sz w:val="22"/>
          <w:szCs w:val="22"/>
        </w:rPr>
      </w:pPr>
      <w:r w:rsidRPr="00667480">
        <w:rPr>
          <w:rFonts w:ascii="Cambria" w:hAnsi="Cambria"/>
          <w:b/>
          <w:bCs/>
          <w:sz w:val="22"/>
          <w:szCs w:val="22"/>
        </w:rPr>
        <w:t>Interim Guidance for Lease Suspension Requests During COVID-19 National E</w:t>
      </w:r>
      <w:r w:rsidRPr="00667480">
        <w:rPr>
          <w:rFonts w:ascii="Cambria" w:hAnsi="Cambria"/>
          <w:b/>
          <w:bCs/>
          <w:sz w:val="22"/>
          <w:szCs w:val="22"/>
        </w:rPr>
        <w:t>m</w:t>
      </w:r>
      <w:r w:rsidRPr="00667480">
        <w:rPr>
          <w:rFonts w:ascii="Cambria" w:hAnsi="Cambria"/>
          <w:b/>
          <w:bCs/>
          <w:sz w:val="22"/>
          <w:szCs w:val="22"/>
        </w:rPr>
        <w:t>ergency</w:t>
      </w:r>
      <w:r w:rsidR="00667480">
        <w:rPr>
          <w:rStyle w:val="FootnoteReference"/>
          <w:rFonts w:ascii="Cambria" w:hAnsi="Cambria"/>
          <w:b/>
          <w:bCs/>
          <w:sz w:val="22"/>
          <w:szCs w:val="22"/>
        </w:rPr>
        <w:footnoteReference w:id="3"/>
      </w:r>
    </w:p>
    <w:p w14:paraId="25956491" w14:textId="77777777" w:rsidR="00D763BF" w:rsidRDefault="00D763BF" w:rsidP="00D763BF">
      <w:pPr>
        <w:rPr>
          <w:rFonts w:ascii="Cambria" w:hAnsi="Cambria"/>
          <w:b/>
          <w:bCs/>
          <w:sz w:val="22"/>
          <w:szCs w:val="22"/>
        </w:rPr>
      </w:pPr>
    </w:p>
    <w:p w14:paraId="2BAA64D1" w14:textId="76FC130E" w:rsidR="00D763BF" w:rsidRDefault="00D763BF" w:rsidP="00D763BF">
      <w:pPr>
        <w:rPr>
          <w:rFonts w:ascii="Cambria" w:hAnsi="Cambria"/>
          <w:b/>
          <w:bCs/>
          <w:sz w:val="22"/>
          <w:szCs w:val="22"/>
        </w:rPr>
      </w:pPr>
      <w:r>
        <w:rPr>
          <w:rFonts w:ascii="Cambria" w:hAnsi="Cambria"/>
          <w:b/>
          <w:bCs/>
          <w:sz w:val="22"/>
          <w:szCs w:val="22"/>
        </w:rPr>
        <w:t xml:space="preserve">Source of authority: </w:t>
      </w:r>
      <w:r>
        <w:rPr>
          <w:rFonts w:ascii="Cambria" w:hAnsi="Cambria"/>
          <w:sz w:val="22"/>
          <w:szCs w:val="22"/>
        </w:rPr>
        <w:t xml:space="preserve">The Mineral Leasing Act </w:t>
      </w:r>
      <w:r w:rsidR="009D61F5">
        <w:rPr>
          <w:rFonts w:ascii="Cambria" w:hAnsi="Cambria"/>
          <w:sz w:val="22"/>
          <w:szCs w:val="22"/>
        </w:rPr>
        <w:t xml:space="preserve">(MLA) </w:t>
      </w:r>
      <w:r>
        <w:rPr>
          <w:rFonts w:ascii="Cambria" w:hAnsi="Cambria"/>
          <w:sz w:val="22"/>
          <w:szCs w:val="22"/>
        </w:rPr>
        <w:t>– “No lease . . . shall expire because operations or production is suspended under any order, or with the consent</w:t>
      </w:r>
      <w:r w:rsidR="009D61F5">
        <w:rPr>
          <w:rFonts w:ascii="Cambria" w:hAnsi="Cambria"/>
          <w:sz w:val="22"/>
          <w:szCs w:val="22"/>
        </w:rPr>
        <w:t>,</w:t>
      </w:r>
      <w:r>
        <w:rPr>
          <w:rFonts w:ascii="Cambria" w:hAnsi="Cambria"/>
          <w:sz w:val="22"/>
          <w:szCs w:val="22"/>
        </w:rPr>
        <w:t xml:space="preserve"> of</w:t>
      </w:r>
      <w:r w:rsidR="009D61F5">
        <w:rPr>
          <w:rFonts w:ascii="Cambria" w:hAnsi="Cambria"/>
          <w:sz w:val="22"/>
          <w:szCs w:val="22"/>
        </w:rPr>
        <w:t xml:space="preserve"> </w:t>
      </w:r>
      <w:r>
        <w:rPr>
          <w:rFonts w:ascii="Cambria" w:hAnsi="Cambria"/>
          <w:sz w:val="22"/>
          <w:szCs w:val="22"/>
        </w:rPr>
        <w:t>the Secretary [of the Interior].”  30 U.S.C. § 226(i)</w:t>
      </w:r>
      <w:r w:rsidR="009D61F5">
        <w:rPr>
          <w:rFonts w:ascii="Cambria" w:hAnsi="Cambria"/>
          <w:sz w:val="22"/>
          <w:szCs w:val="22"/>
        </w:rPr>
        <w:t>; 43 C.F.R. § 3103.4-4</w:t>
      </w:r>
      <w:r w:rsidR="0074295B">
        <w:rPr>
          <w:rFonts w:ascii="Cambria" w:hAnsi="Cambria"/>
          <w:sz w:val="22"/>
          <w:szCs w:val="22"/>
        </w:rPr>
        <w:t xml:space="preserve">; </w:t>
      </w:r>
      <w:r w:rsidR="0074295B">
        <w:rPr>
          <w:rFonts w:ascii="Cambria" w:hAnsi="Cambria"/>
          <w:i/>
          <w:iCs/>
          <w:sz w:val="22"/>
          <w:szCs w:val="22"/>
        </w:rPr>
        <w:t xml:space="preserve">see also </w:t>
      </w:r>
      <w:r w:rsidR="0074295B">
        <w:rPr>
          <w:rFonts w:ascii="Cambria" w:hAnsi="Cambria"/>
          <w:sz w:val="22"/>
          <w:szCs w:val="22"/>
        </w:rPr>
        <w:t>30 U.S.C. § 209 (authorizing suspensions “in the interest of conservation”)</w:t>
      </w:r>
      <w:r w:rsidR="009D61F5">
        <w:rPr>
          <w:rFonts w:ascii="Cambria" w:hAnsi="Cambria"/>
          <w:sz w:val="22"/>
          <w:szCs w:val="22"/>
        </w:rPr>
        <w:t>.</w:t>
      </w:r>
    </w:p>
    <w:p w14:paraId="23BD405D" w14:textId="2E5AF180" w:rsidR="00D763BF" w:rsidRDefault="00D763BF" w:rsidP="00D763BF">
      <w:pPr>
        <w:rPr>
          <w:rFonts w:ascii="Cambria" w:hAnsi="Cambria"/>
          <w:b/>
          <w:bCs/>
          <w:sz w:val="22"/>
          <w:szCs w:val="22"/>
        </w:rPr>
      </w:pPr>
    </w:p>
    <w:p w14:paraId="5A95A3F8" w14:textId="77777777" w:rsidR="009D61F5" w:rsidRDefault="00D763BF" w:rsidP="009D61F5">
      <w:pPr>
        <w:rPr>
          <w:rFonts w:ascii="Cambria" w:hAnsi="Cambria"/>
          <w:b/>
          <w:bCs/>
          <w:sz w:val="22"/>
          <w:szCs w:val="22"/>
        </w:rPr>
      </w:pPr>
      <w:r>
        <w:rPr>
          <w:rFonts w:ascii="Cambria" w:hAnsi="Cambria"/>
          <w:b/>
          <w:bCs/>
          <w:sz w:val="22"/>
          <w:szCs w:val="22"/>
        </w:rPr>
        <w:t>Process for obtaining lease suspensions under the guidance:</w:t>
      </w:r>
    </w:p>
    <w:p w14:paraId="761BDD55" w14:textId="496A70A8" w:rsidR="009D61F5" w:rsidRPr="00310A17" w:rsidRDefault="009D61F5" w:rsidP="009D61F5">
      <w:pPr>
        <w:pStyle w:val="ListParagraph"/>
        <w:numPr>
          <w:ilvl w:val="0"/>
          <w:numId w:val="5"/>
        </w:numPr>
        <w:rPr>
          <w:rFonts w:ascii="Cambria" w:hAnsi="Cambria"/>
          <w:b/>
          <w:bCs/>
          <w:sz w:val="22"/>
          <w:szCs w:val="22"/>
        </w:rPr>
      </w:pPr>
      <w:r>
        <w:rPr>
          <w:rFonts w:ascii="Cambria" w:hAnsi="Cambria"/>
          <w:sz w:val="22"/>
          <w:szCs w:val="22"/>
        </w:rPr>
        <w:t>Th</w:t>
      </w:r>
      <w:r w:rsidR="00310A17">
        <w:rPr>
          <w:rFonts w:ascii="Cambria" w:hAnsi="Cambria"/>
          <w:sz w:val="22"/>
          <w:szCs w:val="22"/>
        </w:rPr>
        <w:t xml:space="preserve">e </w:t>
      </w:r>
      <w:r w:rsidR="0074295B">
        <w:rPr>
          <w:rFonts w:ascii="Cambria" w:hAnsi="Cambria"/>
          <w:sz w:val="22"/>
          <w:szCs w:val="22"/>
        </w:rPr>
        <w:t>guidance addresses both</w:t>
      </w:r>
      <w:r>
        <w:rPr>
          <w:rFonts w:ascii="Cambria" w:hAnsi="Cambria"/>
          <w:sz w:val="22"/>
          <w:szCs w:val="22"/>
        </w:rPr>
        <w:t xml:space="preserve"> types of suspensions</w:t>
      </w:r>
      <w:r w:rsidR="0074295B">
        <w:rPr>
          <w:rFonts w:ascii="Cambria" w:hAnsi="Cambria"/>
          <w:sz w:val="22"/>
          <w:szCs w:val="22"/>
        </w:rPr>
        <w:t xml:space="preserve"> available under the MLA</w:t>
      </w:r>
      <w:r>
        <w:rPr>
          <w:rFonts w:ascii="Cambria" w:hAnsi="Cambria"/>
          <w:sz w:val="22"/>
          <w:szCs w:val="22"/>
        </w:rPr>
        <w:t xml:space="preserve">: (1) </w:t>
      </w:r>
      <w:r>
        <w:rPr>
          <w:rFonts w:ascii="Cambria" w:hAnsi="Cambria"/>
          <w:i/>
          <w:iCs/>
          <w:sz w:val="22"/>
          <w:szCs w:val="22"/>
        </w:rPr>
        <w:t>force majeure</w:t>
      </w:r>
      <w:r w:rsidR="00310A17">
        <w:rPr>
          <w:rFonts w:ascii="Cambria" w:hAnsi="Cambria"/>
          <w:i/>
          <w:iCs/>
          <w:sz w:val="22"/>
          <w:szCs w:val="22"/>
        </w:rPr>
        <w:t xml:space="preserve"> </w:t>
      </w:r>
      <w:r w:rsidR="00310A17">
        <w:rPr>
          <w:rFonts w:ascii="Cambria" w:hAnsi="Cambria"/>
          <w:sz w:val="22"/>
          <w:szCs w:val="22"/>
        </w:rPr>
        <w:t>suspensions</w:t>
      </w:r>
      <w:r>
        <w:rPr>
          <w:rFonts w:ascii="Cambria" w:hAnsi="Cambria"/>
          <w:sz w:val="22"/>
          <w:szCs w:val="22"/>
        </w:rPr>
        <w:t xml:space="preserve">; and (2) </w:t>
      </w:r>
      <w:r w:rsidR="00310A17">
        <w:rPr>
          <w:rFonts w:ascii="Cambria" w:hAnsi="Cambria"/>
          <w:sz w:val="22"/>
          <w:szCs w:val="22"/>
        </w:rPr>
        <w:t>s</w:t>
      </w:r>
      <w:r>
        <w:rPr>
          <w:rFonts w:ascii="Cambria" w:hAnsi="Cambria"/>
          <w:sz w:val="22"/>
          <w:szCs w:val="22"/>
        </w:rPr>
        <w:t xml:space="preserve">uspensions </w:t>
      </w:r>
      <w:r w:rsidR="00310A17">
        <w:rPr>
          <w:rFonts w:ascii="Cambria" w:hAnsi="Cambria"/>
          <w:sz w:val="22"/>
          <w:szCs w:val="22"/>
        </w:rPr>
        <w:t>“in the interest of conservation.</w:t>
      </w:r>
      <w:r w:rsidR="00667480">
        <w:rPr>
          <w:rFonts w:ascii="Cambria" w:hAnsi="Cambria"/>
          <w:sz w:val="22"/>
          <w:szCs w:val="22"/>
        </w:rPr>
        <w:t>”</w:t>
      </w:r>
    </w:p>
    <w:p w14:paraId="2EAFEF8E" w14:textId="2A494658" w:rsidR="00310A17" w:rsidRPr="009D61F5" w:rsidRDefault="00133058" w:rsidP="009D61F5">
      <w:pPr>
        <w:pStyle w:val="ListParagraph"/>
        <w:numPr>
          <w:ilvl w:val="0"/>
          <w:numId w:val="5"/>
        </w:numPr>
        <w:rPr>
          <w:rFonts w:ascii="Cambria" w:hAnsi="Cambria"/>
          <w:b/>
          <w:bCs/>
          <w:sz w:val="22"/>
          <w:szCs w:val="22"/>
        </w:rPr>
      </w:pPr>
      <w:r>
        <w:rPr>
          <w:rFonts w:ascii="Cambria" w:hAnsi="Cambria"/>
          <w:i/>
          <w:iCs/>
          <w:sz w:val="22"/>
          <w:szCs w:val="22"/>
        </w:rPr>
        <w:t>F</w:t>
      </w:r>
      <w:r w:rsidR="00667480">
        <w:rPr>
          <w:rFonts w:ascii="Cambria" w:hAnsi="Cambria"/>
          <w:i/>
          <w:iCs/>
          <w:sz w:val="22"/>
          <w:szCs w:val="22"/>
        </w:rPr>
        <w:t>orce majeure</w:t>
      </w:r>
      <w:r w:rsidR="00310A17">
        <w:rPr>
          <w:rFonts w:ascii="Cambria" w:hAnsi="Cambria"/>
          <w:sz w:val="22"/>
          <w:szCs w:val="22"/>
        </w:rPr>
        <w:t xml:space="preserve"> suspensions</w:t>
      </w:r>
      <w:r>
        <w:rPr>
          <w:rFonts w:ascii="Cambria" w:hAnsi="Cambria"/>
          <w:sz w:val="22"/>
          <w:szCs w:val="22"/>
        </w:rPr>
        <w:t xml:space="preserve"> (section 17 of the MLA)</w:t>
      </w:r>
      <w:r w:rsidR="00310A17">
        <w:rPr>
          <w:rFonts w:ascii="Cambria" w:hAnsi="Cambria"/>
          <w:sz w:val="22"/>
          <w:szCs w:val="22"/>
        </w:rPr>
        <w:t>:</w:t>
      </w:r>
    </w:p>
    <w:p w14:paraId="0235961F" w14:textId="77777777" w:rsidR="00310A17" w:rsidRPr="00310A17" w:rsidRDefault="009D61F5" w:rsidP="00310A17">
      <w:pPr>
        <w:pStyle w:val="ListParagraph"/>
        <w:numPr>
          <w:ilvl w:val="1"/>
          <w:numId w:val="5"/>
        </w:numPr>
        <w:rPr>
          <w:rFonts w:ascii="Cambria" w:hAnsi="Cambria"/>
          <w:b/>
          <w:bCs/>
          <w:sz w:val="22"/>
          <w:szCs w:val="22"/>
        </w:rPr>
      </w:pPr>
      <w:r>
        <w:rPr>
          <w:rFonts w:ascii="Cambria" w:hAnsi="Cambria"/>
          <w:sz w:val="22"/>
          <w:szCs w:val="22"/>
        </w:rPr>
        <w:t>O</w:t>
      </w:r>
      <w:r w:rsidRPr="009D61F5">
        <w:rPr>
          <w:rFonts w:ascii="Cambria" w:hAnsi="Cambria"/>
          <w:sz w:val="22"/>
          <w:szCs w:val="22"/>
        </w:rPr>
        <w:t>perators m</w:t>
      </w:r>
      <w:r w:rsidR="00310A17">
        <w:rPr>
          <w:rFonts w:ascii="Cambria" w:hAnsi="Cambria"/>
          <w:sz w:val="22"/>
          <w:szCs w:val="22"/>
        </w:rPr>
        <w:t>ust</w:t>
      </w:r>
      <w:r w:rsidRPr="009D61F5">
        <w:rPr>
          <w:rFonts w:ascii="Cambria" w:hAnsi="Cambria"/>
          <w:sz w:val="22"/>
          <w:szCs w:val="22"/>
        </w:rPr>
        <w:t xml:space="preserve"> </w:t>
      </w:r>
      <w:r w:rsidR="00310A17">
        <w:rPr>
          <w:rFonts w:ascii="Cambria" w:hAnsi="Cambria"/>
          <w:sz w:val="22"/>
          <w:szCs w:val="22"/>
        </w:rPr>
        <w:t>file</w:t>
      </w:r>
      <w:r w:rsidRPr="009D61F5">
        <w:rPr>
          <w:rFonts w:ascii="Cambria" w:hAnsi="Cambria"/>
          <w:sz w:val="22"/>
          <w:szCs w:val="22"/>
        </w:rPr>
        <w:t xml:space="preserve"> </w:t>
      </w:r>
      <w:r w:rsidR="00310A17">
        <w:rPr>
          <w:rFonts w:ascii="Cambria" w:hAnsi="Cambria"/>
          <w:sz w:val="22"/>
          <w:szCs w:val="22"/>
        </w:rPr>
        <w:t>suspension applications with BLM state offices.</w:t>
      </w:r>
    </w:p>
    <w:p w14:paraId="071C0F23" w14:textId="594512F9" w:rsidR="009D61F5" w:rsidRPr="009D61F5" w:rsidRDefault="00310A17" w:rsidP="00310A17">
      <w:pPr>
        <w:pStyle w:val="ListParagraph"/>
        <w:numPr>
          <w:ilvl w:val="1"/>
          <w:numId w:val="5"/>
        </w:numPr>
        <w:rPr>
          <w:rFonts w:ascii="Cambria" w:hAnsi="Cambria"/>
          <w:b/>
          <w:bCs/>
          <w:sz w:val="22"/>
          <w:szCs w:val="22"/>
        </w:rPr>
      </w:pPr>
      <w:r>
        <w:rPr>
          <w:rFonts w:ascii="Cambria" w:hAnsi="Cambria"/>
          <w:sz w:val="22"/>
          <w:szCs w:val="22"/>
        </w:rPr>
        <w:t xml:space="preserve">Applications “must include a full statement of the circumstances that render such relief necessary to the COVID-19 national emergency.”  Examples cited </w:t>
      </w:r>
      <w:r w:rsidR="00667480">
        <w:rPr>
          <w:rFonts w:ascii="Cambria" w:hAnsi="Cambria"/>
          <w:sz w:val="22"/>
          <w:szCs w:val="22"/>
        </w:rPr>
        <w:t>by DOI</w:t>
      </w:r>
      <w:r w:rsidR="009D61F5">
        <w:rPr>
          <w:rFonts w:ascii="Cambria" w:hAnsi="Cambria"/>
          <w:sz w:val="22"/>
          <w:szCs w:val="22"/>
        </w:rPr>
        <w:t xml:space="preserve"> include </w:t>
      </w:r>
      <w:r w:rsidR="009D61F5" w:rsidRPr="009D61F5">
        <w:rPr>
          <w:rFonts w:ascii="Cambria" w:hAnsi="Cambria"/>
          <w:sz w:val="22"/>
          <w:szCs w:val="22"/>
        </w:rPr>
        <w:t>“</w:t>
      </w:r>
      <w:r w:rsidR="009D61F5" w:rsidRPr="009D61F5">
        <w:rPr>
          <w:rFonts w:ascii="Cambria" w:eastAsia="Times New Roman" w:hAnsi="Cambria" w:cs="Arial"/>
          <w:sz w:val="22"/>
          <w:szCs w:val="22"/>
        </w:rPr>
        <w:t>social distancing orders and travel restrictions imposed by the federal, state or local government, or the pandemic otherwise causing the unavailability of personnel, contractors or equipment needed to conduct operations.”</w:t>
      </w:r>
    </w:p>
    <w:p w14:paraId="51BDE537" w14:textId="77777777" w:rsidR="00310A17" w:rsidRPr="00310A17" w:rsidRDefault="00310A17" w:rsidP="00310A17">
      <w:pPr>
        <w:pStyle w:val="ListParagraph"/>
        <w:numPr>
          <w:ilvl w:val="1"/>
          <w:numId w:val="5"/>
        </w:numPr>
        <w:rPr>
          <w:rFonts w:ascii="Cambria" w:hAnsi="Cambria"/>
          <w:b/>
          <w:bCs/>
          <w:sz w:val="22"/>
          <w:szCs w:val="22"/>
        </w:rPr>
      </w:pPr>
      <w:r>
        <w:rPr>
          <w:rFonts w:ascii="Cambria" w:hAnsi="Cambria"/>
          <w:sz w:val="22"/>
          <w:szCs w:val="22"/>
        </w:rPr>
        <w:t>BLM “must verify the application information within five business days.”</w:t>
      </w:r>
    </w:p>
    <w:p w14:paraId="78E5E9BC" w14:textId="785CEE65" w:rsidR="009D61F5" w:rsidRPr="003D3C42" w:rsidRDefault="00310A17" w:rsidP="00310A17">
      <w:pPr>
        <w:pStyle w:val="ListParagraph"/>
        <w:numPr>
          <w:ilvl w:val="1"/>
          <w:numId w:val="5"/>
        </w:numPr>
        <w:rPr>
          <w:rFonts w:ascii="Cambria" w:hAnsi="Cambria"/>
          <w:b/>
          <w:bCs/>
          <w:sz w:val="22"/>
          <w:szCs w:val="22"/>
        </w:rPr>
      </w:pPr>
      <w:r w:rsidRPr="00310A17">
        <w:rPr>
          <w:rFonts w:ascii="Cambria" w:hAnsi="Cambria"/>
          <w:sz w:val="22"/>
          <w:szCs w:val="22"/>
        </w:rPr>
        <w:t>If approved,</w:t>
      </w:r>
      <w:r>
        <w:rPr>
          <w:rFonts w:ascii="Cambria" w:hAnsi="Cambria"/>
          <w:sz w:val="22"/>
          <w:szCs w:val="22"/>
        </w:rPr>
        <w:t xml:space="preserve"> operators must continue to make rental and minimum royalty payments, but the lease term is suspended</w:t>
      </w:r>
      <w:r w:rsidR="0074295B">
        <w:rPr>
          <w:rFonts w:ascii="Cambria" w:hAnsi="Cambria"/>
          <w:sz w:val="22"/>
          <w:szCs w:val="22"/>
        </w:rPr>
        <w:t>; however, there is nothing to prevent operators from simultaneously filing for royalty rate waivers.</w:t>
      </w:r>
    </w:p>
    <w:p w14:paraId="137232BC" w14:textId="1232C3BA" w:rsidR="003D3C42" w:rsidRPr="003D3C42" w:rsidRDefault="00133058" w:rsidP="003D3C42">
      <w:pPr>
        <w:pStyle w:val="ListParagraph"/>
        <w:numPr>
          <w:ilvl w:val="0"/>
          <w:numId w:val="5"/>
        </w:numPr>
        <w:rPr>
          <w:rFonts w:ascii="Cambria" w:hAnsi="Cambria"/>
          <w:b/>
          <w:bCs/>
          <w:sz w:val="22"/>
          <w:szCs w:val="22"/>
        </w:rPr>
      </w:pPr>
      <w:r>
        <w:rPr>
          <w:rFonts w:ascii="Cambria" w:hAnsi="Cambria"/>
          <w:sz w:val="22"/>
          <w:szCs w:val="22"/>
        </w:rPr>
        <w:t>“I</w:t>
      </w:r>
      <w:r w:rsidR="00667480">
        <w:rPr>
          <w:rFonts w:ascii="Cambria" w:hAnsi="Cambria"/>
          <w:sz w:val="22"/>
          <w:szCs w:val="22"/>
        </w:rPr>
        <w:t>n the interest of conservation”</w:t>
      </w:r>
      <w:r w:rsidR="003D3C42">
        <w:rPr>
          <w:rFonts w:ascii="Cambria" w:hAnsi="Cambria"/>
          <w:sz w:val="22"/>
          <w:szCs w:val="22"/>
        </w:rPr>
        <w:t xml:space="preserve"> suspensions</w:t>
      </w:r>
      <w:r>
        <w:rPr>
          <w:rFonts w:ascii="Cambria" w:hAnsi="Cambria"/>
          <w:sz w:val="22"/>
          <w:szCs w:val="22"/>
        </w:rPr>
        <w:t xml:space="preserve"> (section 39 of the MLA)</w:t>
      </w:r>
      <w:r w:rsidR="003D3C42">
        <w:rPr>
          <w:rFonts w:ascii="Cambria" w:hAnsi="Cambria"/>
          <w:sz w:val="22"/>
          <w:szCs w:val="22"/>
        </w:rPr>
        <w:t>:</w:t>
      </w:r>
    </w:p>
    <w:p w14:paraId="5F551AA4" w14:textId="77777777" w:rsidR="003D3C42" w:rsidRPr="003D3C42" w:rsidRDefault="003D3C42" w:rsidP="003D3C42">
      <w:pPr>
        <w:pStyle w:val="ListParagraph"/>
        <w:numPr>
          <w:ilvl w:val="1"/>
          <w:numId w:val="5"/>
        </w:numPr>
        <w:rPr>
          <w:rFonts w:ascii="Cambria" w:hAnsi="Cambria"/>
          <w:b/>
          <w:bCs/>
          <w:sz w:val="22"/>
          <w:szCs w:val="22"/>
        </w:rPr>
      </w:pPr>
      <w:r>
        <w:rPr>
          <w:rFonts w:ascii="Cambria" w:hAnsi="Cambria"/>
          <w:sz w:val="22"/>
          <w:szCs w:val="22"/>
        </w:rPr>
        <w:t>O</w:t>
      </w:r>
      <w:r w:rsidRPr="009D61F5">
        <w:rPr>
          <w:rFonts w:ascii="Cambria" w:hAnsi="Cambria"/>
          <w:sz w:val="22"/>
          <w:szCs w:val="22"/>
        </w:rPr>
        <w:t>perators m</w:t>
      </w:r>
      <w:r>
        <w:rPr>
          <w:rFonts w:ascii="Cambria" w:hAnsi="Cambria"/>
          <w:sz w:val="22"/>
          <w:szCs w:val="22"/>
        </w:rPr>
        <w:t>ust</w:t>
      </w:r>
      <w:r w:rsidRPr="009D61F5">
        <w:rPr>
          <w:rFonts w:ascii="Cambria" w:hAnsi="Cambria"/>
          <w:sz w:val="22"/>
          <w:szCs w:val="22"/>
        </w:rPr>
        <w:t xml:space="preserve"> </w:t>
      </w:r>
      <w:r>
        <w:rPr>
          <w:rFonts w:ascii="Cambria" w:hAnsi="Cambria"/>
          <w:sz w:val="22"/>
          <w:szCs w:val="22"/>
        </w:rPr>
        <w:t>file</w:t>
      </w:r>
      <w:r w:rsidRPr="009D61F5">
        <w:rPr>
          <w:rFonts w:ascii="Cambria" w:hAnsi="Cambria"/>
          <w:sz w:val="22"/>
          <w:szCs w:val="22"/>
        </w:rPr>
        <w:t xml:space="preserve"> </w:t>
      </w:r>
      <w:r>
        <w:rPr>
          <w:rFonts w:ascii="Cambria" w:hAnsi="Cambria"/>
          <w:sz w:val="22"/>
          <w:szCs w:val="22"/>
        </w:rPr>
        <w:t>suspension applications with BLM state offices.</w:t>
      </w:r>
    </w:p>
    <w:p w14:paraId="06FCCC7B" w14:textId="631B6A22" w:rsidR="003D3C42" w:rsidRPr="003D3C42" w:rsidRDefault="003D3C42" w:rsidP="003D3C42">
      <w:pPr>
        <w:pStyle w:val="ListParagraph"/>
        <w:numPr>
          <w:ilvl w:val="1"/>
          <w:numId w:val="5"/>
        </w:numPr>
        <w:rPr>
          <w:rFonts w:ascii="Cambria" w:hAnsi="Cambria"/>
          <w:b/>
          <w:bCs/>
          <w:sz w:val="22"/>
          <w:szCs w:val="22"/>
        </w:rPr>
      </w:pPr>
      <w:r w:rsidRPr="003D3C42">
        <w:rPr>
          <w:rFonts w:ascii="Cambria" w:hAnsi="Cambria"/>
          <w:sz w:val="22"/>
          <w:szCs w:val="22"/>
        </w:rPr>
        <w:t>The guidance does not specify what information is required; however, the guidance appear</w:t>
      </w:r>
      <w:r w:rsidR="0074295B">
        <w:rPr>
          <w:rFonts w:ascii="Cambria" w:hAnsi="Cambria"/>
          <w:sz w:val="22"/>
          <w:szCs w:val="22"/>
        </w:rPr>
        <w:t>s</w:t>
      </w:r>
      <w:r w:rsidRPr="003D3C42">
        <w:rPr>
          <w:rFonts w:ascii="Cambria" w:hAnsi="Cambria"/>
          <w:sz w:val="22"/>
          <w:szCs w:val="22"/>
        </w:rPr>
        <w:t xml:space="preserve"> to limit section 39 suspensions to situations where operators have submitted drilling permit applications </w:t>
      </w:r>
      <w:r>
        <w:rPr>
          <w:rFonts w:ascii="Cambria" w:hAnsi="Cambria"/>
          <w:sz w:val="22"/>
          <w:szCs w:val="22"/>
        </w:rPr>
        <w:t xml:space="preserve">(APDs) </w:t>
      </w:r>
      <w:r w:rsidRPr="003D3C42">
        <w:rPr>
          <w:rFonts w:ascii="Cambria" w:hAnsi="Cambria"/>
          <w:sz w:val="22"/>
          <w:szCs w:val="22"/>
        </w:rPr>
        <w:t xml:space="preserve">“and </w:t>
      </w:r>
      <w:r w:rsidRPr="003D3C42">
        <w:rPr>
          <w:rFonts w:ascii="Cambria" w:hAnsi="Cambria" w:cs="Arial"/>
          <w:sz w:val="22"/>
          <w:szCs w:val="22"/>
        </w:rPr>
        <w:t xml:space="preserve">BLM is </w:t>
      </w:r>
      <w:r w:rsidRPr="003D3C42">
        <w:rPr>
          <w:rStyle w:val="highlight"/>
          <w:rFonts w:ascii="Cambria" w:hAnsi="Cambria" w:cs="Arial"/>
          <w:sz w:val="22"/>
          <w:szCs w:val="22"/>
        </w:rPr>
        <w:t>expe</w:t>
      </w:r>
      <w:r w:rsidRPr="003D3C42">
        <w:rPr>
          <w:rFonts w:ascii="Cambria" w:hAnsi="Cambria" w:cs="Arial"/>
          <w:sz w:val="22"/>
          <w:szCs w:val="22"/>
        </w:rPr>
        <w:t>riencing unusual or unreasonable processing delays of the APD</w:t>
      </w:r>
      <w:r>
        <w:rPr>
          <w:rFonts w:ascii="Cambria" w:hAnsi="Cambria" w:cs="Arial"/>
          <w:sz w:val="22"/>
          <w:szCs w:val="22"/>
        </w:rPr>
        <w:t xml:space="preserve"> </w:t>
      </w:r>
      <w:r w:rsidRPr="003D3C42">
        <w:rPr>
          <w:rFonts w:ascii="Cambria" w:hAnsi="Cambria" w:cs="Arial"/>
          <w:sz w:val="22"/>
          <w:szCs w:val="22"/>
        </w:rPr>
        <w:t>to complete environmental review, analysis or consultations (caused, e.g., by the COVID-19 emergency and difficulty in meeting with people to conduct NEPA or section 106 or tribal consultations</w:t>
      </w:r>
      <w:r>
        <w:rPr>
          <w:rFonts w:ascii="Cambria" w:hAnsi="Cambria" w:cs="Arial"/>
          <w:sz w:val="22"/>
          <w:szCs w:val="22"/>
        </w:rPr>
        <w:t>). . . .”</w:t>
      </w:r>
    </w:p>
    <w:p w14:paraId="086C7146" w14:textId="77777777" w:rsidR="003D3C42" w:rsidRPr="00310A17" w:rsidRDefault="003D3C42" w:rsidP="003D3C42">
      <w:pPr>
        <w:pStyle w:val="ListParagraph"/>
        <w:numPr>
          <w:ilvl w:val="1"/>
          <w:numId w:val="5"/>
        </w:numPr>
        <w:rPr>
          <w:rFonts w:ascii="Cambria" w:hAnsi="Cambria"/>
          <w:b/>
          <w:bCs/>
          <w:sz w:val="22"/>
          <w:szCs w:val="22"/>
        </w:rPr>
      </w:pPr>
      <w:r>
        <w:rPr>
          <w:rFonts w:ascii="Cambria" w:hAnsi="Cambria"/>
          <w:sz w:val="22"/>
          <w:szCs w:val="22"/>
        </w:rPr>
        <w:t>BLM “must verify the application information within five business days.”</w:t>
      </w:r>
    </w:p>
    <w:p w14:paraId="43424ACB" w14:textId="2DC38C8B" w:rsidR="003D3C42" w:rsidRPr="003D3C42" w:rsidRDefault="003D3C42" w:rsidP="003D3C42">
      <w:pPr>
        <w:pStyle w:val="ListParagraph"/>
        <w:numPr>
          <w:ilvl w:val="1"/>
          <w:numId w:val="5"/>
        </w:numPr>
        <w:rPr>
          <w:rFonts w:ascii="Cambria" w:hAnsi="Cambria"/>
          <w:b/>
          <w:bCs/>
          <w:sz w:val="22"/>
          <w:szCs w:val="22"/>
        </w:rPr>
      </w:pPr>
      <w:r w:rsidRPr="00310A17">
        <w:rPr>
          <w:rFonts w:ascii="Cambria" w:hAnsi="Cambria"/>
          <w:sz w:val="22"/>
          <w:szCs w:val="22"/>
        </w:rPr>
        <w:t>If approved,</w:t>
      </w:r>
      <w:r>
        <w:rPr>
          <w:rFonts w:ascii="Cambria" w:hAnsi="Cambria"/>
          <w:sz w:val="22"/>
          <w:szCs w:val="22"/>
        </w:rPr>
        <w:t xml:space="preserve"> the lease term + royalty and rental obligations are suspended.  </w:t>
      </w:r>
    </w:p>
    <w:p w14:paraId="3351E86E" w14:textId="447F412E" w:rsidR="003D3C42" w:rsidRDefault="003D3C42" w:rsidP="003D3C42">
      <w:pPr>
        <w:rPr>
          <w:rFonts w:ascii="Cambria" w:hAnsi="Cambria"/>
          <w:b/>
          <w:bCs/>
          <w:sz w:val="22"/>
          <w:szCs w:val="22"/>
        </w:rPr>
      </w:pPr>
    </w:p>
    <w:p w14:paraId="19468373" w14:textId="77777777" w:rsidR="003D3C42" w:rsidRPr="00C0582D" w:rsidRDefault="003D3C42" w:rsidP="003D3C42">
      <w:pPr>
        <w:rPr>
          <w:rFonts w:ascii="Cambria" w:hAnsi="Cambria"/>
          <w:b/>
          <w:bCs/>
          <w:sz w:val="22"/>
          <w:szCs w:val="22"/>
        </w:rPr>
      </w:pPr>
      <w:r w:rsidRPr="00C0582D">
        <w:rPr>
          <w:rFonts w:ascii="Cambria" w:hAnsi="Cambria"/>
          <w:b/>
          <w:bCs/>
          <w:sz w:val="22"/>
          <w:szCs w:val="22"/>
        </w:rPr>
        <w:t>Major issues/flaws:</w:t>
      </w:r>
    </w:p>
    <w:p w14:paraId="7494DC08" w14:textId="3736BF8B" w:rsidR="00090265" w:rsidRDefault="00090265" w:rsidP="003D3C42">
      <w:pPr>
        <w:pStyle w:val="ListParagraph"/>
        <w:numPr>
          <w:ilvl w:val="0"/>
          <w:numId w:val="2"/>
        </w:numPr>
        <w:rPr>
          <w:rFonts w:ascii="Cambria" w:hAnsi="Cambria"/>
          <w:b/>
          <w:bCs/>
          <w:sz w:val="22"/>
          <w:szCs w:val="22"/>
        </w:rPr>
      </w:pPr>
      <w:r>
        <w:rPr>
          <w:rFonts w:ascii="Cambria" w:hAnsi="Cambria"/>
          <w:b/>
          <w:bCs/>
          <w:sz w:val="22"/>
          <w:szCs w:val="22"/>
        </w:rPr>
        <w:t xml:space="preserve">No limits on when leases are obtained or how long they’ve been held: </w:t>
      </w:r>
      <w:r>
        <w:rPr>
          <w:rFonts w:ascii="Cambria" w:hAnsi="Cambria"/>
          <w:bCs/>
          <w:sz w:val="22"/>
          <w:szCs w:val="22"/>
        </w:rPr>
        <w:t>The guidance does not prohibit requesting suspension for leases that were purchased during the pandemic/downturns</w:t>
      </w:r>
      <w:r w:rsidR="00667480">
        <w:rPr>
          <w:rFonts w:ascii="Cambria" w:hAnsi="Cambria"/>
          <w:bCs/>
          <w:sz w:val="22"/>
          <w:szCs w:val="22"/>
        </w:rPr>
        <w:t>. Thus</w:t>
      </w:r>
      <w:r>
        <w:rPr>
          <w:rFonts w:ascii="Cambria" w:hAnsi="Cambria"/>
          <w:bCs/>
          <w:sz w:val="22"/>
          <w:szCs w:val="22"/>
        </w:rPr>
        <w:t xml:space="preserve">, </w:t>
      </w:r>
      <w:r w:rsidR="00667480">
        <w:rPr>
          <w:rFonts w:ascii="Cambria" w:hAnsi="Cambria"/>
          <w:bCs/>
          <w:sz w:val="22"/>
          <w:szCs w:val="22"/>
        </w:rPr>
        <w:t>companies that</w:t>
      </w:r>
      <w:r>
        <w:rPr>
          <w:rFonts w:ascii="Cambria" w:hAnsi="Cambria"/>
          <w:bCs/>
          <w:sz w:val="22"/>
          <w:szCs w:val="22"/>
        </w:rPr>
        <w:t xml:space="preserve"> chose to </w:t>
      </w:r>
      <w:r w:rsidR="00667480">
        <w:rPr>
          <w:rFonts w:ascii="Cambria" w:hAnsi="Cambria"/>
          <w:bCs/>
          <w:sz w:val="22"/>
          <w:szCs w:val="22"/>
        </w:rPr>
        <w:t xml:space="preserve">obtain new leases </w:t>
      </w:r>
      <w:r>
        <w:rPr>
          <w:rFonts w:ascii="Cambria" w:hAnsi="Cambria"/>
          <w:bCs/>
          <w:sz w:val="22"/>
          <w:szCs w:val="22"/>
        </w:rPr>
        <w:t>wi</w:t>
      </w:r>
      <w:r w:rsidR="005B126C">
        <w:rPr>
          <w:rFonts w:ascii="Cambria" w:hAnsi="Cambria"/>
          <w:bCs/>
          <w:sz w:val="22"/>
          <w:szCs w:val="22"/>
        </w:rPr>
        <w:t>th</w:t>
      </w:r>
      <w:r>
        <w:rPr>
          <w:rFonts w:ascii="Cambria" w:hAnsi="Cambria"/>
          <w:bCs/>
          <w:sz w:val="22"/>
          <w:szCs w:val="22"/>
        </w:rPr>
        <w:t xml:space="preserve"> full knowledge of one or both factors</w:t>
      </w:r>
      <w:r w:rsidR="00667480">
        <w:rPr>
          <w:rFonts w:ascii="Cambria" w:hAnsi="Cambria"/>
          <w:bCs/>
          <w:sz w:val="22"/>
          <w:szCs w:val="22"/>
        </w:rPr>
        <w:t xml:space="preserve"> could still benefit from lease suspensions</w:t>
      </w:r>
      <w:r>
        <w:rPr>
          <w:rFonts w:ascii="Cambria" w:hAnsi="Cambria"/>
          <w:bCs/>
          <w:sz w:val="22"/>
          <w:szCs w:val="22"/>
        </w:rPr>
        <w:t xml:space="preserve">. </w:t>
      </w:r>
    </w:p>
    <w:p w14:paraId="412D90E5" w14:textId="229C6A6D" w:rsidR="003D3C42" w:rsidRPr="00516D4F" w:rsidRDefault="003D3C42" w:rsidP="003D3C42">
      <w:pPr>
        <w:pStyle w:val="ListParagraph"/>
        <w:numPr>
          <w:ilvl w:val="0"/>
          <w:numId w:val="2"/>
        </w:numPr>
        <w:rPr>
          <w:rFonts w:ascii="Cambria" w:hAnsi="Cambria"/>
          <w:b/>
          <w:bCs/>
          <w:sz w:val="22"/>
          <w:szCs w:val="22"/>
        </w:rPr>
      </w:pPr>
      <w:r>
        <w:rPr>
          <w:rFonts w:ascii="Cambria" w:hAnsi="Cambria"/>
          <w:b/>
          <w:bCs/>
          <w:sz w:val="22"/>
          <w:szCs w:val="22"/>
        </w:rPr>
        <w:t xml:space="preserve">No public oversight/accountability: </w:t>
      </w:r>
      <w:r>
        <w:rPr>
          <w:rFonts w:ascii="Cambria" w:hAnsi="Cambria"/>
          <w:sz w:val="22"/>
          <w:szCs w:val="22"/>
        </w:rPr>
        <w:t xml:space="preserve">There is no requirement for public notice/review of suspensions applications.  Nor does the guidance require notice to states, which are entitled to roughly half of the revenues from public lands leases/production.  Only after the fact, if at all, will the public </w:t>
      </w:r>
      <w:r w:rsidR="00090265">
        <w:rPr>
          <w:rFonts w:ascii="Cambria" w:hAnsi="Cambria"/>
          <w:sz w:val="22"/>
          <w:szCs w:val="22"/>
        </w:rPr>
        <w:t>and</w:t>
      </w:r>
      <w:r>
        <w:rPr>
          <w:rFonts w:ascii="Cambria" w:hAnsi="Cambria"/>
          <w:sz w:val="22"/>
          <w:szCs w:val="22"/>
        </w:rPr>
        <w:t xml:space="preserve"> states learn of suspensions. </w:t>
      </w:r>
    </w:p>
    <w:p w14:paraId="0C1C6AED" w14:textId="5BB10100" w:rsidR="003D3C42" w:rsidRPr="003D3C42" w:rsidRDefault="003D3C42" w:rsidP="003D3C42">
      <w:pPr>
        <w:pStyle w:val="ListParagraph"/>
        <w:numPr>
          <w:ilvl w:val="0"/>
          <w:numId w:val="2"/>
        </w:numPr>
        <w:rPr>
          <w:rFonts w:ascii="Cambria" w:hAnsi="Cambria"/>
          <w:b/>
          <w:bCs/>
          <w:sz w:val="22"/>
          <w:szCs w:val="22"/>
        </w:rPr>
      </w:pPr>
      <w:r>
        <w:rPr>
          <w:rFonts w:ascii="Cambria" w:hAnsi="Cambria"/>
          <w:b/>
          <w:bCs/>
          <w:sz w:val="22"/>
          <w:szCs w:val="22"/>
        </w:rPr>
        <w:t>Indefinite duration:</w:t>
      </w:r>
      <w:r>
        <w:rPr>
          <w:rFonts w:ascii="Cambria" w:hAnsi="Cambria"/>
          <w:sz w:val="22"/>
          <w:szCs w:val="22"/>
        </w:rPr>
        <w:t xml:space="preserve"> The guidance suggests that suspensions will sunset within one-year of being granted.  However, the guidance indicates that BLM may extend suspensions beyond the one-year period.  Further, as </w:t>
      </w:r>
      <w:hyperlink r:id="rId8" w:history="1">
        <w:r w:rsidRPr="003D3C42">
          <w:rPr>
            <w:rStyle w:val="Hyperlink"/>
            <w:rFonts w:ascii="Cambria" w:hAnsi="Cambria"/>
            <w:sz w:val="22"/>
            <w:szCs w:val="22"/>
          </w:rPr>
          <w:t>documented in</w:t>
        </w:r>
        <w:r w:rsidR="0074295B">
          <w:rPr>
            <w:rStyle w:val="Hyperlink"/>
            <w:rFonts w:ascii="Cambria" w:hAnsi="Cambria"/>
            <w:sz w:val="22"/>
            <w:szCs w:val="22"/>
          </w:rPr>
          <w:t xml:space="preserve"> a</w:t>
        </w:r>
        <w:r w:rsidRPr="003D3C42">
          <w:rPr>
            <w:rStyle w:val="Hyperlink"/>
            <w:rFonts w:ascii="Cambria" w:hAnsi="Cambria"/>
            <w:sz w:val="22"/>
            <w:szCs w:val="22"/>
          </w:rPr>
          <w:t xml:space="preserve"> 2018</w:t>
        </w:r>
        <w:r w:rsidR="0074295B">
          <w:rPr>
            <w:rStyle w:val="Hyperlink"/>
            <w:rFonts w:ascii="Cambria" w:hAnsi="Cambria"/>
            <w:sz w:val="22"/>
            <w:szCs w:val="22"/>
          </w:rPr>
          <w:t xml:space="preserve"> GAO report</w:t>
        </w:r>
        <w:r w:rsidRPr="003D3C42">
          <w:rPr>
            <w:rStyle w:val="Hyperlink"/>
            <w:rFonts w:ascii="Cambria" w:hAnsi="Cambria"/>
            <w:sz w:val="22"/>
            <w:szCs w:val="22"/>
          </w:rPr>
          <w:t>,</w:t>
        </w:r>
      </w:hyperlink>
      <w:r>
        <w:rPr>
          <w:rFonts w:ascii="Cambria" w:hAnsi="Cambria"/>
          <w:sz w:val="22"/>
          <w:szCs w:val="22"/>
        </w:rPr>
        <w:t xml:space="preserve"> suspensions frequently remain in place </w:t>
      </w:r>
      <w:r w:rsidR="0074295B">
        <w:rPr>
          <w:rFonts w:ascii="Cambria" w:hAnsi="Cambria"/>
          <w:sz w:val="22"/>
          <w:szCs w:val="22"/>
        </w:rPr>
        <w:t>long-</w:t>
      </w:r>
      <w:r>
        <w:rPr>
          <w:rFonts w:ascii="Cambria" w:hAnsi="Cambria"/>
          <w:sz w:val="22"/>
          <w:szCs w:val="22"/>
        </w:rPr>
        <w:t>past their expiration dates because of lax monitoring and enforcement by BLM</w:t>
      </w:r>
      <w:r w:rsidR="00677523">
        <w:rPr>
          <w:rFonts w:ascii="Cambria" w:hAnsi="Cambria"/>
          <w:sz w:val="22"/>
          <w:szCs w:val="22"/>
        </w:rPr>
        <w:t xml:space="preserve">, and </w:t>
      </w:r>
      <w:r>
        <w:rPr>
          <w:rFonts w:ascii="Cambria" w:hAnsi="Cambria"/>
          <w:sz w:val="22"/>
          <w:szCs w:val="22"/>
        </w:rPr>
        <w:t xml:space="preserve">there is nothing tying the duration of suspensions to COVID-19 + the national emergency – the purported basis for the guidance.  </w:t>
      </w:r>
    </w:p>
    <w:p w14:paraId="72824477" w14:textId="4E8C26F4" w:rsidR="003D3C42" w:rsidRPr="0074295B" w:rsidRDefault="003D3C42" w:rsidP="0074295B">
      <w:pPr>
        <w:pStyle w:val="ListParagraph"/>
        <w:numPr>
          <w:ilvl w:val="0"/>
          <w:numId w:val="2"/>
        </w:numPr>
        <w:rPr>
          <w:rFonts w:ascii="Cambria" w:hAnsi="Cambria"/>
          <w:b/>
          <w:bCs/>
          <w:sz w:val="22"/>
          <w:szCs w:val="22"/>
        </w:rPr>
      </w:pPr>
      <w:r>
        <w:rPr>
          <w:rFonts w:ascii="Cambria" w:hAnsi="Cambria"/>
          <w:b/>
          <w:bCs/>
          <w:sz w:val="22"/>
          <w:szCs w:val="22"/>
        </w:rPr>
        <w:t>Extending the life of marginal wells + leases:</w:t>
      </w:r>
      <w:r>
        <w:rPr>
          <w:rFonts w:ascii="Cambria" w:hAnsi="Cambria"/>
          <w:sz w:val="22"/>
          <w:szCs w:val="22"/>
        </w:rPr>
        <w:t xml:space="preserve"> The guidance represents a lifeline that will artificially extend the life of marginal wells + leases on public lands.  It is difficult to </w:t>
      </w:r>
      <w:r w:rsidR="00677523">
        <w:rPr>
          <w:rFonts w:ascii="Cambria" w:hAnsi="Cambria"/>
          <w:sz w:val="22"/>
          <w:szCs w:val="22"/>
        </w:rPr>
        <w:t xml:space="preserve">assess the scope of wells + leases that stand to benefit, but it’s worth noting that, for the past several years, industry has </w:t>
      </w:r>
      <w:hyperlink r:id="rId9" w:history="1">
        <w:r w:rsidR="00677523" w:rsidRPr="00677523">
          <w:rPr>
            <w:rStyle w:val="Hyperlink"/>
            <w:rFonts w:ascii="Cambria" w:hAnsi="Cambria"/>
            <w:sz w:val="22"/>
            <w:szCs w:val="22"/>
          </w:rPr>
          <w:t>de-emphasized</w:t>
        </w:r>
      </w:hyperlink>
      <w:r w:rsidR="00677523">
        <w:rPr>
          <w:rFonts w:ascii="Cambria" w:hAnsi="Cambria"/>
          <w:sz w:val="22"/>
          <w:szCs w:val="22"/>
        </w:rPr>
        <w:t xml:space="preserve"> federal operations because “most shale plays are not located on federal and Indian lands.” </w:t>
      </w:r>
    </w:p>
    <w:sectPr w:rsidR="003D3C42" w:rsidRPr="0074295B" w:rsidSect="0013305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07A83" w14:textId="77777777" w:rsidR="004F159C" w:rsidRDefault="004F159C" w:rsidP="00C0582D">
      <w:r>
        <w:separator/>
      </w:r>
    </w:p>
  </w:endnote>
  <w:endnote w:type="continuationSeparator" w:id="0">
    <w:p w14:paraId="40B3ABBC" w14:textId="77777777" w:rsidR="004F159C" w:rsidRDefault="004F159C" w:rsidP="00C0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83EA2" w14:textId="77777777" w:rsidR="004F159C" w:rsidRDefault="004F159C" w:rsidP="00C0582D">
      <w:r>
        <w:separator/>
      </w:r>
    </w:p>
  </w:footnote>
  <w:footnote w:type="continuationSeparator" w:id="0">
    <w:p w14:paraId="444D2CB3" w14:textId="77777777" w:rsidR="004F159C" w:rsidRDefault="004F159C" w:rsidP="00C0582D">
      <w:r>
        <w:continuationSeparator/>
      </w:r>
    </w:p>
  </w:footnote>
  <w:footnote w:id="1">
    <w:p w14:paraId="0526DB48" w14:textId="680280DB" w:rsidR="00C0582D" w:rsidRPr="00667480" w:rsidRDefault="00C0582D" w:rsidP="00667480">
      <w:pPr>
        <w:pStyle w:val="FootnoteText"/>
        <w:ind w:firstLine="0"/>
        <w:rPr>
          <w:rFonts w:ascii="Cambria" w:hAnsi="Cambria"/>
        </w:rPr>
      </w:pPr>
      <w:r w:rsidRPr="00667480">
        <w:rPr>
          <w:rStyle w:val="FootnoteReference"/>
          <w:rFonts w:ascii="Cambria" w:hAnsi="Cambria"/>
        </w:rPr>
        <w:footnoteRef/>
      </w:r>
      <w:r w:rsidRPr="00667480">
        <w:rPr>
          <w:rFonts w:ascii="Cambria" w:hAnsi="Cambria"/>
        </w:rPr>
        <w:t xml:space="preserve"> </w:t>
      </w:r>
      <w:r w:rsidRPr="00667480">
        <w:rPr>
          <w:rFonts w:ascii="Cambria" w:hAnsi="Cambria"/>
          <w:i/>
          <w:iCs/>
        </w:rPr>
        <w:t xml:space="preserve">See </w:t>
      </w:r>
      <w:r w:rsidRPr="00667480">
        <w:rPr>
          <w:rFonts w:ascii="Cambria" w:hAnsi="Cambria"/>
        </w:rPr>
        <w:t xml:space="preserve">E&amp;E News, BLM to expedite royalty relief during pandemic (Apr. 27, 2020), </w:t>
      </w:r>
      <w:r w:rsidRPr="00667480">
        <w:rPr>
          <w:rFonts w:ascii="Cambria" w:hAnsi="Cambria"/>
          <w:i/>
          <w:iCs/>
        </w:rPr>
        <w:t xml:space="preserve">available at </w:t>
      </w:r>
      <w:hyperlink r:id="rId1" w:history="1">
        <w:r w:rsidRPr="00667480">
          <w:rPr>
            <w:rStyle w:val="Hyperlink"/>
            <w:rFonts w:ascii="Cambria" w:hAnsi="Cambria"/>
          </w:rPr>
          <w:t>https://www.eenews.net/eenewspm/2020/04/27/stories/1062988129</w:t>
        </w:r>
      </w:hyperlink>
      <w:r w:rsidRPr="00667480">
        <w:rPr>
          <w:rFonts w:ascii="Cambria" w:hAnsi="Cambria"/>
        </w:rPr>
        <w:t>.</w:t>
      </w:r>
      <w:r w:rsidRPr="00667480">
        <w:rPr>
          <w:rFonts w:ascii="Cambria" w:hAnsi="Cambria"/>
          <w:i/>
          <w:iCs/>
        </w:rPr>
        <w:t xml:space="preserve"> </w:t>
      </w:r>
    </w:p>
  </w:footnote>
  <w:footnote w:id="2">
    <w:p w14:paraId="17B42A03" w14:textId="4F437ED7" w:rsidR="00667480" w:rsidRPr="00667480" w:rsidRDefault="00667480" w:rsidP="00667480">
      <w:pPr>
        <w:pStyle w:val="FootnoteText"/>
        <w:ind w:firstLine="0"/>
        <w:rPr>
          <w:rFonts w:ascii="Cambria" w:hAnsi="Cambria"/>
        </w:rPr>
      </w:pPr>
      <w:r w:rsidRPr="00667480">
        <w:rPr>
          <w:rStyle w:val="FootnoteReference"/>
          <w:rFonts w:ascii="Cambria" w:hAnsi="Cambria"/>
        </w:rPr>
        <w:footnoteRef/>
      </w:r>
      <w:r w:rsidRPr="00667480">
        <w:rPr>
          <w:rFonts w:ascii="Cambria" w:hAnsi="Cambria"/>
        </w:rPr>
        <w:t xml:space="preserve"> </w:t>
      </w:r>
      <w:hyperlink r:id="rId2" w:history="1">
        <w:r w:rsidRPr="00667480">
          <w:rPr>
            <w:rStyle w:val="Hyperlink"/>
            <w:rFonts w:ascii="Cambria" w:hAnsi="Cambria"/>
          </w:rPr>
          <w:t>https://f.datasrvr.com/fr1/320/75150/BLM_interim_guidance_-_royalty.pdf?cbcachex=362326</w:t>
        </w:r>
      </w:hyperlink>
      <w:r w:rsidRPr="00667480">
        <w:rPr>
          <w:rFonts w:ascii="Cambria" w:hAnsi="Cambria"/>
        </w:rPr>
        <w:t xml:space="preserve"> </w:t>
      </w:r>
    </w:p>
  </w:footnote>
  <w:footnote w:id="3">
    <w:p w14:paraId="0F15CEF1" w14:textId="28262398" w:rsidR="00667480" w:rsidRPr="00667480" w:rsidRDefault="00667480" w:rsidP="00667480">
      <w:pPr>
        <w:pStyle w:val="FootnoteText"/>
        <w:ind w:firstLine="0"/>
        <w:rPr>
          <w:rFonts w:ascii="Cambria" w:hAnsi="Cambria"/>
        </w:rPr>
      </w:pPr>
      <w:r w:rsidRPr="00667480">
        <w:rPr>
          <w:rStyle w:val="FootnoteReference"/>
          <w:rFonts w:ascii="Cambria" w:hAnsi="Cambria"/>
        </w:rPr>
        <w:footnoteRef/>
      </w:r>
      <w:r w:rsidRPr="00667480">
        <w:rPr>
          <w:rFonts w:ascii="Cambria" w:hAnsi="Cambria"/>
        </w:rPr>
        <w:t xml:space="preserve"> </w:t>
      </w:r>
      <w:hyperlink r:id="rId3" w:history="1">
        <w:r w:rsidRPr="00667480">
          <w:rPr>
            <w:rStyle w:val="Hyperlink"/>
            <w:rFonts w:ascii="Cambria" w:hAnsi="Cambria"/>
          </w:rPr>
          <w:t>https://f.datasrvr.com/fr1/820/96356/BLM_interim_guidance_-_suspension.pdf?cbcachex=299019</w:t>
        </w:r>
      </w:hyperlink>
      <w:r w:rsidRPr="00667480">
        <w:rPr>
          <w:rFonts w:ascii="Cambria" w:hAnsi="Cambr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3D71"/>
    <w:multiLevelType w:val="hybridMultilevel"/>
    <w:tmpl w:val="B3FC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85E9F"/>
    <w:multiLevelType w:val="hybridMultilevel"/>
    <w:tmpl w:val="8F0C4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BF1F7B"/>
    <w:multiLevelType w:val="hybridMultilevel"/>
    <w:tmpl w:val="F2F8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85F4B"/>
    <w:multiLevelType w:val="hybridMultilevel"/>
    <w:tmpl w:val="84BE08E2"/>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616E09A6"/>
    <w:multiLevelType w:val="hybridMultilevel"/>
    <w:tmpl w:val="188AC0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3E4"/>
    <w:rsid w:val="00077224"/>
    <w:rsid w:val="00090265"/>
    <w:rsid w:val="00133058"/>
    <w:rsid w:val="001F523C"/>
    <w:rsid w:val="00310A17"/>
    <w:rsid w:val="00340C8D"/>
    <w:rsid w:val="003A6331"/>
    <w:rsid w:val="003D3C42"/>
    <w:rsid w:val="004F159C"/>
    <w:rsid w:val="00516D4F"/>
    <w:rsid w:val="00523CC7"/>
    <w:rsid w:val="0057251B"/>
    <w:rsid w:val="005B126C"/>
    <w:rsid w:val="005F5FAA"/>
    <w:rsid w:val="00667480"/>
    <w:rsid w:val="00677523"/>
    <w:rsid w:val="0074295B"/>
    <w:rsid w:val="009D61F5"/>
    <w:rsid w:val="00A00B86"/>
    <w:rsid w:val="00AE66F3"/>
    <w:rsid w:val="00B459E4"/>
    <w:rsid w:val="00BC31F3"/>
    <w:rsid w:val="00C02FB6"/>
    <w:rsid w:val="00C0582D"/>
    <w:rsid w:val="00D02F72"/>
    <w:rsid w:val="00D763BF"/>
    <w:rsid w:val="00F368F6"/>
    <w:rsid w:val="00F630A2"/>
    <w:rsid w:val="00FA327E"/>
    <w:rsid w:val="00FE6000"/>
    <w:rsid w:val="00FE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491E"/>
  <w15:chartTrackingRefBased/>
  <w15:docId w15:val="{BD86D4AD-4D61-034F-89DB-ACE06753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C42"/>
    <w:pPr>
      <w:ind w:firstLine="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FB6"/>
    <w:pPr>
      <w:ind w:left="720" w:hanging="360"/>
      <w:contextualSpacing/>
    </w:pPr>
    <w:rPr>
      <w:rFonts w:asciiTheme="minorHAnsi" w:eastAsiaTheme="minorHAnsi" w:hAnsiTheme="minorHAnsi" w:cstheme="minorBidi"/>
    </w:rPr>
  </w:style>
  <w:style w:type="character" w:styleId="Hyperlink">
    <w:name w:val="Hyperlink"/>
    <w:basedOn w:val="DefaultParagraphFont"/>
    <w:uiPriority w:val="99"/>
    <w:unhideWhenUsed/>
    <w:rsid w:val="00C02FB6"/>
    <w:rPr>
      <w:color w:val="0563C1" w:themeColor="hyperlink"/>
      <w:u w:val="single"/>
    </w:rPr>
  </w:style>
  <w:style w:type="character" w:customStyle="1" w:styleId="UnresolvedMention1">
    <w:name w:val="Unresolved Mention1"/>
    <w:basedOn w:val="DefaultParagraphFont"/>
    <w:uiPriority w:val="99"/>
    <w:semiHidden/>
    <w:unhideWhenUsed/>
    <w:rsid w:val="00C02FB6"/>
    <w:rPr>
      <w:color w:val="605E5C"/>
      <w:shd w:val="clear" w:color="auto" w:fill="E1DFDD"/>
    </w:rPr>
  </w:style>
  <w:style w:type="paragraph" w:styleId="BalloonText">
    <w:name w:val="Balloon Text"/>
    <w:basedOn w:val="Normal"/>
    <w:link w:val="BalloonTextChar"/>
    <w:uiPriority w:val="99"/>
    <w:semiHidden/>
    <w:unhideWhenUsed/>
    <w:rsid w:val="00AE66F3"/>
    <w:pPr>
      <w:ind w:hanging="360"/>
    </w:pPr>
    <w:rPr>
      <w:rFonts w:eastAsiaTheme="minorHAnsi"/>
      <w:sz w:val="18"/>
      <w:szCs w:val="18"/>
    </w:rPr>
  </w:style>
  <w:style w:type="character" w:customStyle="1" w:styleId="BalloonTextChar">
    <w:name w:val="Balloon Text Char"/>
    <w:basedOn w:val="DefaultParagraphFont"/>
    <w:link w:val="BalloonText"/>
    <w:uiPriority w:val="99"/>
    <w:semiHidden/>
    <w:rsid w:val="00AE66F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C0582D"/>
    <w:pPr>
      <w:ind w:hanging="36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0582D"/>
    <w:rPr>
      <w:sz w:val="20"/>
      <w:szCs w:val="20"/>
    </w:rPr>
  </w:style>
  <w:style w:type="character" w:styleId="FootnoteReference">
    <w:name w:val="footnote reference"/>
    <w:basedOn w:val="DefaultParagraphFont"/>
    <w:uiPriority w:val="99"/>
    <w:semiHidden/>
    <w:unhideWhenUsed/>
    <w:rsid w:val="00C0582D"/>
    <w:rPr>
      <w:vertAlign w:val="superscript"/>
    </w:rPr>
  </w:style>
  <w:style w:type="character" w:customStyle="1" w:styleId="highlight">
    <w:name w:val="highlight"/>
    <w:basedOn w:val="DefaultParagraphFont"/>
    <w:rsid w:val="003D3C42"/>
  </w:style>
  <w:style w:type="character" w:styleId="CommentReference">
    <w:name w:val="annotation reference"/>
    <w:basedOn w:val="DefaultParagraphFont"/>
    <w:uiPriority w:val="99"/>
    <w:semiHidden/>
    <w:unhideWhenUsed/>
    <w:rsid w:val="001F523C"/>
    <w:rPr>
      <w:sz w:val="16"/>
      <w:szCs w:val="16"/>
    </w:rPr>
  </w:style>
  <w:style w:type="paragraph" w:styleId="CommentText">
    <w:name w:val="annotation text"/>
    <w:basedOn w:val="Normal"/>
    <w:link w:val="CommentTextChar"/>
    <w:uiPriority w:val="99"/>
    <w:semiHidden/>
    <w:unhideWhenUsed/>
    <w:rsid w:val="001F523C"/>
    <w:rPr>
      <w:sz w:val="20"/>
      <w:szCs w:val="20"/>
    </w:rPr>
  </w:style>
  <w:style w:type="character" w:customStyle="1" w:styleId="CommentTextChar">
    <w:name w:val="Comment Text Char"/>
    <w:basedOn w:val="DefaultParagraphFont"/>
    <w:link w:val="CommentText"/>
    <w:uiPriority w:val="99"/>
    <w:semiHidden/>
    <w:rsid w:val="001F52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523C"/>
    <w:rPr>
      <w:b/>
      <w:bCs/>
    </w:rPr>
  </w:style>
  <w:style w:type="character" w:customStyle="1" w:styleId="CommentSubjectChar">
    <w:name w:val="Comment Subject Char"/>
    <w:basedOn w:val="CommentTextChar"/>
    <w:link w:val="CommentSubject"/>
    <w:uiPriority w:val="99"/>
    <w:semiHidden/>
    <w:rsid w:val="001F523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67480"/>
    <w:rPr>
      <w:color w:val="954F72" w:themeColor="followedHyperlink"/>
      <w:u w:val="single"/>
    </w:rPr>
  </w:style>
  <w:style w:type="character" w:styleId="UnresolvedMention">
    <w:name w:val="Unresolved Mention"/>
    <w:basedOn w:val="DefaultParagraphFont"/>
    <w:uiPriority w:val="99"/>
    <w:semiHidden/>
    <w:unhideWhenUsed/>
    <w:rsid w:val="00667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126610">
      <w:bodyDiv w:val="1"/>
      <w:marLeft w:val="0"/>
      <w:marRight w:val="0"/>
      <w:marTop w:val="0"/>
      <w:marBottom w:val="0"/>
      <w:divBdr>
        <w:top w:val="none" w:sz="0" w:space="0" w:color="auto"/>
        <w:left w:val="none" w:sz="0" w:space="0" w:color="auto"/>
        <w:bottom w:val="none" w:sz="0" w:space="0" w:color="auto"/>
        <w:right w:val="none" w:sz="0" w:space="0" w:color="auto"/>
      </w:divBdr>
    </w:div>
    <w:div w:id="233971263">
      <w:bodyDiv w:val="1"/>
      <w:marLeft w:val="0"/>
      <w:marRight w:val="0"/>
      <w:marTop w:val="0"/>
      <w:marBottom w:val="0"/>
      <w:divBdr>
        <w:top w:val="none" w:sz="0" w:space="0" w:color="auto"/>
        <w:left w:val="none" w:sz="0" w:space="0" w:color="auto"/>
        <w:bottom w:val="none" w:sz="0" w:space="0" w:color="auto"/>
        <w:right w:val="none" w:sz="0" w:space="0" w:color="auto"/>
      </w:divBdr>
    </w:div>
    <w:div w:id="430054218">
      <w:bodyDiv w:val="1"/>
      <w:marLeft w:val="0"/>
      <w:marRight w:val="0"/>
      <w:marTop w:val="0"/>
      <w:marBottom w:val="0"/>
      <w:divBdr>
        <w:top w:val="none" w:sz="0" w:space="0" w:color="auto"/>
        <w:left w:val="none" w:sz="0" w:space="0" w:color="auto"/>
        <w:bottom w:val="none" w:sz="0" w:space="0" w:color="auto"/>
        <w:right w:val="none" w:sz="0" w:space="0" w:color="auto"/>
      </w:divBdr>
    </w:div>
    <w:div w:id="4632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o.gov/assets/700/69229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ao.gov/assets/700/696906.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datasrvr.com/fr1/820/96356/BLM_interim_guidance_-_suspension.pdf?cbcachex=299019" TargetMode="External"/><Relationship Id="rId2" Type="http://schemas.openxmlformats.org/officeDocument/2006/relationships/hyperlink" Target="https://f.datasrvr.com/fr1/320/75150/BLM_interim_guidance_-_royalty.pdf?cbcachex=362326" TargetMode="External"/><Relationship Id="rId1" Type="http://schemas.openxmlformats.org/officeDocument/2006/relationships/hyperlink" Target="https://www.eenews.net/eenewspm/2020/04/27/stories/1062988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1A2E4-1687-EA49-8CAC-C2CEE5B5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 Hays</dc:creator>
  <cp:keywords/>
  <dc:description/>
  <cp:lastModifiedBy>Ti Hays</cp:lastModifiedBy>
  <cp:revision>4</cp:revision>
  <dcterms:created xsi:type="dcterms:W3CDTF">2020-04-28T17:52:00Z</dcterms:created>
  <dcterms:modified xsi:type="dcterms:W3CDTF">2020-04-28T17:55:00Z</dcterms:modified>
</cp:coreProperties>
</file>