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788A3" w14:textId="4B4F5DD3" w:rsidR="001A6228" w:rsidRPr="005D7A44" w:rsidRDefault="001A6228" w:rsidP="005D7A44">
      <w:r w:rsidRPr="005D7A44">
        <w:fldChar w:fldCharType="begin"/>
      </w:r>
      <w:r w:rsidRPr="005D7A44">
        <w:instrText xml:space="preserve"> DATE \@ "MMMM d, yyyy" </w:instrText>
      </w:r>
      <w:r w:rsidRPr="005D7A44">
        <w:fldChar w:fldCharType="separate"/>
      </w:r>
      <w:r w:rsidR="00C357AA">
        <w:rPr>
          <w:noProof/>
        </w:rPr>
        <w:t xml:space="preserve">August </w:t>
      </w:r>
      <w:r w:rsidR="00C357AA">
        <w:rPr>
          <w:noProof/>
        </w:rPr>
        <w:t>xx</w:t>
      </w:r>
      <w:r w:rsidR="00C357AA">
        <w:rPr>
          <w:noProof/>
        </w:rPr>
        <w:t>, 2020</w:t>
      </w:r>
      <w:r w:rsidRPr="005D7A44">
        <w:fldChar w:fldCharType="end"/>
      </w:r>
    </w:p>
    <w:p w14:paraId="4AEEE65E" w14:textId="77777777" w:rsidR="001A6228" w:rsidRPr="005D7A44" w:rsidRDefault="001A6228" w:rsidP="005D7A44"/>
    <w:p w14:paraId="6F05E700" w14:textId="71119786" w:rsidR="00E94EBC" w:rsidRPr="005D7A44" w:rsidRDefault="00E94EBC" w:rsidP="005D7A44">
      <w:r w:rsidRPr="005D7A44">
        <w:t xml:space="preserve">Interior Secretary </w:t>
      </w:r>
      <w:r w:rsidR="00222364" w:rsidRPr="005D7A44">
        <w:t>David Bernhardt</w:t>
      </w:r>
    </w:p>
    <w:p w14:paraId="0A8BEC2A" w14:textId="741B5A1F" w:rsidR="00095396" w:rsidRPr="005D7A44" w:rsidRDefault="00095396" w:rsidP="005D7A44">
      <w:r w:rsidRPr="005D7A44">
        <w:t>Bureau of Safety and Environmental Enforcement Director Scott Angelle</w:t>
      </w:r>
    </w:p>
    <w:p w14:paraId="41A9DE0B" w14:textId="165D0733" w:rsidR="0040204B" w:rsidRPr="005D7A44" w:rsidRDefault="0040204B" w:rsidP="005D7A44">
      <w:r w:rsidRPr="005D7A44">
        <w:t>Admiral Karl Schultz, Commandant of the Coast Guard</w:t>
      </w:r>
    </w:p>
    <w:p w14:paraId="79676AAB" w14:textId="187009EB" w:rsidR="00E54B18" w:rsidRPr="005D7A44" w:rsidRDefault="00296F62" w:rsidP="005D7A44">
      <w:r w:rsidRPr="005D7A44">
        <w:t xml:space="preserve">Loren </w:t>
      </w:r>
      <w:proofErr w:type="spellStart"/>
      <w:r w:rsidRPr="005D7A44">
        <w:t>Sweatt</w:t>
      </w:r>
      <w:proofErr w:type="spellEnd"/>
      <w:r w:rsidR="00E54B18" w:rsidRPr="005D7A44">
        <w:t>, Principal Deputy Assistant Secretary of Labor for Occupational Safety and Health</w:t>
      </w:r>
    </w:p>
    <w:p w14:paraId="6059221C" w14:textId="5926A307" w:rsidR="00E54B18" w:rsidRPr="005D7A44" w:rsidRDefault="00E54B18" w:rsidP="005D7A44"/>
    <w:p w14:paraId="3A49349C" w14:textId="256A448F" w:rsidR="009E7F06" w:rsidRPr="005D7A44" w:rsidRDefault="009E7F06" w:rsidP="005D7A44">
      <w:r w:rsidRPr="005D7A44">
        <w:t xml:space="preserve">Dear </w:t>
      </w:r>
      <w:r w:rsidR="00B410E8" w:rsidRPr="005D7A44">
        <w:t>Secretary Bernhardt,</w:t>
      </w:r>
      <w:r w:rsidR="001A6228" w:rsidRPr="005D7A44">
        <w:t xml:space="preserve"> Director Angelle,</w:t>
      </w:r>
      <w:r w:rsidR="00B410E8" w:rsidRPr="005D7A44">
        <w:t xml:space="preserve"> Admiral Schultz and </w:t>
      </w:r>
      <w:r w:rsidR="0008453F">
        <w:t>Deputy Asst. Secretary</w:t>
      </w:r>
      <w:r w:rsidR="00A50F29" w:rsidRPr="005D7A44">
        <w:t xml:space="preserve"> </w:t>
      </w:r>
      <w:proofErr w:type="spellStart"/>
      <w:r w:rsidR="00A50F29" w:rsidRPr="005D7A44">
        <w:t>Sweatt</w:t>
      </w:r>
      <w:proofErr w:type="spellEnd"/>
      <w:r w:rsidR="00A50F29" w:rsidRPr="005D7A44">
        <w:t>:</w:t>
      </w:r>
    </w:p>
    <w:p w14:paraId="3C8072F9" w14:textId="77777777" w:rsidR="00222364" w:rsidRPr="005D7A44" w:rsidRDefault="00222364" w:rsidP="005D7A44"/>
    <w:p w14:paraId="15BE9260" w14:textId="7E182E85" w:rsidR="000F1A1E" w:rsidRPr="005D7A44" w:rsidRDefault="004E0A1B" w:rsidP="005D7A44">
      <w:r>
        <w:t xml:space="preserve">We are writing to urgently request that the U.S. Department of Interior, U.S. Coast Guard and U.S. </w:t>
      </w:r>
      <w:r w:rsidR="003078FD">
        <w:t xml:space="preserve">Occupational Safety </w:t>
      </w:r>
      <w:r w:rsidR="00DB5D3A">
        <w:t xml:space="preserve">and Health </w:t>
      </w:r>
      <w:r w:rsidR="003078FD">
        <w:t xml:space="preserve">Administration </w:t>
      </w:r>
      <w:r w:rsidR="002E4CFE">
        <w:t>take action to address the</w:t>
      </w:r>
      <w:r w:rsidR="003078FD">
        <w:t xml:space="preserve"> </w:t>
      </w:r>
      <w:r w:rsidR="00EB4328">
        <w:t xml:space="preserve">potentially life-threatening </w:t>
      </w:r>
      <w:r w:rsidR="00591B94">
        <w:t xml:space="preserve">living and working conditions </w:t>
      </w:r>
      <w:r w:rsidR="00EB4328">
        <w:t xml:space="preserve">for </w:t>
      </w:r>
      <w:r w:rsidR="000F1A1E">
        <w:t xml:space="preserve">offshore and onshore oil </w:t>
      </w:r>
      <w:r w:rsidR="00C97E2F">
        <w:t xml:space="preserve">and gas </w:t>
      </w:r>
      <w:r w:rsidR="009E5A48">
        <w:t xml:space="preserve">workers </w:t>
      </w:r>
      <w:r w:rsidR="1DF6AEFC">
        <w:t xml:space="preserve">and nearby communities </w:t>
      </w:r>
      <w:r w:rsidR="00591B94">
        <w:t xml:space="preserve">stemming from </w:t>
      </w:r>
      <w:r w:rsidR="009E5A48">
        <w:t xml:space="preserve">the </w:t>
      </w:r>
      <w:r w:rsidR="00516167">
        <w:t xml:space="preserve">novel </w:t>
      </w:r>
      <w:r w:rsidR="000F1A1E">
        <w:t>COVID-19</w:t>
      </w:r>
      <w:r w:rsidR="00561497">
        <w:t xml:space="preserve"> virus</w:t>
      </w:r>
      <w:r w:rsidR="000F1A1E">
        <w:t>.</w:t>
      </w:r>
    </w:p>
    <w:p w14:paraId="12C8E022" w14:textId="06EC1027" w:rsidR="000F0E8D" w:rsidRPr="005D7A44" w:rsidRDefault="000F0E8D" w:rsidP="005D7A44"/>
    <w:p w14:paraId="7056028D" w14:textId="00BD9011" w:rsidR="003E20CB" w:rsidRPr="005D7A44" w:rsidRDefault="00EB4328" w:rsidP="005D7A44">
      <w:r>
        <w:t>The o</w:t>
      </w:r>
      <w:r w:rsidR="00715CD0">
        <w:t xml:space="preserve">ffshore </w:t>
      </w:r>
      <w:r w:rsidR="00673C15">
        <w:t xml:space="preserve">oil </w:t>
      </w:r>
      <w:r>
        <w:t>industry presents</w:t>
      </w:r>
      <w:r w:rsidR="00673C15">
        <w:t xml:space="preserve"> a high risk for oil workers, as oil rig employees spend shifts working </w:t>
      </w:r>
      <w:r w:rsidR="004F500F">
        <w:t xml:space="preserve">on site, sleeping and eating in tight quarters. </w:t>
      </w:r>
      <w:r w:rsidR="2CA01EA0">
        <w:t xml:space="preserve">Onshore </w:t>
      </w:r>
      <w:r w:rsidR="00C97E2F">
        <w:t xml:space="preserve">oil and gas </w:t>
      </w:r>
      <w:r w:rsidR="2CA01EA0">
        <w:t xml:space="preserve">workers, particularly those living in “man camps” are also at risk from close contact on the job and </w:t>
      </w:r>
      <w:r w:rsidR="65C0AEA5">
        <w:t>in quarters</w:t>
      </w:r>
      <w:r w:rsidR="3CEEA2AD">
        <w:t>. N</w:t>
      </w:r>
      <w:r w:rsidR="65C0AEA5">
        <w:t>earby communities</w:t>
      </w:r>
      <w:r w:rsidR="393416CB">
        <w:t>, particularly Indigenous</w:t>
      </w:r>
      <w:r w:rsidR="00F56E7B">
        <w:t xml:space="preserve"> peoples</w:t>
      </w:r>
      <w:r w:rsidR="393416CB">
        <w:t>, low income</w:t>
      </w:r>
      <w:r w:rsidR="00F56E7B">
        <w:t xml:space="preserve"> populations</w:t>
      </w:r>
      <w:r w:rsidR="393416CB">
        <w:t xml:space="preserve">, and communities of color are already at higher risk </w:t>
      </w:r>
      <w:r w:rsidR="00F56E7B">
        <w:t xml:space="preserve">of suffering from COVID-19 </w:t>
      </w:r>
      <w:r w:rsidR="393416CB">
        <w:t>and</w:t>
      </w:r>
      <w:r w:rsidR="457A2E34">
        <w:t xml:space="preserve"> often have few healthcare resource</w:t>
      </w:r>
      <w:r w:rsidR="56EF59D0">
        <w:t>s</w:t>
      </w:r>
      <w:r w:rsidR="2F8CD155">
        <w:t xml:space="preserve">. </w:t>
      </w:r>
      <w:r w:rsidR="00C57308">
        <w:t xml:space="preserve">These impacts jeopardize lives, livelihoods, human health and human rights. </w:t>
      </w:r>
      <w:r w:rsidR="00652EE0">
        <w:t xml:space="preserve">It is incumbent on federal </w:t>
      </w:r>
      <w:r w:rsidR="003E20CB">
        <w:t>regulators</w:t>
      </w:r>
      <w:r w:rsidR="00652EE0">
        <w:t xml:space="preserve"> to investigate whether oil </w:t>
      </w:r>
      <w:r w:rsidR="00F56E7B">
        <w:t xml:space="preserve">and gas operators </w:t>
      </w:r>
      <w:r w:rsidR="00652EE0">
        <w:t xml:space="preserve">are sanitizing workspaces, evacuating workplaces when necessary and adopting strict safety </w:t>
      </w:r>
      <w:r w:rsidR="003E20CB">
        <w:t>protocols</w:t>
      </w:r>
      <w:r w:rsidR="00652EE0">
        <w:t xml:space="preserve"> such as temperature checks and </w:t>
      </w:r>
      <w:r w:rsidR="00F74A51">
        <w:t>frequent COV</w:t>
      </w:r>
      <w:r w:rsidR="007D729A">
        <w:t>I</w:t>
      </w:r>
      <w:r w:rsidR="00F74A51">
        <w:t xml:space="preserve">D-19 testing.  </w:t>
      </w:r>
    </w:p>
    <w:p w14:paraId="34FD45D7" w14:textId="77777777" w:rsidR="003E20CB" w:rsidRPr="005D7A44" w:rsidRDefault="003E20CB" w:rsidP="005D7A44"/>
    <w:p w14:paraId="30DE794B" w14:textId="082B5351" w:rsidR="00992A9C" w:rsidRPr="005D7A44" w:rsidRDefault="00DA5BD1" w:rsidP="005D7A44">
      <w:r w:rsidRPr="005D7A44">
        <w:t>M</w:t>
      </w:r>
      <w:r w:rsidR="000F0E8D" w:rsidRPr="005D7A44">
        <w:t xml:space="preserve">edia reports have </w:t>
      </w:r>
      <w:r w:rsidR="00EB4328" w:rsidRPr="005D7A44">
        <w:t>detail</w:t>
      </w:r>
      <w:r w:rsidRPr="005D7A44">
        <w:t>ed</w:t>
      </w:r>
      <w:r w:rsidR="000F0E8D" w:rsidRPr="005D7A44">
        <w:t xml:space="preserve"> </w:t>
      </w:r>
      <w:r w:rsidR="00EB4328" w:rsidRPr="005D7A44">
        <w:t xml:space="preserve">a series of outbreaks among </w:t>
      </w:r>
      <w:r w:rsidR="00AB3286" w:rsidRPr="005D7A44">
        <w:t xml:space="preserve">offshore workers. </w:t>
      </w:r>
      <w:r w:rsidR="003E36F3" w:rsidRPr="005D7A44">
        <w:t xml:space="preserve">In May, Shell Oil was forced to </w:t>
      </w:r>
      <w:r w:rsidR="006519B3" w:rsidRPr="005D7A44">
        <w:t>airlift</w:t>
      </w:r>
      <w:r w:rsidR="003E36F3" w:rsidRPr="005D7A44">
        <w:t xml:space="preserve"> </w:t>
      </w:r>
      <w:r w:rsidR="006519B3" w:rsidRPr="005D7A44">
        <w:t>nine workers</w:t>
      </w:r>
      <w:r w:rsidR="009E73B7" w:rsidRPr="005D7A44">
        <w:t xml:space="preserve"> from a Gulf of Mexico rig</w:t>
      </w:r>
      <w:r w:rsidR="006519B3" w:rsidRPr="005D7A44">
        <w:t xml:space="preserve"> for COVID-19 testing and treatment</w:t>
      </w:r>
      <w:r w:rsidR="006B5CA5" w:rsidRPr="005D7A44">
        <w:t>, with five workers testing positive</w:t>
      </w:r>
      <w:r w:rsidR="006519B3" w:rsidRPr="005D7A44">
        <w:t>.</w:t>
      </w:r>
      <w:r w:rsidR="006519B3" w:rsidRPr="005D7A44">
        <w:rPr>
          <w:vertAlign w:val="superscript"/>
        </w:rPr>
        <w:footnoteReference w:id="2"/>
      </w:r>
      <w:r w:rsidR="006637F2" w:rsidRPr="005D7A44">
        <w:rPr>
          <w:vertAlign w:val="superscript"/>
        </w:rPr>
        <w:t xml:space="preserve"> </w:t>
      </w:r>
      <w:r w:rsidR="001B18EA" w:rsidRPr="005D7A44">
        <w:t xml:space="preserve">Workers at a BP oil platform in the Gulf of Mexico </w:t>
      </w:r>
      <w:r w:rsidR="00196C6D" w:rsidRPr="005D7A44">
        <w:t xml:space="preserve">have also </w:t>
      </w:r>
      <w:r w:rsidR="00080696" w:rsidRPr="005D7A44">
        <w:t>tested</w:t>
      </w:r>
      <w:r w:rsidR="00196C6D" w:rsidRPr="005D7A44">
        <w:t xml:space="preserve"> positive.</w:t>
      </w:r>
      <w:r w:rsidR="00196C6D" w:rsidRPr="005D7A44">
        <w:rPr>
          <w:vertAlign w:val="superscript"/>
        </w:rPr>
        <w:footnoteReference w:id="3"/>
      </w:r>
      <w:r w:rsidR="00080696" w:rsidRPr="005D7A44">
        <w:t xml:space="preserve"> </w:t>
      </w:r>
      <w:r w:rsidR="00992A9C" w:rsidRPr="005D7A44">
        <w:t>“It’s scary,” one worker told NBC News.</w:t>
      </w:r>
      <w:r w:rsidR="00992A9C" w:rsidRPr="005D7A44">
        <w:rPr>
          <w:vertAlign w:val="superscript"/>
        </w:rPr>
        <w:footnoteReference w:id="4"/>
      </w:r>
      <w:r w:rsidR="00992A9C" w:rsidRPr="005D7A44">
        <w:rPr>
          <w:vertAlign w:val="superscript"/>
        </w:rPr>
        <w:t xml:space="preserve"> </w:t>
      </w:r>
      <w:r w:rsidR="00992A9C" w:rsidRPr="005D7A44">
        <w:t>“You’re in close confinement. It’s like a cruise ship except you’re not going anywhere</w:t>
      </w:r>
      <w:r w:rsidR="00F56E7B">
        <w:t>.</w:t>
      </w:r>
      <w:r w:rsidR="005D7A44">
        <w:t>”</w:t>
      </w:r>
    </w:p>
    <w:p w14:paraId="4E4EEAF3" w14:textId="77777777" w:rsidR="00992A9C" w:rsidRPr="005D7A44" w:rsidRDefault="00992A9C" w:rsidP="005D7A44"/>
    <w:p w14:paraId="5524F28C" w14:textId="034C9773" w:rsidR="00C97E2F" w:rsidRDefault="00080696" w:rsidP="451DBB4B">
      <w:r w:rsidRPr="005D7A44">
        <w:t xml:space="preserve">Internationally, </w:t>
      </w:r>
      <w:r w:rsidR="005A7CE4" w:rsidRPr="005D7A44">
        <w:t xml:space="preserve">Mexico’s state-owned oil producer Pemex has </w:t>
      </w:r>
      <w:r w:rsidR="00E663B2" w:rsidRPr="005D7A44">
        <w:t xml:space="preserve">disclosed the deaths of </w:t>
      </w:r>
      <w:r w:rsidR="00F838BC" w:rsidRPr="005D7A44">
        <w:t>202 employees and five contractors from COVID-19</w:t>
      </w:r>
      <w:r w:rsidR="00CB2965" w:rsidRPr="005D7A44">
        <w:t>.</w:t>
      </w:r>
      <w:r w:rsidR="00EB4328" w:rsidRPr="005D7A44">
        <w:rPr>
          <w:vertAlign w:val="superscript"/>
        </w:rPr>
        <w:footnoteReference w:id="5"/>
      </w:r>
      <w:r w:rsidR="00CB2965" w:rsidRPr="005D7A44">
        <w:rPr>
          <w:vertAlign w:val="superscript"/>
        </w:rPr>
        <w:t xml:space="preserve"> </w:t>
      </w:r>
      <w:r w:rsidR="00992A9C" w:rsidRPr="005D7A44">
        <w:t xml:space="preserve"> </w:t>
      </w:r>
      <w:r w:rsidR="00CB2965" w:rsidRPr="005D7A44">
        <w:t>In Norway</w:t>
      </w:r>
      <w:r w:rsidR="00A57243" w:rsidRPr="005D7A44">
        <w:t xml:space="preserve">, Neptune Energy stopped drilling at </w:t>
      </w:r>
      <w:r w:rsidR="00467116" w:rsidRPr="005D7A44">
        <w:t>an offshore rig after two workers tested positive for COVID-19.</w:t>
      </w:r>
      <w:r w:rsidR="006263A6" w:rsidRPr="005D7A44">
        <w:rPr>
          <w:vertAlign w:val="superscript"/>
        </w:rPr>
        <w:footnoteReference w:id="6"/>
      </w:r>
      <w:r w:rsidR="00E81378" w:rsidRPr="005D7A44">
        <w:t xml:space="preserve"> On an Exxon platform in Equatorial Guinea, </w:t>
      </w:r>
      <w:r w:rsidR="00D248B5" w:rsidRPr="005D7A44">
        <w:t>30 workers tested positive, according to Reuters.</w:t>
      </w:r>
      <w:r w:rsidR="00D248B5" w:rsidRPr="005D7A44">
        <w:rPr>
          <w:vertAlign w:val="superscript"/>
        </w:rPr>
        <w:footnoteReference w:id="7"/>
      </w:r>
      <w:r w:rsidR="007A26DE" w:rsidRPr="005D7A44">
        <w:rPr>
          <w:vertAlign w:val="superscript"/>
        </w:rPr>
        <w:t xml:space="preserve"> </w:t>
      </w:r>
      <w:r w:rsidR="00992A9C" w:rsidRPr="005D7A44">
        <w:t xml:space="preserve">In Brazil, </w:t>
      </w:r>
      <w:r w:rsidR="00FB2D70" w:rsidRPr="005D7A44">
        <w:t xml:space="preserve">there were more than 1,400 </w:t>
      </w:r>
      <w:r w:rsidR="007D6DA9" w:rsidRPr="005D7A44">
        <w:t xml:space="preserve">confirmed coronavirus cases among offshore oil workers as of </w:t>
      </w:r>
      <w:r w:rsidR="00FB2D70" w:rsidRPr="005D7A44">
        <w:t xml:space="preserve">mid-July, </w:t>
      </w:r>
      <w:r w:rsidR="007D6DA9" w:rsidRPr="005D7A44">
        <w:t xml:space="preserve">July 10, </w:t>
      </w:r>
      <w:r w:rsidR="00FB2D70" w:rsidRPr="005D7A44">
        <w:t>and infections had spread to about 3% of workers in the sector.</w:t>
      </w:r>
      <w:r w:rsidR="00FB2D70" w:rsidRPr="005D7A44">
        <w:rPr>
          <w:vertAlign w:val="superscript"/>
        </w:rPr>
        <w:footnoteReference w:id="8"/>
      </w:r>
      <w:r w:rsidR="007D6DA9" w:rsidRPr="005D7A44">
        <w:rPr>
          <w:vertAlign w:val="superscript"/>
        </w:rPr>
        <w:t xml:space="preserve"> </w:t>
      </w:r>
      <w:r w:rsidR="00C97E2F">
        <w:t xml:space="preserve"> </w:t>
      </w:r>
    </w:p>
    <w:p w14:paraId="7953C0CF" w14:textId="77777777" w:rsidR="00722B5F" w:rsidRDefault="00722B5F" w:rsidP="451DBB4B"/>
    <w:p w14:paraId="6B898FC6" w14:textId="15763FA9" w:rsidR="00C97E2F" w:rsidRDefault="00C97E2F" w:rsidP="451DBB4B">
      <w:r>
        <w:t>These outbreaks put wider communities at risk. Outbreaks among oil and gas workers in Alberta’s tar sands region were linked to COVID-19 across five Canadian provinces.</w:t>
      </w:r>
      <w:r w:rsidR="00A31C45">
        <w:rPr>
          <w:rStyle w:val="FootnoteReference"/>
        </w:rPr>
        <w:footnoteReference w:id="9"/>
      </w:r>
      <w:r>
        <w:t xml:space="preserve">  And an early outbreak of COVID-19 at a Total LNG facility in Mozambique has been implicated in introducing the pandemic to that country.</w:t>
      </w:r>
      <w:r w:rsidR="00F56E7B">
        <w:rPr>
          <w:rStyle w:val="FootnoteReference"/>
        </w:rPr>
        <w:footnoteReference w:id="10"/>
      </w:r>
    </w:p>
    <w:p w14:paraId="37B8FCA9" w14:textId="4EC1BD0E" w:rsidR="00C97E2F" w:rsidRDefault="00C97E2F" w:rsidP="451DBB4B"/>
    <w:p w14:paraId="7B7025CD" w14:textId="77777777" w:rsidR="00C357AA" w:rsidRDefault="00C97E2F" w:rsidP="451DBB4B">
      <w:r>
        <w:t xml:space="preserve">Early and continued outbreaks in the industry worldwide are of serious concern </w:t>
      </w:r>
      <w:r w:rsidR="00D20E10">
        <w:t>because industry group</w:t>
      </w:r>
      <w:r w:rsidR="00F56E7B">
        <w:t>s</w:t>
      </w:r>
      <w:r w:rsidR="00D20E10">
        <w:t xml:space="preserve"> have</w:t>
      </w:r>
      <w:r>
        <w:t xml:space="preserve"> actively </w:t>
      </w:r>
      <w:r w:rsidR="00D20E10">
        <w:t>advocated for the designation of oil and gas workers as “Essential Critical Infrastructure Workers”;</w:t>
      </w:r>
      <w:r w:rsidR="00D20E10">
        <w:rPr>
          <w:rStyle w:val="FootnoteReference"/>
        </w:rPr>
        <w:footnoteReference w:id="11"/>
      </w:r>
      <w:r w:rsidR="00D20E10">
        <w:t xml:space="preserve"> and these workers have continued to travel both within and between countries throughout the pandemic. </w:t>
      </w:r>
      <w:r w:rsidR="00D20E10">
        <w:rPr>
          <w:rStyle w:val="FootnoteReference"/>
        </w:rPr>
        <w:footnoteReference w:id="12"/>
      </w:r>
      <w:r w:rsidR="00D20E10">
        <w:t xml:space="preserve"> </w:t>
      </w:r>
      <w:r w:rsidR="00794C73">
        <w:t>In light of these travel patterns, the public needs accurate and timely information on COVID-19 outbreaks not only at onshore and offshore facilities in the United States, but also at offshore facilities worldwide that are owned or operated, in whole or in part, by companies also operating offshore facilities in the territory or Exclusive Economic Zone of the United States.</w:t>
      </w:r>
      <w:r w:rsidR="00722B5F">
        <w:t xml:space="preserve"> </w:t>
      </w:r>
      <w:r w:rsidR="00303204" w:rsidRPr="005D7A44">
        <w:t>Yet</w:t>
      </w:r>
      <w:r w:rsidR="00DA5BD1" w:rsidRPr="005D7A44">
        <w:t xml:space="preserve"> the </w:t>
      </w:r>
      <w:r w:rsidR="00303204" w:rsidRPr="005D7A44">
        <w:t>Trump administration has failed to inform the public about the true exten</w:t>
      </w:r>
      <w:r w:rsidR="007A26DE" w:rsidRPr="005D7A44">
        <w:t>t</w:t>
      </w:r>
      <w:r w:rsidR="00303204" w:rsidRPr="005D7A44">
        <w:t xml:space="preserve"> of the problem</w:t>
      </w:r>
      <w:r>
        <w:t xml:space="preserve"> in the United States</w:t>
      </w:r>
      <w:r w:rsidR="00303204" w:rsidRPr="005D7A44">
        <w:t>.</w:t>
      </w:r>
      <w:r w:rsidR="6E5549B9" w:rsidRPr="005D7A44">
        <w:t xml:space="preserve"> </w:t>
      </w:r>
    </w:p>
    <w:p w14:paraId="45248CB8" w14:textId="77777777" w:rsidR="00C357AA" w:rsidRDefault="00C357AA" w:rsidP="451DBB4B"/>
    <w:p w14:paraId="5C40BAD2" w14:textId="186711DA" w:rsidR="00F55570" w:rsidRPr="005D7A44" w:rsidRDefault="6E5549B9" w:rsidP="451DBB4B">
      <w:r>
        <w:t xml:space="preserve">The Wall Street Journal reported that the Trump administration considered shutting down Gulf of Mexico oil production </w:t>
      </w:r>
      <w:r w:rsidR="00BC0263">
        <w:t xml:space="preserve">this </w:t>
      </w:r>
      <w:r>
        <w:t>spring due to concerns about the pandemic, yet no action was taken.</w:t>
      </w:r>
      <w:r w:rsidR="00303204" w:rsidRPr="451DBB4B">
        <w:rPr>
          <w:vertAlign w:val="superscript"/>
        </w:rPr>
        <w:footnoteReference w:id="13"/>
      </w:r>
      <w:r w:rsidR="00DA5BD1" w:rsidRPr="005D7A44">
        <w:t xml:space="preserve"> </w:t>
      </w:r>
      <w:r w:rsidR="00DA233D" w:rsidRPr="005D7A44">
        <w:t xml:space="preserve">In April, after disclosing that 26 offshore oil workers had tested positive, the U.S. Coast Guard stopped </w:t>
      </w:r>
      <w:r w:rsidR="00EB2701" w:rsidRPr="005D7A44">
        <w:t xml:space="preserve">reporting </w:t>
      </w:r>
      <w:r w:rsidR="00AC2142" w:rsidRPr="005D7A44">
        <w:t xml:space="preserve">on the number of infected workers, telling Argus Media that </w:t>
      </w:r>
      <w:r w:rsidR="007D729A">
        <w:t>COVID-19</w:t>
      </w:r>
      <w:r w:rsidR="007D729A" w:rsidRPr="005D7A44">
        <w:t xml:space="preserve"> </w:t>
      </w:r>
      <w:r w:rsidR="00AC2142" w:rsidRPr="005D7A44">
        <w:t xml:space="preserve">data reporting was </w:t>
      </w:r>
      <w:r w:rsidR="007D729A">
        <w:t xml:space="preserve">the responsibility of the </w:t>
      </w:r>
      <w:r w:rsidR="00AC2142" w:rsidRPr="005D7A44">
        <w:t>U.S. Centers for Disease Control</w:t>
      </w:r>
      <w:r w:rsidR="0061392C" w:rsidRPr="005D7A44">
        <w:t>.</w:t>
      </w:r>
      <w:r w:rsidR="00AC2142" w:rsidRPr="005D7A44">
        <w:rPr>
          <w:vertAlign w:val="superscript"/>
        </w:rPr>
        <w:footnoteReference w:id="14"/>
      </w:r>
      <w:r w:rsidR="0061392C" w:rsidRPr="005D7A44">
        <w:t xml:space="preserve"> An industry official called the failure to report such data “short-sighted,” </w:t>
      </w:r>
      <w:r w:rsidR="00CD65D1" w:rsidRPr="005D7A44">
        <w:t>arguing</w:t>
      </w:r>
      <w:r w:rsidR="00F55570" w:rsidRPr="005D7A44">
        <w:t xml:space="preserve"> that the data would show a lack of widespread infections.</w:t>
      </w:r>
      <w:r w:rsidR="00B168D5">
        <w:t xml:space="preserve"> These risks are compounded by EPA waivers from vital environmental and health standards granted to thousands of companies, including hundreds of oil, gas and petrochemical operators, at the express urging of the oil and gas industries.</w:t>
      </w:r>
      <w:r w:rsidR="00B168D5">
        <w:rPr>
          <w:rStyle w:val="FootnoteReference"/>
        </w:rPr>
        <w:footnoteReference w:id="15"/>
      </w:r>
    </w:p>
    <w:p w14:paraId="7CB0DCEB" w14:textId="0E370742" w:rsidR="00BC0263" w:rsidRDefault="00BC0263" w:rsidP="005D7A44"/>
    <w:p w14:paraId="3D624C4E" w14:textId="5B3172D3" w:rsidR="00F55570" w:rsidRDefault="002E4CFE" w:rsidP="005D7A44">
      <w:r>
        <w:t>Given the well-documented COVID-19 risks faced by oil and gas industry workers and the communities with which they interact, w</w:t>
      </w:r>
      <w:r w:rsidR="00561497">
        <w:t xml:space="preserve">e respectfully </w:t>
      </w:r>
      <w:r w:rsidR="00AC0AF2">
        <w:t>request that</w:t>
      </w:r>
      <w:r w:rsidR="00561497">
        <w:t xml:space="preserve"> </w:t>
      </w:r>
      <w:r w:rsidR="00516167">
        <w:t>the Department of the Interior, U.S. Coast Guard, and U.S. Occupational Health and Safety Department</w:t>
      </w:r>
      <w:r w:rsidR="006357DB">
        <w:t xml:space="preserve"> </w:t>
      </w:r>
      <w:r>
        <w:t>take the following actions</w:t>
      </w:r>
      <w:r w:rsidR="006357DB">
        <w:t>,</w:t>
      </w:r>
      <w:r w:rsidR="00AC0AF2">
        <w:t xml:space="preserve"> in coordination with the Centers for Disease Control</w:t>
      </w:r>
      <w:r w:rsidR="006357DB">
        <w:t xml:space="preserve"> and in compliance with all laws and regulations protecting the privacy of individuals’ health information</w:t>
      </w:r>
      <w:r w:rsidR="00AC0AF2">
        <w:t xml:space="preserve">: </w:t>
      </w:r>
      <w:r w:rsidR="004530D0">
        <w:t xml:space="preserve"> </w:t>
      </w:r>
      <w:r w:rsidR="00516167">
        <w:t xml:space="preserve"> </w:t>
      </w:r>
    </w:p>
    <w:p w14:paraId="735CC743" w14:textId="77777777" w:rsidR="004530D0" w:rsidRDefault="004530D0" w:rsidP="005D7A44"/>
    <w:p w14:paraId="66F574F7" w14:textId="06B582F0" w:rsidR="004530D0" w:rsidRDefault="004530D0" w:rsidP="00722B5F">
      <w:pPr>
        <w:pStyle w:val="ListParagraph"/>
        <w:numPr>
          <w:ilvl w:val="0"/>
          <w:numId w:val="1"/>
        </w:numPr>
      </w:pPr>
      <w:r>
        <w:t>Investigate and publicly report</w:t>
      </w:r>
      <w:r w:rsidR="006357DB">
        <w:t xml:space="preserve">, </w:t>
      </w:r>
      <w:r w:rsidR="002E4CFE">
        <w:t>at least</w:t>
      </w:r>
      <w:r w:rsidR="006357DB">
        <w:t xml:space="preserve"> </w:t>
      </w:r>
      <w:r w:rsidR="0020591D">
        <w:t>monthly</w:t>
      </w:r>
      <w:r w:rsidR="006357DB">
        <w:t>,</w:t>
      </w:r>
      <w:r w:rsidR="00516167" w:rsidRPr="00516167">
        <w:t xml:space="preserve"> on </w:t>
      </w:r>
      <w:r>
        <w:t>COVID</w:t>
      </w:r>
      <w:r w:rsidR="002E4CFE">
        <w:t>-19</w:t>
      </w:r>
      <w:r>
        <w:t xml:space="preserve"> testing and</w:t>
      </w:r>
      <w:r w:rsidR="00516167" w:rsidRPr="00516167">
        <w:t xml:space="preserve"> infection rates</w:t>
      </w:r>
      <w:r>
        <w:t xml:space="preserve"> at offshore and onshore oil and gas facilities</w:t>
      </w:r>
      <w:r w:rsidR="006357DB">
        <w:t xml:space="preserve"> located within the jurisdiction of the United </w:t>
      </w:r>
      <w:r w:rsidR="006357DB">
        <w:lastRenderedPageBreak/>
        <w:t xml:space="preserve">States as well as oil and gas facilities abroad that are owned or operated by companies </w:t>
      </w:r>
      <w:r w:rsidR="002E4CFE">
        <w:t>with</w:t>
      </w:r>
      <w:r w:rsidR="006357DB">
        <w:t xml:space="preserve"> facilities in the jurisdiction of the United States</w:t>
      </w:r>
      <w:r>
        <w:t>;</w:t>
      </w:r>
    </w:p>
    <w:p w14:paraId="556B8EC2" w14:textId="3E2139D4" w:rsidR="00516167" w:rsidRDefault="004530D0" w:rsidP="00722B5F">
      <w:pPr>
        <w:pStyle w:val="ListParagraph"/>
        <w:numPr>
          <w:ilvl w:val="0"/>
          <w:numId w:val="1"/>
        </w:numPr>
      </w:pPr>
      <w:r>
        <w:t xml:space="preserve">Require </w:t>
      </w:r>
      <w:r w:rsidR="006357DB">
        <w:t xml:space="preserve">companies operating </w:t>
      </w:r>
      <w:r>
        <w:t xml:space="preserve">oil and gas </w:t>
      </w:r>
      <w:r w:rsidR="006357DB">
        <w:t>facilities within the jurisdiction of the United States</w:t>
      </w:r>
      <w:r>
        <w:t xml:space="preserve"> to</w:t>
      </w:r>
      <w:r w:rsidR="00FF60E7">
        <w:t xml:space="preserve"> develop and</w:t>
      </w:r>
      <w:r>
        <w:t xml:space="preserve"> publish </w:t>
      </w:r>
      <w:r w:rsidR="006357DB">
        <w:t>COVID-19 response plans</w:t>
      </w:r>
      <w:r w:rsidR="002E4CFE">
        <w:t xml:space="preserve"> for all offshore and onshore sites</w:t>
      </w:r>
      <w:r w:rsidR="006357DB">
        <w:t xml:space="preserve">, detailing </w:t>
      </w:r>
      <w:r w:rsidR="002E4CFE">
        <w:t>precautionary measures</w:t>
      </w:r>
      <w:r w:rsidR="006357DB">
        <w:t xml:space="preserve"> implemented to protect worker </w:t>
      </w:r>
      <w:r w:rsidR="00CD2704">
        <w:t xml:space="preserve">and community </w:t>
      </w:r>
      <w:r w:rsidR="006357DB">
        <w:t xml:space="preserve">safety, </w:t>
      </w:r>
      <w:r w:rsidR="009950CC">
        <w:t xml:space="preserve">mitigate hazards, </w:t>
      </w:r>
      <w:r w:rsidR="006357DB">
        <w:t>minimize workplace exposure to COVID-19</w:t>
      </w:r>
      <w:r w:rsidR="002E4CFE">
        <w:t>,</w:t>
      </w:r>
      <w:r w:rsidR="006357DB">
        <w:t xml:space="preserve"> </w:t>
      </w:r>
      <w:r w:rsidR="002E4CFE">
        <w:t xml:space="preserve">minimize </w:t>
      </w:r>
      <w:r w:rsidR="006357DB">
        <w:t>exposure of surrounding communities</w:t>
      </w:r>
      <w:r w:rsidR="00FF60E7">
        <w:t xml:space="preserve"> to COVID-19 infection by workers</w:t>
      </w:r>
      <w:r w:rsidR="009950CC">
        <w:t xml:space="preserve">, </w:t>
      </w:r>
      <w:r w:rsidR="00FF60E7">
        <w:t>track</w:t>
      </w:r>
      <w:r w:rsidR="009950CC">
        <w:t xml:space="preserve"> </w:t>
      </w:r>
      <w:r w:rsidR="00FF60E7">
        <w:t xml:space="preserve">and report </w:t>
      </w:r>
      <w:r w:rsidR="009950CC">
        <w:t>COVID-19 cases</w:t>
      </w:r>
      <w:r w:rsidR="00FF60E7">
        <w:t xml:space="preserve"> among workers (including regular testing protocols, where appropriate), </w:t>
      </w:r>
      <w:r w:rsidR="009950CC">
        <w:t>specify back-to-work plans</w:t>
      </w:r>
      <w:r w:rsidR="00FF60E7">
        <w:t xml:space="preserve"> for exposed workers or those with confirmed infections, and train workers regarding COVID-19 prevention and response</w:t>
      </w:r>
      <w:r w:rsidR="006357DB">
        <w:t xml:space="preserve">; </w:t>
      </w:r>
    </w:p>
    <w:p w14:paraId="380D52FD" w14:textId="216D05C9" w:rsidR="006357DB" w:rsidRDefault="006357DB" w:rsidP="00722B5F">
      <w:pPr>
        <w:pStyle w:val="ListParagraph"/>
        <w:numPr>
          <w:ilvl w:val="0"/>
          <w:numId w:val="1"/>
        </w:numPr>
      </w:pPr>
      <w:r>
        <w:t xml:space="preserve">Regularly monitor and </w:t>
      </w:r>
      <w:r w:rsidR="002E4CFE">
        <w:t xml:space="preserve">publicly </w:t>
      </w:r>
      <w:r>
        <w:t>report</w:t>
      </w:r>
      <w:r w:rsidR="002E4CFE">
        <w:t xml:space="preserve"> </w:t>
      </w:r>
      <w:r>
        <w:t xml:space="preserve">on </w:t>
      </w:r>
      <w:r w:rsidR="002E4CFE">
        <w:t xml:space="preserve">companies’ implementation of their COVID-19 </w:t>
      </w:r>
      <w:r>
        <w:t>response plans</w:t>
      </w:r>
      <w:r w:rsidR="002E4CFE">
        <w:t>.</w:t>
      </w:r>
    </w:p>
    <w:p w14:paraId="6E83B83F" w14:textId="263C3DB2" w:rsidR="0020591D" w:rsidRDefault="0020591D" w:rsidP="00722B5F">
      <w:pPr>
        <w:pStyle w:val="ListParagraph"/>
        <w:numPr>
          <w:ilvl w:val="0"/>
          <w:numId w:val="1"/>
        </w:numPr>
      </w:pPr>
      <w:r>
        <w:t xml:space="preserve">Clarify and </w:t>
      </w:r>
      <w:r w:rsidR="00F8263B">
        <w:t>tighten OSHA’s Revised Enforcement Guidance for Recording Cases of COVID19</w:t>
      </w:r>
      <w:r w:rsidR="00F8263B">
        <w:rPr>
          <w:rStyle w:val="FootnoteReference"/>
        </w:rPr>
        <w:footnoteReference w:id="16"/>
      </w:r>
      <w:r w:rsidR="00F8263B">
        <w:t xml:space="preserve">  to include a rebuttable presumption that where COVID-19 exposures are documented among two or more workers at any offshore oil or gas platform or industry associated “man camp”, the exposures are “work-related” as defined by 29 CFR 1904.5.</w:t>
      </w:r>
      <w:r w:rsidR="00F8263B">
        <w:rPr>
          <w:rStyle w:val="FootnoteReference"/>
        </w:rPr>
        <w:footnoteReference w:id="17"/>
      </w:r>
    </w:p>
    <w:p w14:paraId="021B5B27" w14:textId="03183E96" w:rsidR="00AF7179" w:rsidRDefault="0020591D" w:rsidP="00722B5F">
      <w:pPr>
        <w:pStyle w:val="ListParagraph"/>
        <w:numPr>
          <w:ilvl w:val="0"/>
          <w:numId w:val="1"/>
        </w:numPr>
      </w:pPr>
      <w:r>
        <w:t xml:space="preserve">Promulgate </w:t>
      </w:r>
      <w:r w:rsidR="00AF7179" w:rsidRPr="00AF7179">
        <w:t xml:space="preserve">an Emergency Temporary Standard </w:t>
      </w:r>
      <w:r>
        <w:t xml:space="preserve">pursuant to Article 6(c) of the Occupational Safety and Health Act </w:t>
      </w:r>
      <w:r w:rsidR="00F8263B">
        <w:t>mandating that all industries, expressly including the oil, gas and petrochemical industries, effectively protect workers and surrounding communities from COVID-19.</w:t>
      </w:r>
    </w:p>
    <w:p w14:paraId="792D7331" w14:textId="756619E3" w:rsidR="005D7A44" w:rsidRDefault="005D7A44" w:rsidP="005D7A44"/>
    <w:p w14:paraId="2AF2E0FA" w14:textId="77777777" w:rsidR="002E4CFE" w:rsidRDefault="002E4CFE" w:rsidP="002E4CFE">
      <w:r>
        <w:t>O</w:t>
      </w:r>
      <w:r w:rsidRPr="005D7A44">
        <w:t xml:space="preserve">il </w:t>
      </w:r>
      <w:r>
        <w:t xml:space="preserve">and gas </w:t>
      </w:r>
      <w:r w:rsidRPr="005D7A44">
        <w:t>industry workers and the public need to know the truth about how widespread COVID-19</w:t>
      </w:r>
      <w:r>
        <w:t xml:space="preserve"> is</w:t>
      </w:r>
      <w:r w:rsidRPr="005D7A44">
        <w:t xml:space="preserve"> in th</w:t>
      </w:r>
      <w:r>
        <w:t>e</w:t>
      </w:r>
      <w:r w:rsidRPr="005D7A44">
        <w:t xml:space="preserve"> industry, and whether the government and industry</w:t>
      </w:r>
      <w:r>
        <w:t xml:space="preserve"> actors</w:t>
      </w:r>
      <w:r w:rsidRPr="005D7A44">
        <w:t xml:space="preserve"> are </w:t>
      </w:r>
      <w:r>
        <w:t xml:space="preserve">taking action to </w:t>
      </w:r>
      <w:r w:rsidRPr="005D7A44">
        <w:t>protect workers</w:t>
      </w:r>
      <w:r>
        <w:t xml:space="preserve"> and the communities with which they interact</w:t>
      </w:r>
      <w:r w:rsidRPr="005D7A44">
        <w:t xml:space="preserve"> from this deadly disease.</w:t>
      </w:r>
      <w:r>
        <w:t xml:space="preserve"> </w:t>
      </w:r>
    </w:p>
    <w:p w14:paraId="68FC1D09" w14:textId="77777777" w:rsidR="002E4CFE" w:rsidRPr="005D7A44" w:rsidRDefault="002E4CFE" w:rsidP="005D7A44"/>
    <w:p w14:paraId="35D576A8" w14:textId="3DF8EF80" w:rsidR="00CD65D1" w:rsidRDefault="00CD65D1" w:rsidP="00F55570">
      <w:pPr>
        <w:spacing w:after="315"/>
        <w:jc w:val="left"/>
      </w:pPr>
      <w:r w:rsidRPr="167FD722">
        <w:t>Sincerely,</w:t>
      </w:r>
    </w:p>
    <w:p w14:paraId="7308E660" w14:textId="77777777" w:rsidR="001F6F70" w:rsidRDefault="001F6F70"/>
    <w:sectPr w:rsidR="001F6F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2CDD3" w14:textId="77777777" w:rsidR="00974C98" w:rsidRDefault="00974C98" w:rsidP="006519B3">
      <w:r>
        <w:separator/>
      </w:r>
    </w:p>
  </w:endnote>
  <w:endnote w:type="continuationSeparator" w:id="0">
    <w:p w14:paraId="0DB68C25" w14:textId="77777777" w:rsidR="00974C98" w:rsidRDefault="00974C98" w:rsidP="006519B3">
      <w:r>
        <w:continuationSeparator/>
      </w:r>
    </w:p>
  </w:endnote>
  <w:endnote w:type="continuationNotice" w:id="1">
    <w:p w14:paraId="246992E6" w14:textId="77777777" w:rsidR="00974C98" w:rsidRDefault="00974C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9A85AD" w14:textId="77777777" w:rsidR="00974C98" w:rsidRDefault="00974C98" w:rsidP="006519B3">
      <w:r>
        <w:separator/>
      </w:r>
    </w:p>
  </w:footnote>
  <w:footnote w:type="continuationSeparator" w:id="0">
    <w:p w14:paraId="79F17CF9" w14:textId="77777777" w:rsidR="00974C98" w:rsidRDefault="00974C98" w:rsidP="006519B3">
      <w:r>
        <w:continuationSeparator/>
      </w:r>
    </w:p>
  </w:footnote>
  <w:footnote w:type="continuationNotice" w:id="1">
    <w:p w14:paraId="00650648" w14:textId="77777777" w:rsidR="00974C98" w:rsidRDefault="00974C98"/>
  </w:footnote>
  <w:footnote w:id="2">
    <w:p w14:paraId="2DD4CD67" w14:textId="5BF6F06B" w:rsidR="006519B3" w:rsidRPr="001A6228" w:rsidRDefault="006519B3" w:rsidP="00303204">
      <w:pPr>
        <w:jc w:val="left"/>
        <w:rPr>
          <w:rFonts w:eastAsia="Times New Roman" w:cstheme="minorHAnsi"/>
          <w:sz w:val="18"/>
          <w:szCs w:val="18"/>
        </w:rPr>
      </w:pPr>
      <w:r w:rsidRPr="001A6228">
        <w:rPr>
          <w:rStyle w:val="FootnoteReference"/>
          <w:rFonts w:cstheme="minorHAnsi"/>
          <w:sz w:val="18"/>
          <w:szCs w:val="18"/>
        </w:rPr>
        <w:footnoteRef/>
      </w:r>
      <w:r w:rsidRPr="001A6228">
        <w:rPr>
          <w:rFonts w:cstheme="minorHAnsi"/>
          <w:sz w:val="18"/>
          <w:szCs w:val="18"/>
        </w:rPr>
        <w:t xml:space="preserve"> </w:t>
      </w:r>
      <w:hyperlink r:id="rId1" w:history="1">
        <w:r w:rsidRPr="001A6228">
          <w:rPr>
            <w:rStyle w:val="Hyperlink"/>
            <w:rFonts w:cstheme="minorHAnsi"/>
            <w:sz w:val="18"/>
            <w:szCs w:val="18"/>
          </w:rPr>
          <w:t>https://www.chron.com/business/energy/article/5-offshore-Shell-workers-airlifted-from-rig-after-15298683.php</w:t>
        </w:r>
      </w:hyperlink>
    </w:p>
  </w:footnote>
  <w:footnote w:id="3">
    <w:p w14:paraId="5B533C8E" w14:textId="1DCF9269" w:rsidR="00196C6D" w:rsidRPr="001A6228" w:rsidRDefault="00196C6D" w:rsidP="00303204">
      <w:pPr>
        <w:rPr>
          <w:rFonts w:cstheme="minorHAnsi"/>
          <w:sz w:val="18"/>
          <w:szCs w:val="18"/>
        </w:rPr>
      </w:pPr>
      <w:r w:rsidRPr="001A6228">
        <w:rPr>
          <w:rStyle w:val="FootnoteReference"/>
          <w:rFonts w:cstheme="minorHAnsi"/>
          <w:sz w:val="18"/>
          <w:szCs w:val="18"/>
        </w:rPr>
        <w:footnoteRef/>
      </w:r>
      <w:hyperlink r:id="rId2" w:history="1">
        <w:r w:rsidR="00EB4328" w:rsidRPr="001A6228">
          <w:rPr>
            <w:rStyle w:val="Hyperlink"/>
            <w:rFonts w:cstheme="minorHAnsi"/>
            <w:sz w:val="18"/>
            <w:szCs w:val="18"/>
          </w:rPr>
          <w:t>https://www.reuters.com/article/us-health-coronavirus-alaska-oil/bp-oil-workers-in-gulf-of-mexico-and-alaska-test-positive-for-coronavirus-idUSKBN21J42M</w:t>
        </w:r>
      </w:hyperlink>
    </w:p>
  </w:footnote>
  <w:footnote w:id="4">
    <w:p w14:paraId="7052EF34" w14:textId="77777777" w:rsidR="00992A9C" w:rsidRPr="001A6228" w:rsidRDefault="00992A9C" w:rsidP="00992A9C">
      <w:pPr>
        <w:jc w:val="left"/>
        <w:rPr>
          <w:rFonts w:cstheme="minorHAnsi"/>
          <w:sz w:val="18"/>
          <w:szCs w:val="18"/>
        </w:rPr>
      </w:pPr>
      <w:r w:rsidRPr="001A6228">
        <w:rPr>
          <w:rStyle w:val="FootnoteReference"/>
          <w:rFonts w:cstheme="minorHAnsi"/>
          <w:sz w:val="18"/>
          <w:szCs w:val="18"/>
        </w:rPr>
        <w:footnoteRef/>
      </w:r>
      <w:r w:rsidRPr="001A6228">
        <w:rPr>
          <w:rFonts w:cstheme="minorHAnsi"/>
          <w:sz w:val="18"/>
          <w:szCs w:val="18"/>
        </w:rPr>
        <w:t xml:space="preserve"> </w:t>
      </w:r>
      <w:hyperlink r:id="rId3" w:history="1">
        <w:r w:rsidRPr="001A6228">
          <w:rPr>
            <w:rStyle w:val="Hyperlink"/>
            <w:rFonts w:cstheme="minorHAnsi"/>
            <w:sz w:val="18"/>
            <w:szCs w:val="18"/>
          </w:rPr>
          <w:t>https://www.nbcnews.com/news/us-news/oil-rig-workers-hit-one-two-coronavirus-plummeting-oil-prices-n1178751</w:t>
        </w:r>
      </w:hyperlink>
    </w:p>
  </w:footnote>
  <w:footnote w:id="5">
    <w:p w14:paraId="24CD0A73" w14:textId="2546967F" w:rsidR="00EB4328" w:rsidRPr="001A6228" w:rsidRDefault="00EB4328" w:rsidP="00303204">
      <w:pPr>
        <w:rPr>
          <w:rFonts w:cstheme="minorHAnsi"/>
          <w:sz w:val="18"/>
          <w:szCs w:val="18"/>
        </w:rPr>
      </w:pPr>
      <w:r w:rsidRPr="001A6228">
        <w:rPr>
          <w:rStyle w:val="FootnoteReference"/>
          <w:rFonts w:cstheme="minorHAnsi"/>
          <w:sz w:val="18"/>
          <w:szCs w:val="18"/>
        </w:rPr>
        <w:footnoteRef/>
      </w:r>
      <w:hyperlink r:id="rId4" w:history="1">
        <w:r w:rsidRPr="001A6228">
          <w:rPr>
            <w:rStyle w:val="Hyperlink"/>
            <w:rFonts w:cstheme="minorHAnsi"/>
            <w:sz w:val="18"/>
            <w:szCs w:val="18"/>
          </w:rPr>
          <w:t>https://www.bloomberg.com/news/articles/2020-07-15/covid-19-is-killing-oil-workers-at-unparalleled-pace-in-mexico</w:t>
        </w:r>
      </w:hyperlink>
    </w:p>
  </w:footnote>
  <w:footnote w:id="6">
    <w:p w14:paraId="017A976C" w14:textId="1B64DD9E" w:rsidR="006263A6" w:rsidRPr="001A6228" w:rsidRDefault="006263A6">
      <w:pPr>
        <w:pStyle w:val="FootnoteText"/>
        <w:rPr>
          <w:rFonts w:cstheme="minorHAnsi"/>
          <w:sz w:val="18"/>
          <w:szCs w:val="18"/>
        </w:rPr>
      </w:pPr>
      <w:r w:rsidRPr="001A6228">
        <w:rPr>
          <w:rStyle w:val="FootnoteReference"/>
          <w:rFonts w:cstheme="minorHAnsi"/>
          <w:sz w:val="18"/>
          <w:szCs w:val="18"/>
        </w:rPr>
        <w:footnoteRef/>
      </w:r>
      <w:hyperlink r:id="rId5" w:history="1">
        <w:r w:rsidR="00303204" w:rsidRPr="001A6228">
          <w:rPr>
            <w:rStyle w:val="Hyperlink"/>
            <w:rFonts w:cstheme="minorHAnsi"/>
            <w:sz w:val="18"/>
            <w:szCs w:val="18"/>
          </w:rPr>
          <w:t>https://www.oedigital.com/news/480678-neptune-energy-halts-drilling-op-in-norway-after-covid-19-cases-on-seadrill-rig</w:t>
        </w:r>
      </w:hyperlink>
    </w:p>
  </w:footnote>
  <w:footnote w:id="7">
    <w:p w14:paraId="784E1ADA" w14:textId="6EE1F9E2" w:rsidR="00D248B5" w:rsidRPr="001A6228" w:rsidRDefault="00D248B5" w:rsidP="00303204">
      <w:pPr>
        <w:jc w:val="left"/>
        <w:rPr>
          <w:rFonts w:cstheme="minorHAnsi"/>
          <w:sz w:val="18"/>
          <w:szCs w:val="18"/>
        </w:rPr>
      </w:pPr>
      <w:r w:rsidRPr="001A6228">
        <w:rPr>
          <w:rStyle w:val="FootnoteReference"/>
          <w:rFonts w:cstheme="minorHAnsi"/>
          <w:sz w:val="18"/>
          <w:szCs w:val="18"/>
        </w:rPr>
        <w:footnoteRef/>
      </w:r>
      <w:r w:rsidRPr="001A6228">
        <w:rPr>
          <w:rFonts w:cstheme="minorHAnsi"/>
          <w:sz w:val="18"/>
          <w:szCs w:val="18"/>
        </w:rPr>
        <w:t xml:space="preserve"> </w:t>
      </w:r>
      <w:hyperlink r:id="rId6" w:history="1">
        <w:r w:rsidRPr="001A6228">
          <w:rPr>
            <w:rStyle w:val="Hyperlink"/>
            <w:rFonts w:cstheme="minorHAnsi"/>
            <w:sz w:val="18"/>
            <w:szCs w:val="18"/>
          </w:rPr>
          <w:t>https://www.reuters.com/article/health-coronavirus-exxon-equatorialguine/thirty-workers-on-equatorial-guinea-offshore-oil-platform-test-positive-for-coronavirus-sources-idUSL5N2CF4QP</w:t>
        </w:r>
      </w:hyperlink>
    </w:p>
  </w:footnote>
  <w:footnote w:id="8">
    <w:p w14:paraId="213D7544" w14:textId="41FB6776" w:rsidR="001A6228" w:rsidRPr="001A6228" w:rsidRDefault="00FB2D70" w:rsidP="008D5300">
      <w:pPr>
        <w:rPr>
          <w:rFonts w:cstheme="minorHAnsi"/>
          <w:sz w:val="18"/>
          <w:szCs w:val="18"/>
        </w:rPr>
      </w:pPr>
      <w:r w:rsidRPr="001A6228">
        <w:rPr>
          <w:rStyle w:val="FootnoteReference"/>
          <w:rFonts w:cstheme="minorHAnsi"/>
          <w:sz w:val="18"/>
          <w:szCs w:val="18"/>
        </w:rPr>
        <w:footnoteRef/>
      </w:r>
      <w:hyperlink r:id="rId7" w:history="1">
        <w:r w:rsidR="001A6228" w:rsidRPr="00251B1C">
          <w:rPr>
            <w:rStyle w:val="Hyperlink"/>
            <w:rFonts w:cstheme="minorHAnsi"/>
            <w:sz w:val="18"/>
            <w:szCs w:val="18"/>
          </w:rPr>
          <w:t>https://www.msn.com/en-ca/finance/topstories/brazils-offshore-oil-workers-chilled-by-coronavirus-outbreaks/ar-BB16FIDG</w:t>
        </w:r>
      </w:hyperlink>
    </w:p>
  </w:footnote>
  <w:footnote w:id="9">
    <w:p w14:paraId="7474EA64" w14:textId="7F5B660A" w:rsidR="00A31C45" w:rsidRPr="00722B5F" w:rsidRDefault="00A31C45" w:rsidP="00722B5F">
      <w:pPr>
        <w:jc w:val="left"/>
        <w:rPr>
          <w:sz w:val="18"/>
          <w:szCs w:val="18"/>
        </w:rPr>
      </w:pPr>
      <w:r>
        <w:rPr>
          <w:rStyle w:val="FootnoteReference"/>
        </w:rPr>
        <w:footnoteRef/>
      </w:r>
      <w:r>
        <w:t xml:space="preserve"> </w:t>
      </w:r>
      <w:hyperlink r:id="rId8" w:history="1">
        <w:r w:rsidRPr="00722B5F">
          <w:rPr>
            <w:rStyle w:val="Hyperlink"/>
            <w:sz w:val="18"/>
            <w:szCs w:val="18"/>
          </w:rPr>
          <w:t>https://theenergymix.com/2020/05/18/tar-sands-oil-sands-man-camp-drives-covid-19-spread-to-five-provinces/</w:t>
        </w:r>
      </w:hyperlink>
    </w:p>
  </w:footnote>
  <w:footnote w:id="10">
    <w:p w14:paraId="773B80CA" w14:textId="52760A4E" w:rsidR="00F56E7B" w:rsidRDefault="00F56E7B" w:rsidP="00722B5F">
      <w:pPr>
        <w:jc w:val="left"/>
      </w:pPr>
      <w:r w:rsidRPr="00722B5F">
        <w:rPr>
          <w:rStyle w:val="FootnoteReference"/>
          <w:sz w:val="18"/>
          <w:szCs w:val="18"/>
        </w:rPr>
        <w:footnoteRef/>
      </w:r>
      <w:r w:rsidR="00A31C45" w:rsidRPr="00722B5F">
        <w:rPr>
          <w:sz w:val="18"/>
          <w:szCs w:val="18"/>
        </w:rPr>
        <w:t xml:space="preserve"> </w:t>
      </w:r>
      <w:hyperlink r:id="rId9" w:history="1">
        <w:r w:rsidR="00A31C45" w:rsidRPr="00722B5F">
          <w:rPr>
            <w:rStyle w:val="Hyperlink"/>
            <w:sz w:val="18"/>
            <w:szCs w:val="18"/>
          </w:rPr>
          <w:t>https://www.bloomberg.com/news/articles/2020-04-14/total-s-lng-project-is-mozambique-s-coronavirus-epicenter</w:t>
        </w:r>
      </w:hyperlink>
      <w:r w:rsidR="00A31C45" w:rsidRPr="00722B5F">
        <w:rPr>
          <w:sz w:val="18"/>
          <w:szCs w:val="18"/>
        </w:rPr>
        <w:t>;</w:t>
      </w:r>
      <w:r w:rsidRPr="00722B5F">
        <w:rPr>
          <w:sz w:val="18"/>
          <w:szCs w:val="18"/>
        </w:rPr>
        <w:t xml:space="preserve"> </w:t>
      </w:r>
      <w:hyperlink r:id="rId10" w:history="1">
        <w:r w:rsidRPr="00722B5F">
          <w:rPr>
            <w:rStyle w:val="Hyperlink"/>
            <w:sz w:val="18"/>
            <w:szCs w:val="18"/>
          </w:rPr>
          <w:t>https://www.reuters.com/article/us-health-coronavirus-total-mozambique/total-working-with-mozambique-to-manage-covid-19-cases-at-lng-site-idUSKBN21Z2CJ</w:t>
        </w:r>
      </w:hyperlink>
    </w:p>
  </w:footnote>
  <w:footnote w:id="11">
    <w:p w14:paraId="39EB7DF4" w14:textId="1A178FEA" w:rsidR="00D20E10" w:rsidRDefault="00D20E10">
      <w:pPr>
        <w:pStyle w:val="FootnoteText"/>
      </w:pPr>
      <w:r>
        <w:rPr>
          <w:rStyle w:val="FootnoteReference"/>
        </w:rPr>
        <w:footnoteRef/>
      </w:r>
      <w:r>
        <w:t xml:space="preserve"> </w:t>
      </w:r>
      <w:hyperlink r:id="rId11" w:history="1">
        <w:r w:rsidRPr="008648FE">
          <w:rPr>
            <w:rStyle w:val="Hyperlink"/>
          </w:rPr>
          <w:t>https://www.iadc.org/wp-content/uploads/2020/03/IADC-PESA-CISA_Letter-Webpage.pdf</w:t>
        </w:r>
      </w:hyperlink>
      <w:r>
        <w:t xml:space="preserve">. </w:t>
      </w:r>
    </w:p>
  </w:footnote>
  <w:footnote w:id="12">
    <w:p w14:paraId="3D82295C" w14:textId="14357F96" w:rsidR="00D20E10" w:rsidRDefault="00D20E10">
      <w:pPr>
        <w:pStyle w:val="FootnoteText"/>
      </w:pPr>
      <w:r>
        <w:rPr>
          <w:rStyle w:val="FootnoteReference"/>
        </w:rPr>
        <w:footnoteRef/>
      </w:r>
      <w:hyperlink r:id="rId12" w:history="1">
        <w:r w:rsidRPr="008648FE">
          <w:rPr>
            <w:rStyle w:val="Hyperlink"/>
          </w:rPr>
          <w:t>https://www.iadc.org/wp-content/uploads/2020/05/Circular-Letter-No.4204-Add.13-Coronavirus-Covid-19-Recommendations-For-Governments-And-Relevant-National-Authorities...-Secretariat.pdf</w:t>
        </w:r>
      </w:hyperlink>
      <w:r>
        <w:t>.</w:t>
      </w:r>
    </w:p>
  </w:footnote>
  <w:footnote w:id="13">
    <w:p w14:paraId="76BE017C" w14:textId="4C1A86F2" w:rsidR="451DBB4B" w:rsidRDefault="451DBB4B" w:rsidP="451DBB4B">
      <w:pPr>
        <w:rPr>
          <w:sz w:val="18"/>
          <w:szCs w:val="18"/>
        </w:rPr>
      </w:pPr>
      <w:r w:rsidRPr="451DBB4B">
        <w:rPr>
          <w:rStyle w:val="FootnoteReference"/>
          <w:sz w:val="18"/>
          <w:szCs w:val="18"/>
        </w:rPr>
        <w:footnoteRef/>
      </w:r>
      <w:r w:rsidRPr="451DBB4B">
        <w:rPr>
          <w:sz w:val="18"/>
          <w:szCs w:val="18"/>
        </w:rPr>
        <w:t xml:space="preserve"> </w:t>
      </w:r>
      <w:hyperlink r:id="rId13">
        <w:r w:rsidRPr="451DBB4B">
          <w:rPr>
            <w:rStyle w:val="Hyperlink"/>
            <w:sz w:val="18"/>
            <w:szCs w:val="18"/>
          </w:rPr>
          <w:t>https://www.wsj.com/articles/trump-administration-discussed-shutting-oil-production-in-gulf-of-mexico-11585923887</w:t>
        </w:r>
      </w:hyperlink>
    </w:p>
  </w:footnote>
  <w:footnote w:id="14">
    <w:p w14:paraId="53B9F34A" w14:textId="77777777" w:rsidR="00AC2142" w:rsidRPr="001A6228" w:rsidRDefault="00AC2142" w:rsidP="00AC2142">
      <w:pPr>
        <w:rPr>
          <w:rFonts w:cstheme="minorHAnsi"/>
          <w:sz w:val="18"/>
          <w:szCs w:val="18"/>
        </w:rPr>
      </w:pPr>
      <w:r w:rsidRPr="001A6228">
        <w:rPr>
          <w:rStyle w:val="FootnoteReference"/>
          <w:rFonts w:cstheme="minorHAnsi"/>
          <w:sz w:val="18"/>
          <w:szCs w:val="18"/>
        </w:rPr>
        <w:footnoteRef/>
      </w:r>
      <w:r w:rsidRPr="001A6228">
        <w:rPr>
          <w:rFonts w:cstheme="minorHAnsi"/>
          <w:sz w:val="18"/>
          <w:szCs w:val="18"/>
        </w:rPr>
        <w:t xml:space="preserve"> </w:t>
      </w:r>
      <w:hyperlink r:id="rId14" w:history="1">
        <w:r w:rsidRPr="001A6228">
          <w:rPr>
            <w:rStyle w:val="Hyperlink"/>
            <w:rFonts w:cstheme="minorHAnsi"/>
            <w:sz w:val="18"/>
            <w:szCs w:val="18"/>
          </w:rPr>
          <w:t>https://www.argusmedia.com/en/news/2098396-us-stops-reporting-on-covid19-on-offshore-rigs</w:t>
        </w:r>
      </w:hyperlink>
    </w:p>
    <w:p w14:paraId="46199827" w14:textId="1FB75253" w:rsidR="00AC2142" w:rsidRPr="001A6228" w:rsidRDefault="00AC2142">
      <w:pPr>
        <w:pStyle w:val="FootnoteText"/>
        <w:rPr>
          <w:rFonts w:cstheme="minorHAnsi"/>
          <w:sz w:val="18"/>
          <w:szCs w:val="18"/>
        </w:rPr>
      </w:pPr>
    </w:p>
  </w:footnote>
  <w:footnote w:id="15">
    <w:p w14:paraId="57D5AB52" w14:textId="35BBA90E" w:rsidR="00B168D5" w:rsidRDefault="00B168D5">
      <w:pPr>
        <w:pStyle w:val="FootnoteText"/>
      </w:pPr>
      <w:r>
        <w:rPr>
          <w:rStyle w:val="FootnoteReference"/>
        </w:rPr>
        <w:footnoteRef/>
      </w:r>
      <w:r>
        <w:t xml:space="preserve"> </w:t>
      </w:r>
      <w:r w:rsidRPr="00B168D5">
        <w:t>https://apnews.com/3bf753f9036e7d88f4746b1a36c1ddc4</w:t>
      </w:r>
    </w:p>
  </w:footnote>
  <w:footnote w:id="16">
    <w:p w14:paraId="45E3DF9B" w14:textId="434D29EC" w:rsidR="00F8263B" w:rsidRDefault="00F8263B">
      <w:pPr>
        <w:pStyle w:val="FootnoteText"/>
      </w:pPr>
      <w:r>
        <w:rPr>
          <w:rStyle w:val="FootnoteReference"/>
        </w:rPr>
        <w:footnoteRef/>
      </w:r>
      <w:r>
        <w:t xml:space="preserve"> </w:t>
      </w:r>
      <w:r w:rsidRPr="00F8263B">
        <w:t>https://www.osha.gov/memos/2020-05-19/revised-enforcement-guidance-recording-cases-coronavirus-disease-2019-covid-19</w:t>
      </w:r>
    </w:p>
  </w:footnote>
  <w:footnote w:id="17">
    <w:p w14:paraId="7017A1DD" w14:textId="1A269A76" w:rsidR="00F8263B" w:rsidRDefault="00F8263B">
      <w:pPr>
        <w:pStyle w:val="FootnoteText"/>
      </w:pPr>
      <w:r>
        <w:rPr>
          <w:rStyle w:val="FootnoteReference"/>
        </w:rPr>
        <w:footnoteRef/>
      </w:r>
      <w:r>
        <w:t xml:space="preserve"> </w:t>
      </w:r>
      <w:r w:rsidRPr="00F8263B">
        <w:t>https://www.osha.gov/laws-regs/regulations/standardnumber/1904/1904.5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860EC"/>
    <w:multiLevelType w:val="hybridMultilevel"/>
    <w:tmpl w:val="2C16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6BD"/>
    <w:rsid w:val="00080696"/>
    <w:rsid w:val="0008453F"/>
    <w:rsid w:val="00095396"/>
    <w:rsid w:val="000F0E8D"/>
    <w:rsid w:val="000F1A1E"/>
    <w:rsid w:val="0014468B"/>
    <w:rsid w:val="001446BD"/>
    <w:rsid w:val="00166510"/>
    <w:rsid w:val="0017044F"/>
    <w:rsid w:val="00196C6D"/>
    <w:rsid w:val="001A6228"/>
    <w:rsid w:val="001B18EA"/>
    <w:rsid w:val="001B59F2"/>
    <w:rsid w:val="001F6F70"/>
    <w:rsid w:val="0020591D"/>
    <w:rsid w:val="00222364"/>
    <w:rsid w:val="002374E0"/>
    <w:rsid w:val="002505BF"/>
    <w:rsid w:val="00255F1F"/>
    <w:rsid w:val="00296F62"/>
    <w:rsid w:val="002D1979"/>
    <w:rsid w:val="002E4CFE"/>
    <w:rsid w:val="00303204"/>
    <w:rsid w:val="003078FD"/>
    <w:rsid w:val="00317CF8"/>
    <w:rsid w:val="003555D6"/>
    <w:rsid w:val="003B6051"/>
    <w:rsid w:val="003C42F0"/>
    <w:rsid w:val="003E20CB"/>
    <w:rsid w:val="003E36F3"/>
    <w:rsid w:val="0040204B"/>
    <w:rsid w:val="004530D0"/>
    <w:rsid w:val="0046117D"/>
    <w:rsid w:val="00467116"/>
    <w:rsid w:val="004E0A1B"/>
    <w:rsid w:val="004F500F"/>
    <w:rsid w:val="00516167"/>
    <w:rsid w:val="0052231D"/>
    <w:rsid w:val="005570B9"/>
    <w:rsid w:val="00561497"/>
    <w:rsid w:val="00591B94"/>
    <w:rsid w:val="005A7CE4"/>
    <w:rsid w:val="005B00E9"/>
    <w:rsid w:val="005D7A44"/>
    <w:rsid w:val="0061392C"/>
    <w:rsid w:val="00622F27"/>
    <w:rsid w:val="006263A6"/>
    <w:rsid w:val="006357DB"/>
    <w:rsid w:val="006519B3"/>
    <w:rsid w:val="00652EE0"/>
    <w:rsid w:val="006549AA"/>
    <w:rsid w:val="006637F2"/>
    <w:rsid w:val="006653C9"/>
    <w:rsid w:val="00673C15"/>
    <w:rsid w:val="006B5CA5"/>
    <w:rsid w:val="00715CD0"/>
    <w:rsid w:val="00722B5F"/>
    <w:rsid w:val="00794C73"/>
    <w:rsid w:val="007A26DE"/>
    <w:rsid w:val="007A590C"/>
    <w:rsid w:val="007D6DA9"/>
    <w:rsid w:val="007D729A"/>
    <w:rsid w:val="0087128C"/>
    <w:rsid w:val="008A0D6A"/>
    <w:rsid w:val="008A52AC"/>
    <w:rsid w:val="008D5300"/>
    <w:rsid w:val="008E3555"/>
    <w:rsid w:val="00937A71"/>
    <w:rsid w:val="00974C98"/>
    <w:rsid w:val="00992A9C"/>
    <w:rsid w:val="009950CC"/>
    <w:rsid w:val="009A3481"/>
    <w:rsid w:val="009E5A48"/>
    <w:rsid w:val="009E73B7"/>
    <w:rsid w:val="009E7F06"/>
    <w:rsid w:val="00A31C45"/>
    <w:rsid w:val="00A50F29"/>
    <w:rsid w:val="00A57243"/>
    <w:rsid w:val="00AB3286"/>
    <w:rsid w:val="00AC0AF2"/>
    <w:rsid w:val="00AC2142"/>
    <w:rsid w:val="00AF7179"/>
    <w:rsid w:val="00B168D5"/>
    <w:rsid w:val="00B410E8"/>
    <w:rsid w:val="00B44B5B"/>
    <w:rsid w:val="00B47CB1"/>
    <w:rsid w:val="00BC0263"/>
    <w:rsid w:val="00BF2FDB"/>
    <w:rsid w:val="00C153DA"/>
    <w:rsid w:val="00C20825"/>
    <w:rsid w:val="00C357AA"/>
    <w:rsid w:val="00C57308"/>
    <w:rsid w:val="00C61997"/>
    <w:rsid w:val="00C938E6"/>
    <w:rsid w:val="00C95631"/>
    <w:rsid w:val="00C97E2F"/>
    <w:rsid w:val="00CB2965"/>
    <w:rsid w:val="00CD2704"/>
    <w:rsid w:val="00CD65D1"/>
    <w:rsid w:val="00D01ABA"/>
    <w:rsid w:val="00D06685"/>
    <w:rsid w:val="00D20E10"/>
    <w:rsid w:val="00D241BD"/>
    <w:rsid w:val="00D248B5"/>
    <w:rsid w:val="00DA233D"/>
    <w:rsid w:val="00DA5BD1"/>
    <w:rsid w:val="00DB5D3A"/>
    <w:rsid w:val="00E54B18"/>
    <w:rsid w:val="00E663B2"/>
    <w:rsid w:val="00E81378"/>
    <w:rsid w:val="00E92873"/>
    <w:rsid w:val="00E94EBC"/>
    <w:rsid w:val="00EB2701"/>
    <w:rsid w:val="00EB4328"/>
    <w:rsid w:val="00F03DE3"/>
    <w:rsid w:val="00F049A3"/>
    <w:rsid w:val="00F33473"/>
    <w:rsid w:val="00F55570"/>
    <w:rsid w:val="00F56E7B"/>
    <w:rsid w:val="00F74A51"/>
    <w:rsid w:val="00F8263B"/>
    <w:rsid w:val="00F838BC"/>
    <w:rsid w:val="00FA1818"/>
    <w:rsid w:val="00FA4E8F"/>
    <w:rsid w:val="00FB0401"/>
    <w:rsid w:val="00FB2D70"/>
    <w:rsid w:val="00FF4858"/>
    <w:rsid w:val="00FF60E7"/>
    <w:rsid w:val="09BA16D5"/>
    <w:rsid w:val="167FD722"/>
    <w:rsid w:val="1DF6AEFC"/>
    <w:rsid w:val="272393C2"/>
    <w:rsid w:val="288C95C3"/>
    <w:rsid w:val="2CA01EA0"/>
    <w:rsid w:val="2F8CD155"/>
    <w:rsid w:val="3494CF3B"/>
    <w:rsid w:val="393416CB"/>
    <w:rsid w:val="3AA6EFF5"/>
    <w:rsid w:val="3CEEA2AD"/>
    <w:rsid w:val="451DBB4B"/>
    <w:rsid w:val="457A2E34"/>
    <w:rsid w:val="491C4618"/>
    <w:rsid w:val="4F8EC971"/>
    <w:rsid w:val="56EF59D0"/>
    <w:rsid w:val="5DDD3642"/>
    <w:rsid w:val="5E7762D8"/>
    <w:rsid w:val="5E951DC1"/>
    <w:rsid w:val="65C0AEA5"/>
    <w:rsid w:val="67433A3A"/>
    <w:rsid w:val="6E5549B9"/>
    <w:rsid w:val="7B36E556"/>
    <w:rsid w:val="7D5E23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81ECE"/>
  <w15:chartTrackingRefBased/>
  <w15:docId w15:val="{92AE6E0A-48FF-484D-AE5F-77023047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C Normal"/>
    <w:qFormat/>
    <w:rsid w:val="00DA233D"/>
    <w:pPr>
      <w:spacing w:after="0" w:line="240" w:lineRule="auto"/>
      <w:jc w:val="both"/>
    </w:pPr>
    <w:rPr>
      <w:sz w:val="24"/>
      <w:szCs w:val="24"/>
    </w:rPr>
  </w:style>
  <w:style w:type="paragraph" w:styleId="Heading4">
    <w:name w:val="heading 4"/>
    <w:basedOn w:val="Normal"/>
    <w:next w:val="Normal"/>
    <w:link w:val="Heading4Char"/>
    <w:uiPriority w:val="9"/>
    <w:semiHidden/>
    <w:unhideWhenUsed/>
    <w:qFormat/>
    <w:rsid w:val="00E54B1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link w:val="Heading6Char"/>
    <w:uiPriority w:val="9"/>
    <w:qFormat/>
    <w:rsid w:val="001446BD"/>
    <w:pPr>
      <w:spacing w:before="100" w:beforeAutospacing="1" w:after="100" w:afterAutospacing="1"/>
      <w:jc w:val="left"/>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46BD"/>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1446BD"/>
    <w:pPr>
      <w:spacing w:before="100" w:beforeAutospacing="1" w:after="100" w:afterAutospacing="1"/>
      <w:jc w:val="left"/>
    </w:pPr>
    <w:rPr>
      <w:rFonts w:ascii="Times New Roman" w:eastAsia="Times New Roman" w:hAnsi="Times New Roman" w:cs="Times New Roman"/>
    </w:rPr>
  </w:style>
  <w:style w:type="paragraph" w:customStyle="1" w:styleId="lead">
    <w:name w:val="lead"/>
    <w:basedOn w:val="Normal"/>
    <w:rsid w:val="001446BD"/>
    <w:pPr>
      <w:spacing w:before="100" w:beforeAutospacing="1" w:after="100" w:afterAutospacing="1"/>
      <w:jc w:val="left"/>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446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BD"/>
    <w:rPr>
      <w:rFonts w:ascii="Segoe UI" w:hAnsi="Segoe UI" w:cs="Segoe UI"/>
      <w:sz w:val="18"/>
      <w:szCs w:val="18"/>
    </w:rPr>
  </w:style>
  <w:style w:type="character" w:styleId="Hyperlink">
    <w:name w:val="Hyperlink"/>
    <w:basedOn w:val="DefaultParagraphFont"/>
    <w:uiPriority w:val="99"/>
    <w:unhideWhenUsed/>
    <w:rsid w:val="00B44B5B"/>
    <w:rPr>
      <w:color w:val="0000FF"/>
      <w:u w:val="single"/>
    </w:rPr>
  </w:style>
  <w:style w:type="character" w:customStyle="1" w:styleId="UnresolvedMention1">
    <w:name w:val="Unresolved Mention1"/>
    <w:basedOn w:val="DefaultParagraphFont"/>
    <w:uiPriority w:val="99"/>
    <w:semiHidden/>
    <w:unhideWhenUsed/>
    <w:rsid w:val="00B44B5B"/>
    <w:rPr>
      <w:color w:val="605E5C"/>
      <w:shd w:val="clear" w:color="auto" w:fill="E1DFDD"/>
    </w:rPr>
  </w:style>
  <w:style w:type="character" w:styleId="FollowedHyperlink">
    <w:name w:val="FollowedHyperlink"/>
    <w:basedOn w:val="DefaultParagraphFont"/>
    <w:uiPriority w:val="99"/>
    <w:semiHidden/>
    <w:unhideWhenUsed/>
    <w:rsid w:val="003E36F3"/>
    <w:rPr>
      <w:color w:val="954F72" w:themeColor="followedHyperlink"/>
      <w:u w:val="single"/>
    </w:rPr>
  </w:style>
  <w:style w:type="paragraph" w:styleId="FootnoteText">
    <w:name w:val="footnote text"/>
    <w:basedOn w:val="Normal"/>
    <w:link w:val="FootnoteTextChar"/>
    <w:uiPriority w:val="99"/>
    <w:semiHidden/>
    <w:unhideWhenUsed/>
    <w:rsid w:val="006519B3"/>
    <w:rPr>
      <w:sz w:val="20"/>
      <w:szCs w:val="20"/>
    </w:rPr>
  </w:style>
  <w:style w:type="character" w:customStyle="1" w:styleId="FootnoteTextChar">
    <w:name w:val="Footnote Text Char"/>
    <w:basedOn w:val="DefaultParagraphFont"/>
    <w:link w:val="FootnoteText"/>
    <w:uiPriority w:val="99"/>
    <w:semiHidden/>
    <w:rsid w:val="006519B3"/>
    <w:rPr>
      <w:sz w:val="20"/>
      <w:szCs w:val="20"/>
    </w:rPr>
  </w:style>
  <w:style w:type="character" w:styleId="FootnoteReference">
    <w:name w:val="footnote reference"/>
    <w:basedOn w:val="DefaultParagraphFont"/>
    <w:uiPriority w:val="99"/>
    <w:semiHidden/>
    <w:unhideWhenUsed/>
    <w:rsid w:val="006519B3"/>
    <w:rPr>
      <w:vertAlign w:val="superscript"/>
    </w:rPr>
  </w:style>
  <w:style w:type="paragraph" w:customStyle="1" w:styleId="sltitle">
    <w:name w:val="sltitle"/>
    <w:basedOn w:val="Normal"/>
    <w:rsid w:val="0040204B"/>
    <w:pPr>
      <w:spacing w:before="100" w:beforeAutospacing="1" w:after="100" w:afterAutospacing="1"/>
      <w:jc w:val="left"/>
    </w:pPr>
    <w:rPr>
      <w:rFonts w:ascii="Times New Roman" w:eastAsia="Times New Roman" w:hAnsi="Times New Roman" w:cs="Times New Roman"/>
    </w:rPr>
  </w:style>
  <w:style w:type="character" w:styleId="Strong">
    <w:name w:val="Strong"/>
    <w:basedOn w:val="DefaultParagraphFont"/>
    <w:uiPriority w:val="22"/>
    <w:qFormat/>
    <w:rsid w:val="0040204B"/>
    <w:rPr>
      <w:b/>
      <w:bCs/>
    </w:rPr>
  </w:style>
  <w:style w:type="paragraph" w:customStyle="1" w:styleId="slname">
    <w:name w:val="slname"/>
    <w:basedOn w:val="Normal"/>
    <w:rsid w:val="0040204B"/>
    <w:pPr>
      <w:spacing w:before="100" w:beforeAutospacing="1" w:after="100" w:afterAutospacing="1"/>
      <w:jc w:val="left"/>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E54B18"/>
    <w:rPr>
      <w:rFonts w:asciiTheme="majorHAnsi" w:eastAsiaTheme="majorEastAsia" w:hAnsiTheme="majorHAnsi" w:cstheme="majorBidi"/>
      <w:i/>
      <w:iCs/>
      <w:color w:val="2F5496" w:themeColor="accent1" w:themeShade="BF"/>
      <w:sz w:val="24"/>
      <w:szCs w:val="24"/>
    </w:rPr>
  </w:style>
  <w:style w:type="paragraph" w:customStyle="1" w:styleId="endmarkenabled">
    <w:name w:val="endmarkenabled"/>
    <w:basedOn w:val="Normal"/>
    <w:rsid w:val="00E92873"/>
    <w:pPr>
      <w:spacing w:before="100" w:beforeAutospacing="1" w:after="100" w:afterAutospacing="1"/>
      <w:jc w:val="left"/>
    </w:pPr>
    <w:rPr>
      <w:rFonts w:ascii="Times New Roman" w:eastAsia="Times New Roman" w:hAnsi="Times New Roman" w:cs="Times New Roman"/>
    </w:rPr>
  </w:style>
  <w:style w:type="paragraph" w:styleId="Header">
    <w:name w:val="header"/>
    <w:basedOn w:val="Normal"/>
    <w:link w:val="HeaderChar"/>
    <w:uiPriority w:val="99"/>
    <w:semiHidden/>
    <w:unhideWhenUsed/>
    <w:rsid w:val="008A52AC"/>
    <w:pPr>
      <w:tabs>
        <w:tab w:val="center" w:pos="4680"/>
        <w:tab w:val="right" w:pos="9360"/>
      </w:tabs>
    </w:pPr>
  </w:style>
  <w:style w:type="character" w:customStyle="1" w:styleId="HeaderChar">
    <w:name w:val="Header Char"/>
    <w:basedOn w:val="DefaultParagraphFont"/>
    <w:link w:val="Header"/>
    <w:uiPriority w:val="99"/>
    <w:semiHidden/>
    <w:rsid w:val="008A52AC"/>
    <w:rPr>
      <w:sz w:val="24"/>
      <w:szCs w:val="24"/>
    </w:rPr>
  </w:style>
  <w:style w:type="paragraph" w:styleId="Footer">
    <w:name w:val="footer"/>
    <w:basedOn w:val="Normal"/>
    <w:link w:val="FooterChar"/>
    <w:uiPriority w:val="99"/>
    <w:semiHidden/>
    <w:unhideWhenUsed/>
    <w:rsid w:val="008A52AC"/>
    <w:pPr>
      <w:tabs>
        <w:tab w:val="center" w:pos="4680"/>
        <w:tab w:val="right" w:pos="9360"/>
      </w:tabs>
    </w:pPr>
  </w:style>
  <w:style w:type="character" w:customStyle="1" w:styleId="FooterChar">
    <w:name w:val="Footer Char"/>
    <w:basedOn w:val="DefaultParagraphFont"/>
    <w:link w:val="Footer"/>
    <w:uiPriority w:val="99"/>
    <w:semiHidden/>
    <w:rsid w:val="008A52AC"/>
    <w:rPr>
      <w:sz w:val="24"/>
      <w:szCs w:val="24"/>
    </w:rPr>
  </w:style>
  <w:style w:type="character" w:styleId="CommentReference">
    <w:name w:val="annotation reference"/>
    <w:basedOn w:val="DefaultParagraphFont"/>
    <w:uiPriority w:val="99"/>
    <w:semiHidden/>
    <w:unhideWhenUsed/>
    <w:rsid w:val="007D729A"/>
    <w:rPr>
      <w:sz w:val="16"/>
      <w:szCs w:val="16"/>
    </w:rPr>
  </w:style>
  <w:style w:type="paragraph" w:styleId="CommentText">
    <w:name w:val="annotation text"/>
    <w:basedOn w:val="Normal"/>
    <w:link w:val="CommentTextChar"/>
    <w:uiPriority w:val="99"/>
    <w:semiHidden/>
    <w:unhideWhenUsed/>
    <w:rsid w:val="007D729A"/>
    <w:rPr>
      <w:sz w:val="20"/>
      <w:szCs w:val="20"/>
    </w:rPr>
  </w:style>
  <w:style w:type="character" w:customStyle="1" w:styleId="CommentTextChar">
    <w:name w:val="Comment Text Char"/>
    <w:basedOn w:val="DefaultParagraphFont"/>
    <w:link w:val="CommentText"/>
    <w:uiPriority w:val="99"/>
    <w:semiHidden/>
    <w:rsid w:val="007D729A"/>
    <w:rPr>
      <w:sz w:val="20"/>
      <w:szCs w:val="20"/>
    </w:rPr>
  </w:style>
  <w:style w:type="paragraph" w:styleId="CommentSubject">
    <w:name w:val="annotation subject"/>
    <w:basedOn w:val="CommentText"/>
    <w:next w:val="CommentText"/>
    <w:link w:val="CommentSubjectChar"/>
    <w:uiPriority w:val="99"/>
    <w:semiHidden/>
    <w:unhideWhenUsed/>
    <w:rsid w:val="007D729A"/>
    <w:rPr>
      <w:b/>
      <w:bCs/>
    </w:rPr>
  </w:style>
  <w:style w:type="character" w:customStyle="1" w:styleId="CommentSubjectChar">
    <w:name w:val="Comment Subject Char"/>
    <w:basedOn w:val="CommentTextChar"/>
    <w:link w:val="CommentSubject"/>
    <w:uiPriority w:val="99"/>
    <w:semiHidden/>
    <w:rsid w:val="007D729A"/>
    <w:rPr>
      <w:b/>
      <w:bCs/>
      <w:sz w:val="20"/>
      <w:szCs w:val="20"/>
    </w:rPr>
  </w:style>
  <w:style w:type="paragraph" w:styleId="ListParagraph">
    <w:name w:val="List Paragraph"/>
    <w:basedOn w:val="Normal"/>
    <w:uiPriority w:val="34"/>
    <w:qFormat/>
    <w:rsid w:val="002E4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901904">
      <w:bodyDiv w:val="1"/>
      <w:marLeft w:val="0"/>
      <w:marRight w:val="0"/>
      <w:marTop w:val="0"/>
      <w:marBottom w:val="0"/>
      <w:divBdr>
        <w:top w:val="none" w:sz="0" w:space="0" w:color="auto"/>
        <w:left w:val="none" w:sz="0" w:space="0" w:color="auto"/>
        <w:bottom w:val="none" w:sz="0" w:space="0" w:color="auto"/>
        <w:right w:val="none" w:sz="0" w:space="0" w:color="auto"/>
      </w:divBdr>
    </w:div>
    <w:div w:id="482546857">
      <w:bodyDiv w:val="1"/>
      <w:marLeft w:val="0"/>
      <w:marRight w:val="0"/>
      <w:marTop w:val="0"/>
      <w:marBottom w:val="0"/>
      <w:divBdr>
        <w:top w:val="none" w:sz="0" w:space="0" w:color="auto"/>
        <w:left w:val="none" w:sz="0" w:space="0" w:color="auto"/>
        <w:bottom w:val="none" w:sz="0" w:space="0" w:color="auto"/>
        <w:right w:val="none" w:sz="0" w:space="0" w:color="auto"/>
      </w:divBdr>
    </w:div>
    <w:div w:id="770706560">
      <w:bodyDiv w:val="1"/>
      <w:marLeft w:val="0"/>
      <w:marRight w:val="0"/>
      <w:marTop w:val="0"/>
      <w:marBottom w:val="0"/>
      <w:divBdr>
        <w:top w:val="none" w:sz="0" w:space="0" w:color="auto"/>
        <w:left w:val="none" w:sz="0" w:space="0" w:color="auto"/>
        <w:bottom w:val="none" w:sz="0" w:space="0" w:color="auto"/>
        <w:right w:val="none" w:sz="0" w:space="0" w:color="auto"/>
      </w:divBdr>
    </w:div>
    <w:div w:id="831289789">
      <w:bodyDiv w:val="1"/>
      <w:marLeft w:val="0"/>
      <w:marRight w:val="0"/>
      <w:marTop w:val="0"/>
      <w:marBottom w:val="0"/>
      <w:divBdr>
        <w:top w:val="none" w:sz="0" w:space="0" w:color="auto"/>
        <w:left w:val="none" w:sz="0" w:space="0" w:color="auto"/>
        <w:bottom w:val="none" w:sz="0" w:space="0" w:color="auto"/>
        <w:right w:val="none" w:sz="0" w:space="0" w:color="auto"/>
      </w:divBdr>
    </w:div>
    <w:div w:id="942688594">
      <w:bodyDiv w:val="1"/>
      <w:marLeft w:val="0"/>
      <w:marRight w:val="0"/>
      <w:marTop w:val="0"/>
      <w:marBottom w:val="0"/>
      <w:divBdr>
        <w:top w:val="none" w:sz="0" w:space="0" w:color="auto"/>
        <w:left w:val="none" w:sz="0" w:space="0" w:color="auto"/>
        <w:bottom w:val="none" w:sz="0" w:space="0" w:color="auto"/>
        <w:right w:val="none" w:sz="0" w:space="0" w:color="auto"/>
      </w:divBdr>
    </w:div>
    <w:div w:id="1020818829">
      <w:bodyDiv w:val="1"/>
      <w:marLeft w:val="0"/>
      <w:marRight w:val="0"/>
      <w:marTop w:val="0"/>
      <w:marBottom w:val="0"/>
      <w:divBdr>
        <w:top w:val="none" w:sz="0" w:space="0" w:color="auto"/>
        <w:left w:val="none" w:sz="0" w:space="0" w:color="auto"/>
        <w:bottom w:val="none" w:sz="0" w:space="0" w:color="auto"/>
        <w:right w:val="none" w:sz="0" w:space="0" w:color="auto"/>
      </w:divBdr>
    </w:div>
    <w:div w:id="1032224280">
      <w:bodyDiv w:val="1"/>
      <w:marLeft w:val="0"/>
      <w:marRight w:val="0"/>
      <w:marTop w:val="0"/>
      <w:marBottom w:val="0"/>
      <w:divBdr>
        <w:top w:val="none" w:sz="0" w:space="0" w:color="auto"/>
        <w:left w:val="none" w:sz="0" w:space="0" w:color="auto"/>
        <w:bottom w:val="none" w:sz="0" w:space="0" w:color="auto"/>
        <w:right w:val="none" w:sz="0" w:space="0" w:color="auto"/>
      </w:divBdr>
    </w:div>
    <w:div w:id="1501896476">
      <w:bodyDiv w:val="1"/>
      <w:marLeft w:val="0"/>
      <w:marRight w:val="0"/>
      <w:marTop w:val="0"/>
      <w:marBottom w:val="0"/>
      <w:divBdr>
        <w:top w:val="none" w:sz="0" w:space="0" w:color="auto"/>
        <w:left w:val="none" w:sz="0" w:space="0" w:color="auto"/>
        <w:bottom w:val="none" w:sz="0" w:space="0" w:color="auto"/>
        <w:right w:val="none" w:sz="0" w:space="0" w:color="auto"/>
      </w:divBdr>
    </w:div>
    <w:div w:id="1542815352">
      <w:bodyDiv w:val="1"/>
      <w:marLeft w:val="0"/>
      <w:marRight w:val="0"/>
      <w:marTop w:val="0"/>
      <w:marBottom w:val="0"/>
      <w:divBdr>
        <w:top w:val="none" w:sz="0" w:space="0" w:color="auto"/>
        <w:left w:val="none" w:sz="0" w:space="0" w:color="auto"/>
        <w:bottom w:val="none" w:sz="0" w:space="0" w:color="auto"/>
        <w:right w:val="none" w:sz="0" w:space="0" w:color="auto"/>
      </w:divBdr>
      <w:divsChild>
        <w:div w:id="1668702774">
          <w:marLeft w:val="0"/>
          <w:marRight w:val="0"/>
          <w:marTop w:val="270"/>
          <w:marBottom w:val="360"/>
          <w:divBdr>
            <w:top w:val="none" w:sz="0" w:space="0" w:color="auto"/>
            <w:left w:val="none" w:sz="0" w:space="0" w:color="auto"/>
            <w:bottom w:val="none" w:sz="0" w:space="0" w:color="auto"/>
            <w:right w:val="none" w:sz="0" w:space="0" w:color="auto"/>
          </w:divBdr>
          <w:divsChild>
            <w:div w:id="205680036">
              <w:marLeft w:val="0"/>
              <w:marRight w:val="0"/>
              <w:marTop w:val="0"/>
              <w:marBottom w:val="0"/>
              <w:divBdr>
                <w:top w:val="none" w:sz="0" w:space="0" w:color="auto"/>
                <w:left w:val="none" w:sz="0" w:space="0" w:color="auto"/>
                <w:bottom w:val="none" w:sz="0" w:space="0" w:color="auto"/>
                <w:right w:val="none" w:sz="0" w:space="0" w:color="auto"/>
              </w:divBdr>
            </w:div>
          </w:divsChild>
        </w:div>
        <w:div w:id="1759137681">
          <w:marLeft w:val="0"/>
          <w:marRight w:val="0"/>
          <w:marTop w:val="0"/>
          <w:marBottom w:val="0"/>
          <w:divBdr>
            <w:top w:val="none" w:sz="0" w:space="0" w:color="auto"/>
            <w:left w:val="none" w:sz="0" w:space="0" w:color="auto"/>
            <w:bottom w:val="none" w:sz="0" w:space="0" w:color="auto"/>
            <w:right w:val="none" w:sz="0" w:space="0" w:color="auto"/>
          </w:divBdr>
        </w:div>
      </w:divsChild>
    </w:div>
    <w:div w:id="1965849960">
      <w:bodyDiv w:val="1"/>
      <w:marLeft w:val="0"/>
      <w:marRight w:val="0"/>
      <w:marTop w:val="0"/>
      <w:marBottom w:val="0"/>
      <w:divBdr>
        <w:top w:val="none" w:sz="0" w:space="0" w:color="auto"/>
        <w:left w:val="none" w:sz="0" w:space="0" w:color="auto"/>
        <w:bottom w:val="none" w:sz="0" w:space="0" w:color="auto"/>
        <w:right w:val="none" w:sz="0" w:space="0" w:color="auto"/>
      </w:divBdr>
    </w:div>
    <w:div w:id="1966423445">
      <w:bodyDiv w:val="1"/>
      <w:marLeft w:val="0"/>
      <w:marRight w:val="0"/>
      <w:marTop w:val="0"/>
      <w:marBottom w:val="0"/>
      <w:divBdr>
        <w:top w:val="none" w:sz="0" w:space="0" w:color="auto"/>
        <w:left w:val="none" w:sz="0" w:space="0" w:color="auto"/>
        <w:bottom w:val="none" w:sz="0" w:space="0" w:color="auto"/>
        <w:right w:val="none" w:sz="0" w:space="0" w:color="auto"/>
      </w:divBdr>
    </w:div>
    <w:div w:id="2055276707">
      <w:bodyDiv w:val="1"/>
      <w:marLeft w:val="0"/>
      <w:marRight w:val="0"/>
      <w:marTop w:val="0"/>
      <w:marBottom w:val="0"/>
      <w:divBdr>
        <w:top w:val="none" w:sz="0" w:space="0" w:color="auto"/>
        <w:left w:val="none" w:sz="0" w:space="0" w:color="auto"/>
        <w:bottom w:val="none" w:sz="0" w:space="0" w:color="auto"/>
        <w:right w:val="none" w:sz="0" w:space="0" w:color="auto"/>
      </w:divBdr>
    </w:div>
    <w:div w:id="2072187861">
      <w:bodyDiv w:val="1"/>
      <w:marLeft w:val="0"/>
      <w:marRight w:val="0"/>
      <w:marTop w:val="0"/>
      <w:marBottom w:val="0"/>
      <w:divBdr>
        <w:top w:val="none" w:sz="0" w:space="0" w:color="auto"/>
        <w:left w:val="none" w:sz="0" w:space="0" w:color="auto"/>
        <w:bottom w:val="none" w:sz="0" w:space="0" w:color="auto"/>
        <w:right w:val="none" w:sz="0" w:space="0" w:color="auto"/>
      </w:divBdr>
    </w:div>
    <w:div w:id="211505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theenergymix.com/2020/05/18/tar-sands-oil-sands-man-camp-drives-covid-19-spread-to-five-provinces/" TargetMode="External"/><Relationship Id="rId13" Type="http://schemas.openxmlformats.org/officeDocument/2006/relationships/hyperlink" Target="https://www.wsj.com/articles/trump-administration-discussed-shutting-oil-production-in-gulf-of-mexico-11585923887" TargetMode="External"/><Relationship Id="rId3" Type="http://schemas.openxmlformats.org/officeDocument/2006/relationships/hyperlink" Target="https://www.nbcnews.com/news/us-news/oil-rig-workers-hit-one-two-coronavirus-plummeting-oil-prices-n1178751" TargetMode="External"/><Relationship Id="rId7" Type="http://schemas.openxmlformats.org/officeDocument/2006/relationships/hyperlink" Target="https://www.msn.com/en-ca/finance/topstories/brazils-offshore-oil-workers-chilled-by-coronavirus-outbreaks/ar-BB16FIDG" TargetMode="External"/><Relationship Id="rId12" Type="http://schemas.openxmlformats.org/officeDocument/2006/relationships/hyperlink" Target="https://www.iadc.org/wp-content/uploads/2020/05/Circular-Letter-No.4204-Add.13-Coronavirus-Covid-19-Recommendations-For-Governments-And-Relevant-National-Authorities...-Secretariat.pdf" TargetMode="External"/><Relationship Id="rId2" Type="http://schemas.openxmlformats.org/officeDocument/2006/relationships/hyperlink" Target="https://www.reuters.com/article/us-health-coronavirus-alaska-oil/bp-oil-workers-in-gulf-of-mexico-and-alaska-test-positive-for-coronavirus-idUSKBN21J42M" TargetMode="External"/><Relationship Id="rId1" Type="http://schemas.openxmlformats.org/officeDocument/2006/relationships/hyperlink" Target="https://www.chron.com/business/energy/article/5-offshore-Shell-workers-airlifted-from-rig-after-15298683.php" TargetMode="External"/><Relationship Id="rId6" Type="http://schemas.openxmlformats.org/officeDocument/2006/relationships/hyperlink" Target="https://www.reuters.com/article/health-coronavirus-exxon-equatorialguine/thirty-workers-on-equatorial-guinea-offshore-oil-platform-test-positive-for-coronavirus-sources-idUSL5N2CF4QP" TargetMode="External"/><Relationship Id="rId11" Type="http://schemas.openxmlformats.org/officeDocument/2006/relationships/hyperlink" Target="https://www.iadc.org/wp-content/uploads/2020/03/IADC-PESA-CISA_Letter-Webpage.pdf" TargetMode="External"/><Relationship Id="rId5" Type="http://schemas.openxmlformats.org/officeDocument/2006/relationships/hyperlink" Target="https://www.oedigital.com/news/480678-neptune-energy-halts-drilling-op-in-norway-after-covid-19-cases-on-seadrill-rig" TargetMode="External"/><Relationship Id="rId10" Type="http://schemas.openxmlformats.org/officeDocument/2006/relationships/hyperlink" Target="https://www.reuters.com/article/us-health-coronavirus-total-mozambique/total-working-with-mozambique-to-manage-covid-19-cases-at-lng-site-idUSKBN21Z2CJ" TargetMode="External"/><Relationship Id="rId4" Type="http://schemas.openxmlformats.org/officeDocument/2006/relationships/hyperlink" Target="https://www.bloomberg.com/news/articles/2020-07-15/covid-19-is-killing-oil-workers-at-unparalleled-pace-in-mexico" TargetMode="External"/><Relationship Id="rId9" Type="http://schemas.openxmlformats.org/officeDocument/2006/relationships/hyperlink" Target="https://www.bloomberg.com/news/articles/2020-04-14/total-s-lng-project-is-mozambique-s-coronavirus-epicenter" TargetMode="External"/><Relationship Id="rId14" Type="http://schemas.openxmlformats.org/officeDocument/2006/relationships/hyperlink" Target="https://www.argusmedia.com/en/news/2098396-us-stops-reporting-on-covid19-on-offshore-ri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35E0192104AC428C4C3F484A234E1E" ma:contentTypeVersion="13" ma:contentTypeDescription="Create a new document." ma:contentTypeScope="" ma:versionID="535417569b0c598998ad86d4ceea1412">
  <xsd:schema xmlns:xsd="http://www.w3.org/2001/XMLSchema" xmlns:xs="http://www.w3.org/2001/XMLSchema" xmlns:p="http://schemas.microsoft.com/office/2006/metadata/properties" xmlns:ns3="1bfb0974-c6eb-4e1a-b0f7-ebe298b6cbcf" xmlns:ns4="00aa6a1f-4fd1-4258-ac03-c252745597bf" targetNamespace="http://schemas.microsoft.com/office/2006/metadata/properties" ma:root="true" ma:fieldsID="a22043ef1d21f1c59bd0eb5c26358aa9" ns3:_="" ns4:_="">
    <xsd:import namespace="1bfb0974-c6eb-4e1a-b0f7-ebe298b6cbcf"/>
    <xsd:import namespace="00aa6a1f-4fd1-4258-ac03-c25274559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b0974-c6eb-4e1a-b0f7-ebe298b6c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a6a1f-4fd1-4258-ac03-c25274559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9B4D5B-8AEC-4093-B708-C47613D33743}">
  <ds:schemaRefs>
    <ds:schemaRef ds:uri="http://schemas.openxmlformats.org/officeDocument/2006/bibliography"/>
  </ds:schemaRefs>
</ds:datastoreItem>
</file>

<file path=customXml/itemProps2.xml><?xml version="1.0" encoding="utf-8"?>
<ds:datastoreItem xmlns:ds="http://schemas.openxmlformats.org/officeDocument/2006/customXml" ds:itemID="{31C2BF22-34EB-4AC5-AE5E-E6279707E7F5}">
  <ds:schemaRefs>
    <ds:schemaRef ds:uri="http://schemas.microsoft.com/sharepoint/v3/contenttype/forms"/>
  </ds:schemaRefs>
</ds:datastoreItem>
</file>

<file path=customXml/itemProps3.xml><?xml version="1.0" encoding="utf-8"?>
<ds:datastoreItem xmlns:ds="http://schemas.openxmlformats.org/officeDocument/2006/customXml" ds:itemID="{2F03D552-D51B-4B18-9574-DFD3D9A78C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A01F2C-1071-4FCA-96BE-6018F68B3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b0974-c6eb-4e1a-b0f7-ebe298b6cbcf"/>
    <ds:schemaRef ds:uri="00aa6a1f-4fd1-4258-ac03-c25274559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Zibel</dc:creator>
  <cp:keywords/>
  <dc:description/>
  <cp:lastModifiedBy>Ross, Lukas</cp:lastModifiedBy>
  <cp:revision>2</cp:revision>
  <dcterms:created xsi:type="dcterms:W3CDTF">2020-08-26T13:49:00Z</dcterms:created>
  <dcterms:modified xsi:type="dcterms:W3CDTF">2020-08-26T13:49:00Z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0x010100BE35E0192104AC428C4C3F484A234E1E</vt:lpwstr>
  </property>
</Properties>
</file>