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B10EF" w14:textId="2C4B7ED0" w:rsidR="00E45D32" w:rsidRPr="006A4DE4" w:rsidRDefault="00E45D32" w:rsidP="00D10230">
      <w:pPr>
        <w:spacing w:before="240" w:after="240" w:line="240" w:lineRule="auto"/>
        <w:ind w:left="43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December 23, 2020</w:t>
      </w:r>
    </w:p>
    <w:p w14:paraId="5965871A" w14:textId="77777777" w:rsidR="00E45D32" w:rsidRPr="006A4DE4" w:rsidRDefault="00E45D32" w:rsidP="002C1365">
      <w:pPr>
        <w:spacing w:after="0" w:line="240" w:lineRule="auto"/>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shd w:val="clear" w:color="auto" w:fill="FFFFFF"/>
        </w:rPr>
        <w:t>Secretary Elaine Chao</w:t>
      </w:r>
    </w:p>
    <w:p w14:paraId="26FCC80A" w14:textId="77777777" w:rsidR="00E45D32" w:rsidRPr="006A4DE4" w:rsidRDefault="00E45D32" w:rsidP="002C1365">
      <w:pPr>
        <w:spacing w:after="0" w:line="240" w:lineRule="auto"/>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U.S. Department of Transportation</w:t>
      </w:r>
    </w:p>
    <w:p w14:paraId="4A92E812" w14:textId="77777777" w:rsidR="00E45D32" w:rsidRPr="006A4DE4" w:rsidRDefault="00E45D32" w:rsidP="002C1365">
      <w:pPr>
        <w:spacing w:after="0" w:line="240" w:lineRule="auto"/>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Docket Management Facility,</w:t>
      </w:r>
    </w:p>
    <w:p w14:paraId="00DDDC79" w14:textId="77777777" w:rsidR="00E45D32" w:rsidRPr="006A4DE4" w:rsidRDefault="00E45D32" w:rsidP="002C1365">
      <w:pPr>
        <w:spacing w:after="0" w:line="240" w:lineRule="auto"/>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1200 New Jersey Ave. SE, West Building,</w:t>
      </w:r>
    </w:p>
    <w:p w14:paraId="5A5FD0F1" w14:textId="77777777" w:rsidR="00E45D32" w:rsidRPr="006A4DE4" w:rsidRDefault="00E45D32" w:rsidP="002C1365">
      <w:pPr>
        <w:spacing w:after="0" w:line="240" w:lineRule="auto"/>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Ground Floor, Room W12–140,</w:t>
      </w:r>
    </w:p>
    <w:p w14:paraId="24930ADC" w14:textId="2F73F4D4" w:rsidR="00E45D32" w:rsidRPr="006A4DE4" w:rsidRDefault="00E45D32" w:rsidP="002C1365">
      <w:pPr>
        <w:spacing w:after="0" w:line="240" w:lineRule="auto"/>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Washington, DC 20590–0001</w:t>
      </w:r>
    </w:p>
    <w:p w14:paraId="0E843645" w14:textId="77777777" w:rsidR="002C1365" w:rsidRPr="006A4DE4" w:rsidRDefault="002C1365" w:rsidP="002C1365">
      <w:pPr>
        <w:spacing w:after="0" w:line="240" w:lineRule="auto"/>
        <w:rPr>
          <w:rFonts w:ascii="Times New Roman" w:eastAsia="Times New Roman" w:hAnsi="Times New Roman" w:cs="Times New Roman"/>
          <w:color w:val="000000" w:themeColor="text1"/>
          <w:sz w:val="24"/>
          <w:szCs w:val="24"/>
        </w:rPr>
      </w:pPr>
    </w:p>
    <w:p w14:paraId="381460F4" w14:textId="77777777" w:rsidR="00E45D32" w:rsidRPr="006A4DE4" w:rsidRDefault="00E45D32" w:rsidP="00E45D32">
      <w:pPr>
        <w:spacing w:before="240" w:after="240" w:line="240" w:lineRule="auto"/>
        <w:ind w:left="144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Re:  </w:t>
      </w:r>
      <w:r w:rsidRPr="006A4DE4">
        <w:rPr>
          <w:rFonts w:ascii="Times New Roman" w:eastAsia="Times New Roman" w:hAnsi="Times New Roman" w:cs="Times New Roman"/>
          <w:color w:val="000000" w:themeColor="text1"/>
          <w:sz w:val="24"/>
          <w:szCs w:val="24"/>
        </w:rPr>
        <w:tab/>
        <w:t>Docket No. DOT–OST–2020–0229</w:t>
      </w:r>
    </w:p>
    <w:p w14:paraId="05CD956D" w14:textId="2769FFD1" w:rsidR="00E45D32" w:rsidRPr="006A4DE4" w:rsidRDefault="00E45D32" w:rsidP="002C1365">
      <w:pPr>
        <w:spacing w:before="240" w:after="240" w:line="240" w:lineRule="auto"/>
        <w:ind w:left="144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Notice of Proposed Rulemaking re Procedures for considering Environmental Impacts under the National Environmental Policy Act </w:t>
      </w:r>
    </w:p>
    <w:p w14:paraId="45C727C7" w14:textId="53E3DA87" w:rsidR="00E45D32" w:rsidRPr="006A4DE4" w:rsidRDefault="00E45D32" w:rsidP="00E45D32">
      <w:pPr>
        <w:spacing w:before="240" w:after="240" w:line="240" w:lineRule="auto"/>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Dear Secretary Chao:</w:t>
      </w:r>
    </w:p>
    <w:p w14:paraId="712222CD" w14:textId="29ABD51F" w:rsidR="00D10230" w:rsidRPr="006A4DE4" w:rsidRDefault="00E45D32" w:rsidP="00D10230">
      <w:pPr>
        <w:spacing w:before="240" w:after="240" w:line="240" w:lineRule="auto"/>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This letter provides comments of the Natural Resources Defense Council</w:t>
      </w:r>
      <w:r w:rsidR="008475C9" w:rsidRPr="006A4DE4">
        <w:rPr>
          <w:rFonts w:ascii="Times New Roman" w:eastAsia="Times New Roman" w:hAnsi="Times New Roman" w:cs="Times New Roman"/>
          <w:color w:val="000000" w:themeColor="text1"/>
          <w:sz w:val="24"/>
          <w:szCs w:val="24"/>
        </w:rPr>
        <w:t xml:space="preserve">, Earthjustice, and </w:t>
      </w:r>
      <w:r w:rsidR="008475C9" w:rsidRPr="006A4DE4">
        <w:rPr>
          <w:rFonts w:ascii="Times New Roman" w:eastAsia="Times New Roman" w:hAnsi="Times New Roman" w:cs="Times New Roman"/>
          <w:color w:val="000000" w:themeColor="text1"/>
          <w:sz w:val="24"/>
          <w:szCs w:val="24"/>
          <w:highlight w:val="yellow"/>
        </w:rPr>
        <w:t>_____</w:t>
      </w:r>
      <w:r w:rsidRPr="006A4DE4">
        <w:rPr>
          <w:rFonts w:ascii="Times New Roman" w:eastAsia="Times New Roman" w:hAnsi="Times New Roman" w:cs="Times New Roman"/>
          <w:color w:val="000000" w:themeColor="text1"/>
          <w:sz w:val="24"/>
          <w:szCs w:val="24"/>
        </w:rPr>
        <w:t xml:space="preserve"> on the Department of Transportation’s (DOT) Notice of Proposed Rulemaking Regarding Procedures for Considering Environmental Impacts under the National Environmental Policy Act</w:t>
      </w:r>
      <w:r w:rsidR="00FA603B" w:rsidRPr="006A4DE4">
        <w:rPr>
          <w:rFonts w:ascii="Times New Roman" w:eastAsia="Times New Roman" w:hAnsi="Times New Roman" w:cs="Times New Roman"/>
          <w:color w:val="000000" w:themeColor="text1"/>
          <w:sz w:val="24"/>
          <w:szCs w:val="24"/>
        </w:rPr>
        <w:t xml:space="preserve"> (</w:t>
      </w:r>
      <w:r w:rsidR="000B3650" w:rsidRPr="006A4DE4">
        <w:rPr>
          <w:rFonts w:ascii="Times New Roman" w:eastAsia="Times New Roman" w:hAnsi="Times New Roman" w:cs="Times New Roman"/>
          <w:color w:val="000000" w:themeColor="text1"/>
          <w:sz w:val="24"/>
          <w:szCs w:val="24"/>
        </w:rPr>
        <w:t>Proposed Rule</w:t>
      </w:r>
      <w:r w:rsidR="00FA603B" w:rsidRPr="006A4DE4">
        <w:rPr>
          <w:rFonts w:ascii="Times New Roman" w:eastAsia="Times New Roman" w:hAnsi="Times New Roman" w:cs="Times New Roman"/>
          <w:color w:val="000000" w:themeColor="text1"/>
          <w:sz w:val="24"/>
          <w:szCs w:val="24"/>
        </w:rPr>
        <w:t>)</w:t>
      </w:r>
      <w:r w:rsidRPr="006A4DE4">
        <w:rPr>
          <w:rFonts w:ascii="Times New Roman" w:eastAsia="Times New Roman" w:hAnsi="Times New Roman" w:cs="Times New Roman"/>
          <w:color w:val="000000" w:themeColor="text1"/>
          <w:sz w:val="24"/>
          <w:szCs w:val="24"/>
        </w:rPr>
        <w:t xml:space="preserve">. </w:t>
      </w:r>
      <w:r w:rsidRPr="006A4DE4">
        <w:rPr>
          <w:rFonts w:ascii="Times New Roman" w:eastAsia="Times New Roman" w:hAnsi="Times New Roman" w:cs="Times New Roman"/>
          <w:i/>
          <w:iCs/>
          <w:color w:val="000000" w:themeColor="text1"/>
          <w:sz w:val="24"/>
          <w:szCs w:val="24"/>
        </w:rPr>
        <w:t xml:space="preserve">See </w:t>
      </w:r>
      <w:r w:rsidRPr="006A4DE4">
        <w:rPr>
          <w:rFonts w:ascii="Times New Roman" w:eastAsia="Times New Roman" w:hAnsi="Times New Roman" w:cs="Times New Roman"/>
          <w:color w:val="000000" w:themeColor="text1"/>
          <w:sz w:val="24"/>
          <w:szCs w:val="24"/>
        </w:rPr>
        <w:t>85 Fed. Reg. 74640 (Nov. 23, 2020).</w:t>
      </w:r>
      <w:r w:rsidR="00EE716A" w:rsidRPr="006A4DE4">
        <w:rPr>
          <w:rFonts w:ascii="Times New Roman" w:eastAsia="Times New Roman" w:hAnsi="Times New Roman" w:cs="Times New Roman"/>
          <w:color w:val="000000" w:themeColor="text1"/>
          <w:sz w:val="24"/>
          <w:szCs w:val="24"/>
        </w:rPr>
        <w:t xml:space="preserve"> Because the</w:t>
      </w:r>
      <w:r w:rsidR="000B3650" w:rsidRPr="006A4DE4">
        <w:rPr>
          <w:rFonts w:ascii="Times New Roman" w:eastAsia="Times New Roman" w:hAnsi="Times New Roman" w:cs="Times New Roman"/>
          <w:color w:val="000000" w:themeColor="text1"/>
          <w:sz w:val="24"/>
          <w:szCs w:val="24"/>
        </w:rPr>
        <w:t xml:space="preserve"> Proposed Rule implements the Council on Environmental Quality’s (CEQ) recently promulgated NEPA regulations, we attached and incorporate comments submitted by several of the undersigned </w:t>
      </w:r>
      <w:r w:rsidR="001F1E73" w:rsidRPr="006A4DE4">
        <w:rPr>
          <w:rFonts w:ascii="Times New Roman" w:eastAsia="Times New Roman" w:hAnsi="Times New Roman" w:cs="Times New Roman"/>
          <w:color w:val="000000" w:themeColor="text1"/>
          <w:sz w:val="24"/>
          <w:szCs w:val="24"/>
        </w:rPr>
        <w:t>organizations</w:t>
      </w:r>
      <w:r w:rsidR="000B3650" w:rsidRPr="006A4DE4">
        <w:rPr>
          <w:rFonts w:ascii="Times New Roman" w:eastAsia="Times New Roman" w:hAnsi="Times New Roman" w:cs="Times New Roman"/>
          <w:color w:val="000000" w:themeColor="text1"/>
          <w:sz w:val="24"/>
          <w:szCs w:val="24"/>
        </w:rPr>
        <w:t xml:space="preserve"> to these comments on the Proposed Rule.</w:t>
      </w:r>
      <w:r w:rsidR="001F1E73" w:rsidRPr="006A4DE4">
        <w:rPr>
          <w:rFonts w:ascii="Times New Roman" w:eastAsia="Times New Roman" w:hAnsi="Times New Roman" w:cs="Times New Roman"/>
          <w:color w:val="000000" w:themeColor="text1"/>
          <w:sz w:val="24"/>
          <w:szCs w:val="24"/>
        </w:rPr>
        <w:t xml:space="preserve"> </w:t>
      </w:r>
      <w:r w:rsidR="001F1E73" w:rsidRPr="006A4DE4">
        <w:rPr>
          <w:rFonts w:ascii="Times New Roman" w:eastAsia="Times New Roman" w:hAnsi="Times New Roman" w:cs="Times New Roman"/>
          <w:color w:val="000000" w:themeColor="text1"/>
          <w:sz w:val="24"/>
          <w:szCs w:val="24"/>
          <w:highlight w:val="cyan"/>
        </w:rPr>
        <w:t xml:space="preserve">Ex. </w:t>
      </w:r>
      <w:r w:rsidR="00EF3480" w:rsidRPr="006A4DE4">
        <w:rPr>
          <w:rFonts w:ascii="Times New Roman" w:eastAsia="Times New Roman" w:hAnsi="Times New Roman" w:cs="Times New Roman"/>
          <w:color w:val="000000" w:themeColor="text1"/>
          <w:sz w:val="24"/>
          <w:szCs w:val="24"/>
          <w:highlight w:val="cyan"/>
        </w:rPr>
        <w:t>A</w:t>
      </w:r>
      <w:r w:rsidR="00EF3480" w:rsidRPr="006A4DE4">
        <w:rPr>
          <w:rFonts w:ascii="Times New Roman" w:eastAsia="Times New Roman" w:hAnsi="Times New Roman" w:cs="Times New Roman"/>
          <w:color w:val="000000" w:themeColor="text1"/>
          <w:sz w:val="24"/>
          <w:szCs w:val="24"/>
        </w:rPr>
        <w:t>, NRDC Comments on CEQ Regulations.</w:t>
      </w:r>
      <w:r w:rsidR="001F1E73" w:rsidRPr="006A4DE4">
        <w:rPr>
          <w:rFonts w:ascii="Times New Roman" w:eastAsia="Times New Roman" w:hAnsi="Times New Roman" w:cs="Times New Roman"/>
          <w:color w:val="000000" w:themeColor="text1"/>
          <w:sz w:val="24"/>
          <w:szCs w:val="24"/>
        </w:rPr>
        <w:t xml:space="preserve"> For the reasons discussed below</w:t>
      </w:r>
      <w:r w:rsidR="000B3650" w:rsidRPr="006A4DE4">
        <w:rPr>
          <w:rFonts w:ascii="Times New Roman" w:eastAsia="Times New Roman" w:hAnsi="Times New Roman" w:cs="Times New Roman"/>
          <w:color w:val="000000" w:themeColor="text1"/>
          <w:sz w:val="24"/>
          <w:szCs w:val="24"/>
        </w:rPr>
        <w:t xml:space="preserve">, the Proposed Rule and the CEQ’s regulations are arbitrary and capricious and undermine the core purposes of </w:t>
      </w:r>
      <w:r w:rsidR="001F1E73" w:rsidRPr="006A4DE4">
        <w:rPr>
          <w:rFonts w:ascii="Times New Roman" w:eastAsia="Times New Roman" w:hAnsi="Times New Roman" w:cs="Times New Roman"/>
          <w:color w:val="000000" w:themeColor="text1"/>
          <w:sz w:val="24"/>
          <w:szCs w:val="24"/>
        </w:rPr>
        <w:t xml:space="preserve">the </w:t>
      </w:r>
      <w:r w:rsidR="00EF3480" w:rsidRPr="006A4DE4">
        <w:rPr>
          <w:rFonts w:ascii="Times New Roman" w:eastAsia="Times New Roman" w:hAnsi="Times New Roman" w:cs="Times New Roman"/>
          <w:color w:val="000000" w:themeColor="text1"/>
          <w:sz w:val="24"/>
          <w:szCs w:val="24"/>
        </w:rPr>
        <w:t>National</w:t>
      </w:r>
      <w:r w:rsidR="001F1E73" w:rsidRPr="006A4DE4">
        <w:rPr>
          <w:rFonts w:ascii="Times New Roman" w:eastAsia="Times New Roman" w:hAnsi="Times New Roman" w:cs="Times New Roman"/>
          <w:color w:val="000000" w:themeColor="text1"/>
          <w:sz w:val="24"/>
          <w:szCs w:val="24"/>
        </w:rPr>
        <w:t xml:space="preserve"> Environmental Policy Act</w:t>
      </w:r>
      <w:r w:rsidR="00EF3480" w:rsidRPr="006A4DE4">
        <w:rPr>
          <w:rFonts w:ascii="Times New Roman" w:eastAsia="Times New Roman" w:hAnsi="Times New Roman" w:cs="Times New Roman"/>
          <w:color w:val="000000" w:themeColor="text1"/>
          <w:sz w:val="24"/>
          <w:szCs w:val="24"/>
        </w:rPr>
        <w:t xml:space="preserve"> (NEPA)</w:t>
      </w:r>
      <w:r w:rsidR="000B3650" w:rsidRPr="006A4DE4">
        <w:rPr>
          <w:rFonts w:ascii="Times New Roman" w:eastAsia="Times New Roman" w:hAnsi="Times New Roman" w:cs="Times New Roman"/>
          <w:color w:val="000000" w:themeColor="text1"/>
          <w:sz w:val="24"/>
          <w:szCs w:val="24"/>
        </w:rPr>
        <w:t>.</w:t>
      </w:r>
    </w:p>
    <w:p w14:paraId="7CB1FE0A" w14:textId="0A850068" w:rsidR="00FA603B" w:rsidRPr="006A4DE4" w:rsidRDefault="00E45D32" w:rsidP="00AA409D">
      <w:pPr>
        <w:pStyle w:val="Heading1"/>
        <w:numPr>
          <w:ilvl w:val="0"/>
          <w:numId w:val="14"/>
        </w:numPr>
        <w:spacing w:before="120" w:after="120" w:line="240" w:lineRule="auto"/>
        <w:ind w:hanging="720"/>
        <w:rPr>
          <w:rFonts w:ascii="Times New Roman" w:eastAsia="Times New Roman" w:hAnsi="Times New Roman" w:cs="Times New Roman"/>
          <w:b/>
          <w:bCs/>
          <w:color w:val="000000" w:themeColor="text1"/>
          <w:sz w:val="24"/>
          <w:szCs w:val="24"/>
        </w:rPr>
      </w:pPr>
      <w:r w:rsidRPr="006A4DE4">
        <w:rPr>
          <w:rFonts w:ascii="Times New Roman" w:eastAsia="Times New Roman" w:hAnsi="Times New Roman" w:cs="Times New Roman"/>
          <w:b/>
          <w:bCs/>
          <w:color w:val="000000" w:themeColor="text1"/>
          <w:sz w:val="24"/>
          <w:szCs w:val="24"/>
        </w:rPr>
        <w:t xml:space="preserve">NEPA’s </w:t>
      </w:r>
      <w:r w:rsidR="00B540F1" w:rsidRPr="006A4DE4">
        <w:rPr>
          <w:rFonts w:ascii="Times New Roman" w:eastAsia="Times New Roman" w:hAnsi="Times New Roman" w:cs="Times New Roman"/>
          <w:b/>
          <w:bCs/>
          <w:color w:val="000000" w:themeColor="text1"/>
          <w:sz w:val="24"/>
          <w:szCs w:val="24"/>
        </w:rPr>
        <w:t>mandate and purpose</w:t>
      </w:r>
    </w:p>
    <w:p w14:paraId="2F8F4E6B" w14:textId="434141CB" w:rsidR="00AA409D" w:rsidRPr="006A4DE4" w:rsidRDefault="00AA409D" w:rsidP="00AA409D">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Enacted in response to mounting crises across the nation,</w:t>
      </w:r>
      <w:r w:rsidRPr="006A4DE4">
        <w:rPr>
          <w:rFonts w:ascii="Times New Roman" w:hAnsi="Times New Roman" w:cs="Times New Roman"/>
          <w:color w:val="000000" w:themeColor="text1"/>
          <w:sz w:val="24"/>
          <w:szCs w:val="24"/>
          <w:vertAlign w:val="superscript"/>
        </w:rPr>
        <w:footnoteReference w:id="1"/>
      </w:r>
      <w:r w:rsidRPr="006A4DE4">
        <w:rPr>
          <w:rFonts w:ascii="Times New Roman" w:hAnsi="Times New Roman" w:cs="Times New Roman"/>
          <w:color w:val="000000" w:themeColor="text1"/>
          <w:sz w:val="24"/>
          <w:szCs w:val="24"/>
        </w:rPr>
        <w:t xml:space="preserve"> NEPA promised to correct the blind eye that American policymakers had long turned to environmental impacts of federal agency actions.</w:t>
      </w:r>
      <w:r w:rsidRPr="006A4DE4">
        <w:rPr>
          <w:rFonts w:ascii="Times New Roman" w:hAnsi="Times New Roman" w:cs="Times New Roman"/>
          <w:color w:val="000000" w:themeColor="text1"/>
          <w:sz w:val="24"/>
          <w:szCs w:val="24"/>
          <w:vertAlign w:val="superscript"/>
        </w:rPr>
        <w:footnoteReference w:id="2"/>
      </w:r>
      <w:r w:rsidRPr="006A4DE4">
        <w:rPr>
          <w:rFonts w:ascii="Times New Roman" w:hAnsi="Times New Roman" w:cs="Times New Roman"/>
          <w:color w:val="000000" w:themeColor="text1"/>
          <w:sz w:val="24"/>
          <w:szCs w:val="24"/>
        </w:rPr>
        <w:t xml:space="preserve"> Congress recognized that “[t]</w:t>
      </w:r>
      <w:proofErr w:type="spellStart"/>
      <w:r w:rsidRPr="006A4DE4">
        <w:rPr>
          <w:rFonts w:ascii="Times New Roman" w:hAnsi="Times New Roman" w:cs="Times New Roman"/>
          <w:color w:val="000000" w:themeColor="text1"/>
          <w:sz w:val="24"/>
          <w:szCs w:val="24"/>
        </w:rPr>
        <w:t>raditional</w:t>
      </w:r>
      <w:proofErr w:type="spellEnd"/>
      <w:r w:rsidRPr="006A4DE4">
        <w:rPr>
          <w:rFonts w:ascii="Times New Roman" w:hAnsi="Times New Roman" w:cs="Times New Roman"/>
          <w:color w:val="000000" w:themeColor="text1"/>
          <w:sz w:val="24"/>
          <w:szCs w:val="24"/>
        </w:rPr>
        <w:t xml:space="preserve"> policies were primarily designed to enhance the production of goods and to increase the gross national product </w:t>
      </w:r>
      <w:proofErr w:type="gramStart"/>
      <w:r w:rsidRPr="006A4DE4">
        <w:rPr>
          <w:rFonts w:ascii="Times New Roman" w:hAnsi="Times New Roman" w:cs="Times New Roman"/>
          <w:color w:val="000000" w:themeColor="text1"/>
          <w:sz w:val="24"/>
          <w:szCs w:val="24"/>
        </w:rPr>
        <w:t>. . . .</w:t>
      </w:r>
      <w:proofErr w:type="gramEnd"/>
      <w:r w:rsidRPr="006A4DE4">
        <w:rPr>
          <w:rFonts w:ascii="Times New Roman" w:hAnsi="Times New Roman" w:cs="Times New Roman"/>
          <w:color w:val="000000" w:themeColor="text1"/>
          <w:sz w:val="24"/>
          <w:szCs w:val="24"/>
        </w:rPr>
        <w:t xml:space="preserve"> [b]</w:t>
      </w:r>
      <w:proofErr w:type="spellStart"/>
      <w:r w:rsidRPr="006A4DE4">
        <w:rPr>
          <w:rFonts w:ascii="Times New Roman" w:hAnsi="Times New Roman" w:cs="Times New Roman"/>
          <w:color w:val="000000" w:themeColor="text1"/>
          <w:sz w:val="24"/>
          <w:szCs w:val="24"/>
        </w:rPr>
        <w:t>ut</w:t>
      </w:r>
      <w:proofErr w:type="spellEnd"/>
      <w:r w:rsidRPr="006A4DE4">
        <w:rPr>
          <w:rFonts w:ascii="Times New Roman" w:hAnsi="Times New Roman" w:cs="Times New Roman"/>
          <w:color w:val="000000" w:themeColor="text1"/>
          <w:sz w:val="24"/>
          <w:szCs w:val="24"/>
        </w:rPr>
        <w:t xml:space="preserve"> [that], as a nation, we have paid a price for our material well-being.”</w:t>
      </w:r>
      <w:r w:rsidRPr="006A4DE4">
        <w:rPr>
          <w:rStyle w:val="FootnoteReference"/>
          <w:rFonts w:ascii="Times New Roman" w:hAnsi="Times New Roman" w:cs="Times New Roman"/>
          <w:color w:val="000000" w:themeColor="text1"/>
          <w:sz w:val="24"/>
          <w:szCs w:val="24"/>
        </w:rPr>
        <w:footnoteReference w:id="3"/>
      </w:r>
      <w:r w:rsidRPr="006A4DE4">
        <w:rPr>
          <w:rFonts w:ascii="Times New Roman" w:hAnsi="Times New Roman" w:cs="Times New Roman"/>
          <w:color w:val="000000" w:themeColor="text1"/>
          <w:sz w:val="24"/>
          <w:szCs w:val="24"/>
        </w:rPr>
        <w:t xml:space="preserve"> With the understanding that “the Nation cannot continue to pay the price of past abuse,”</w:t>
      </w:r>
      <w:r w:rsidRPr="006A4DE4">
        <w:rPr>
          <w:rFonts w:ascii="Times New Roman" w:hAnsi="Times New Roman" w:cs="Times New Roman"/>
          <w:color w:val="000000" w:themeColor="text1"/>
          <w:sz w:val="24"/>
          <w:szCs w:val="24"/>
          <w:vertAlign w:val="superscript"/>
        </w:rPr>
        <w:footnoteReference w:id="4"/>
      </w:r>
      <w:r w:rsidRPr="006A4DE4">
        <w:rPr>
          <w:rFonts w:ascii="Times New Roman" w:hAnsi="Times New Roman" w:cs="Times New Roman"/>
          <w:color w:val="000000" w:themeColor="text1"/>
          <w:sz w:val="24"/>
          <w:szCs w:val="24"/>
        </w:rPr>
        <w:t xml:space="preserve"> section 101 of NEPA imposes on the national government an obligation “to create and maintain conditions under which man and </w:t>
      </w:r>
      <w:r w:rsidRPr="006A4DE4">
        <w:rPr>
          <w:rFonts w:ascii="Times New Roman" w:hAnsi="Times New Roman" w:cs="Times New Roman"/>
          <w:color w:val="000000" w:themeColor="text1"/>
          <w:sz w:val="24"/>
          <w:szCs w:val="24"/>
        </w:rPr>
        <w:lastRenderedPageBreak/>
        <w:t>nature can exist in productive harmony, and fulfill the social, economic, and other requirements of present and future generations of Americans.”</w:t>
      </w:r>
      <w:r w:rsidRPr="006A4DE4">
        <w:rPr>
          <w:rFonts w:ascii="Times New Roman" w:hAnsi="Times New Roman" w:cs="Times New Roman"/>
          <w:color w:val="000000" w:themeColor="text1"/>
          <w:sz w:val="24"/>
          <w:szCs w:val="24"/>
          <w:vertAlign w:val="superscript"/>
        </w:rPr>
        <w:footnoteReference w:id="5"/>
      </w:r>
      <w:r w:rsidRPr="006A4DE4">
        <w:rPr>
          <w:rFonts w:ascii="Times New Roman" w:hAnsi="Times New Roman" w:cs="Times New Roman"/>
          <w:color w:val="000000" w:themeColor="text1"/>
          <w:sz w:val="24"/>
          <w:szCs w:val="24"/>
        </w:rPr>
        <w:t xml:space="preserve"> The government thus had the “continuing responsibility” to, among other things, “assure for all Americans, safe, healthful, productive, and esthetically and culturally pleasing surroundings.”</w:t>
      </w:r>
      <w:r w:rsidRPr="006A4DE4">
        <w:rPr>
          <w:rFonts w:ascii="Times New Roman" w:hAnsi="Times New Roman" w:cs="Times New Roman"/>
          <w:color w:val="000000" w:themeColor="text1"/>
          <w:sz w:val="24"/>
          <w:szCs w:val="24"/>
          <w:vertAlign w:val="superscript"/>
        </w:rPr>
        <w:footnoteReference w:id="6"/>
      </w:r>
    </w:p>
    <w:p w14:paraId="27C01A4B" w14:textId="77777777" w:rsidR="00AA409D" w:rsidRPr="006A4DE4" w:rsidRDefault="00AA409D" w:rsidP="00AA409D">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NEPA also looked to the future:  Congress committed the federal government to “fulfill the responsibilities of each generation as trustee of the environment for succeeding generations.”</w:t>
      </w:r>
      <w:r w:rsidRPr="006A4DE4">
        <w:rPr>
          <w:rFonts w:ascii="Times New Roman" w:hAnsi="Times New Roman" w:cs="Times New Roman"/>
          <w:color w:val="000000" w:themeColor="text1"/>
          <w:sz w:val="24"/>
          <w:szCs w:val="24"/>
          <w:vertAlign w:val="superscript"/>
        </w:rPr>
        <w:footnoteReference w:id="7"/>
      </w:r>
      <w:r w:rsidRPr="006A4DE4">
        <w:rPr>
          <w:rFonts w:ascii="Times New Roman" w:hAnsi="Times New Roman" w:cs="Times New Roman"/>
          <w:color w:val="000000" w:themeColor="text1"/>
          <w:sz w:val="24"/>
          <w:szCs w:val="24"/>
        </w:rPr>
        <w:t xml:space="preserve">  Prior to NEPA, federal policymaking did not systematically consider long-term environmental degradation.  Instead, the “pursuit of narrower, more immediate goals” had fostered increasing “threats to the environment and the Nation’s life support system.”</w:t>
      </w:r>
      <w:r w:rsidRPr="006A4DE4">
        <w:rPr>
          <w:rFonts w:ascii="Times New Roman" w:hAnsi="Times New Roman" w:cs="Times New Roman"/>
          <w:color w:val="000000" w:themeColor="text1"/>
          <w:sz w:val="24"/>
          <w:szCs w:val="24"/>
          <w:vertAlign w:val="superscript"/>
        </w:rPr>
        <w:footnoteReference w:id="8"/>
      </w:r>
      <w:r w:rsidRPr="006A4DE4">
        <w:rPr>
          <w:rFonts w:ascii="Times New Roman" w:hAnsi="Times New Roman" w:cs="Times New Roman"/>
          <w:color w:val="000000" w:themeColor="text1"/>
          <w:sz w:val="24"/>
          <w:szCs w:val="24"/>
        </w:rPr>
        <w:t xml:space="preserve">  NEPA was enacted as a change in course, forcing policymakers to consider “the long-range implications of many of the critical environmental problems” facing the nation.</w:t>
      </w:r>
      <w:r w:rsidRPr="006A4DE4">
        <w:rPr>
          <w:rFonts w:ascii="Times New Roman" w:hAnsi="Times New Roman" w:cs="Times New Roman"/>
          <w:color w:val="000000" w:themeColor="text1"/>
          <w:sz w:val="24"/>
          <w:szCs w:val="24"/>
          <w:vertAlign w:val="superscript"/>
        </w:rPr>
        <w:footnoteReference w:id="9"/>
      </w:r>
    </w:p>
    <w:p w14:paraId="000D3417" w14:textId="749482DE" w:rsidR="00AA409D" w:rsidRPr="006A4DE4" w:rsidRDefault="00AA409D" w:rsidP="00B540F1">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Congress recognized that meeting NEPA’s environmental goals is not only consistent with but necessary to economic well-being. Economic and environmental well-being need not be traded off. Rather, Congress understood that “[p]</w:t>
      </w:r>
      <w:proofErr w:type="spellStart"/>
      <w:r w:rsidRPr="006A4DE4">
        <w:rPr>
          <w:rFonts w:ascii="Times New Roman" w:hAnsi="Times New Roman" w:cs="Times New Roman"/>
          <w:color w:val="000000" w:themeColor="text1"/>
          <w:sz w:val="24"/>
          <w:szCs w:val="24"/>
        </w:rPr>
        <w:t>ast</w:t>
      </w:r>
      <w:proofErr w:type="spellEnd"/>
      <w:r w:rsidRPr="006A4DE4">
        <w:rPr>
          <w:rFonts w:ascii="Times New Roman" w:hAnsi="Times New Roman" w:cs="Times New Roman"/>
          <w:color w:val="000000" w:themeColor="text1"/>
          <w:sz w:val="24"/>
          <w:szCs w:val="24"/>
        </w:rPr>
        <w:t xml:space="preserve"> neglect and carelessness are now costing us dearly, not merely in opportunities forgone, in impairment of health, and in discomfort and inconvenience, but also in a demand upon tax dollars, upon personal incomes, and upon corporate earnings.”</w:t>
      </w:r>
      <w:r w:rsidRPr="006A4DE4">
        <w:rPr>
          <w:rStyle w:val="FootnoteReference"/>
          <w:rFonts w:ascii="Times New Roman" w:hAnsi="Times New Roman" w:cs="Times New Roman"/>
          <w:color w:val="000000" w:themeColor="text1"/>
          <w:sz w:val="24"/>
          <w:szCs w:val="24"/>
        </w:rPr>
        <w:footnoteReference w:id="10"/>
      </w:r>
      <w:r w:rsidRPr="006A4DE4">
        <w:rPr>
          <w:rFonts w:ascii="Times New Roman" w:hAnsi="Times New Roman" w:cs="Times New Roman"/>
          <w:color w:val="000000" w:themeColor="text1"/>
          <w:sz w:val="24"/>
          <w:szCs w:val="24"/>
        </w:rPr>
        <w:t xml:space="preserve"> “Economic good sense,” the Senate Committee reported, “requires the declaration of a policy and the establishment of a comprehensive environmental quality program now.”</w:t>
      </w:r>
      <w:r w:rsidRPr="006A4DE4">
        <w:rPr>
          <w:rStyle w:val="FootnoteReference"/>
          <w:rFonts w:ascii="Times New Roman" w:hAnsi="Times New Roman" w:cs="Times New Roman"/>
          <w:color w:val="000000" w:themeColor="text1"/>
          <w:sz w:val="24"/>
          <w:szCs w:val="24"/>
        </w:rPr>
        <w:footnoteReference w:id="11"/>
      </w:r>
      <w:r w:rsidRPr="006A4DE4">
        <w:rPr>
          <w:rFonts w:ascii="Times New Roman" w:hAnsi="Times New Roman" w:cs="Times New Roman"/>
          <w:color w:val="000000" w:themeColor="text1"/>
          <w:sz w:val="24"/>
          <w:szCs w:val="24"/>
        </w:rPr>
        <w:t xml:space="preserve">  Congress thus enacted NEPA with the understanding that environmental well-being is compatible with, and a component of, short-term and long-term economic well-being.</w:t>
      </w:r>
      <w:r w:rsidRPr="006A4DE4">
        <w:rPr>
          <w:rStyle w:val="FootnoteReference"/>
          <w:rFonts w:ascii="Times New Roman" w:hAnsi="Times New Roman" w:cs="Times New Roman"/>
          <w:color w:val="000000" w:themeColor="text1"/>
          <w:sz w:val="24"/>
          <w:szCs w:val="24"/>
        </w:rPr>
        <w:footnoteReference w:id="12"/>
      </w:r>
      <w:r w:rsidRPr="006A4DE4">
        <w:rPr>
          <w:rFonts w:ascii="Times New Roman" w:hAnsi="Times New Roman" w:cs="Times New Roman"/>
          <w:color w:val="000000" w:themeColor="text1"/>
          <w:sz w:val="24"/>
          <w:szCs w:val="24"/>
        </w:rPr>
        <w:t xml:space="preserve"> </w:t>
      </w:r>
    </w:p>
    <w:p w14:paraId="33334F46" w14:textId="1A74FC33" w:rsidR="00FA603B" w:rsidRPr="006A4DE4" w:rsidRDefault="00FA603B" w:rsidP="00AA409D">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To fulfill its promises, NEPA mandated that federal agencies consider the environmental impacts of their decisions.</w:t>
      </w:r>
      <w:r w:rsidRPr="006A4DE4">
        <w:rPr>
          <w:rFonts w:ascii="Times New Roman" w:hAnsi="Times New Roman" w:cs="Times New Roman"/>
          <w:color w:val="000000" w:themeColor="text1"/>
          <w:sz w:val="24"/>
          <w:szCs w:val="24"/>
          <w:vertAlign w:val="superscript"/>
        </w:rPr>
        <w:footnoteReference w:id="13"/>
      </w:r>
      <w:r w:rsidRPr="006A4DE4">
        <w:rPr>
          <w:rFonts w:ascii="Times New Roman" w:hAnsi="Times New Roman" w:cs="Times New Roman"/>
          <w:color w:val="000000" w:themeColor="text1"/>
          <w:sz w:val="24"/>
          <w:szCs w:val="24"/>
        </w:rPr>
        <w:t xml:space="preserve"> Congress directed federal agencies to meet three goals: First, federal decisions must be informed by detailed environmental analyses. Second, decision makers must develop, study, and consider alternative courses of actions,</w:t>
      </w:r>
      <w:r w:rsidRPr="006A4DE4">
        <w:rPr>
          <w:rFonts w:ascii="Times New Roman" w:hAnsi="Times New Roman" w:cs="Times New Roman"/>
          <w:color w:val="000000" w:themeColor="text1"/>
          <w:sz w:val="24"/>
          <w:szCs w:val="24"/>
          <w:vertAlign w:val="superscript"/>
        </w:rPr>
        <w:footnoteReference w:id="14"/>
      </w:r>
      <w:r w:rsidRPr="006A4DE4">
        <w:rPr>
          <w:rFonts w:ascii="Times New Roman" w:hAnsi="Times New Roman" w:cs="Times New Roman"/>
          <w:color w:val="000000" w:themeColor="text1"/>
          <w:sz w:val="24"/>
          <w:szCs w:val="24"/>
        </w:rPr>
        <w:t xml:space="preserve"> allowing a comparison of the potential environmental impacts of such alternatives. And third, agencies must involve the public in this evaluation and </w:t>
      </w:r>
      <w:proofErr w:type="spellStart"/>
      <w:r w:rsidRPr="006A4DE4">
        <w:rPr>
          <w:rFonts w:ascii="Times New Roman" w:hAnsi="Times New Roman" w:cs="Times New Roman"/>
          <w:color w:val="000000" w:themeColor="text1"/>
          <w:sz w:val="24"/>
          <w:szCs w:val="24"/>
        </w:rPr>
        <w:t>decisionmaking</w:t>
      </w:r>
      <w:proofErr w:type="spellEnd"/>
      <w:r w:rsidRPr="006A4DE4">
        <w:rPr>
          <w:rFonts w:ascii="Times New Roman" w:hAnsi="Times New Roman" w:cs="Times New Roman"/>
          <w:color w:val="000000" w:themeColor="text1"/>
          <w:sz w:val="24"/>
          <w:szCs w:val="24"/>
        </w:rPr>
        <w:t xml:space="preserve"> process.</w:t>
      </w:r>
    </w:p>
    <w:p w14:paraId="5274FD15" w14:textId="14FBEBF3" w:rsidR="00FA603B" w:rsidRPr="006A4DE4" w:rsidRDefault="00FA603B" w:rsidP="00FA603B">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As Senator Jackson—one of NEPA’s architects—said shortly before final passage: “A vital requisite of environmental management is the development of adequate methodology for evaluating the full environmental impacts and the full costs—social, economic, and environmental—of Federal actions.”</w:t>
      </w:r>
      <w:r w:rsidRPr="006A4DE4">
        <w:rPr>
          <w:rFonts w:ascii="Times New Roman" w:hAnsi="Times New Roman" w:cs="Times New Roman"/>
          <w:color w:val="000000" w:themeColor="text1"/>
          <w:sz w:val="24"/>
          <w:szCs w:val="24"/>
          <w:vertAlign w:val="superscript"/>
        </w:rPr>
        <w:footnoteReference w:id="15"/>
      </w:r>
      <w:r w:rsidRPr="006A4DE4">
        <w:rPr>
          <w:rFonts w:ascii="Times New Roman" w:hAnsi="Times New Roman" w:cs="Times New Roman"/>
          <w:color w:val="000000" w:themeColor="text1"/>
          <w:sz w:val="24"/>
          <w:szCs w:val="24"/>
        </w:rPr>
        <w:t xml:space="preserve"> To this end, NEPA requires that the government:</w:t>
      </w:r>
    </w:p>
    <w:p w14:paraId="6D1DE17F" w14:textId="77777777" w:rsidR="00FA603B" w:rsidRPr="006A4DE4" w:rsidRDefault="00FA603B" w:rsidP="00FA603B">
      <w:pPr>
        <w:pStyle w:val="Quote"/>
        <w:rPr>
          <w:rFonts w:ascii="Times New Roman" w:hAnsi="Times New Roman"/>
          <w:color w:val="000000" w:themeColor="text1"/>
        </w:rPr>
      </w:pPr>
      <w:r w:rsidRPr="006A4DE4">
        <w:rPr>
          <w:rFonts w:ascii="Times New Roman" w:hAnsi="Times New Roman"/>
          <w:color w:val="000000" w:themeColor="text1"/>
        </w:rPr>
        <w:t xml:space="preserve">utilize a systematic, interdisciplinary approach which will </w:t>
      </w:r>
      <w:proofErr w:type="gramStart"/>
      <w:r w:rsidRPr="006A4DE4">
        <w:rPr>
          <w:rFonts w:ascii="Times New Roman" w:hAnsi="Times New Roman"/>
          <w:color w:val="000000" w:themeColor="text1"/>
        </w:rPr>
        <w:t>insure</w:t>
      </w:r>
      <w:proofErr w:type="gramEnd"/>
      <w:r w:rsidRPr="006A4DE4">
        <w:rPr>
          <w:rFonts w:ascii="Times New Roman" w:hAnsi="Times New Roman"/>
          <w:color w:val="000000" w:themeColor="text1"/>
        </w:rPr>
        <w:t xml:space="preserve"> the integrated use of the natural and social sciences and the environmental design arts in planning and in </w:t>
      </w:r>
      <w:proofErr w:type="spellStart"/>
      <w:r w:rsidRPr="006A4DE4">
        <w:rPr>
          <w:rFonts w:ascii="Times New Roman" w:hAnsi="Times New Roman"/>
          <w:color w:val="000000" w:themeColor="text1"/>
        </w:rPr>
        <w:t>decisionmaking</w:t>
      </w:r>
      <w:proofErr w:type="spellEnd"/>
      <w:r w:rsidRPr="006A4DE4">
        <w:rPr>
          <w:rFonts w:ascii="Times New Roman" w:hAnsi="Times New Roman"/>
          <w:color w:val="000000" w:themeColor="text1"/>
        </w:rPr>
        <w:t xml:space="preserve"> which may have an impact on man’s environment[.]</w:t>
      </w:r>
      <w:r w:rsidRPr="006A4DE4">
        <w:rPr>
          <w:rFonts w:ascii="Times New Roman" w:hAnsi="Times New Roman"/>
          <w:color w:val="000000" w:themeColor="text1"/>
          <w:vertAlign w:val="superscript"/>
        </w:rPr>
        <w:footnoteReference w:id="16"/>
      </w:r>
    </w:p>
    <w:p w14:paraId="22A9077F" w14:textId="77777777" w:rsidR="00460F85" w:rsidRPr="006A4DE4" w:rsidRDefault="00FA603B" w:rsidP="00460F85">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Agencies must also provide a “detailed statement” on the environmental impacts of proposed decisions “significantly affecting the quality of the human environment” (known as an environmental impact statement or EIS).</w:t>
      </w:r>
      <w:r w:rsidRPr="006A4DE4">
        <w:rPr>
          <w:rFonts w:ascii="Times New Roman" w:hAnsi="Times New Roman" w:cs="Times New Roman"/>
          <w:color w:val="000000" w:themeColor="text1"/>
          <w:sz w:val="24"/>
          <w:szCs w:val="24"/>
          <w:vertAlign w:val="superscript"/>
        </w:rPr>
        <w:footnoteReference w:id="17"/>
      </w:r>
      <w:r w:rsidRPr="006A4DE4">
        <w:rPr>
          <w:rFonts w:ascii="Times New Roman" w:hAnsi="Times New Roman" w:cs="Times New Roman"/>
          <w:color w:val="000000" w:themeColor="text1"/>
          <w:sz w:val="24"/>
          <w:szCs w:val="24"/>
        </w:rPr>
        <w:t xml:space="preserve"> Within that detailed statement, agencies must disclose “any” unavoidable adverse environmental effects of the decision.</w:t>
      </w:r>
      <w:r w:rsidRPr="006A4DE4">
        <w:rPr>
          <w:rFonts w:ascii="Times New Roman" w:hAnsi="Times New Roman" w:cs="Times New Roman"/>
          <w:color w:val="000000" w:themeColor="text1"/>
          <w:sz w:val="24"/>
          <w:szCs w:val="24"/>
          <w:vertAlign w:val="superscript"/>
        </w:rPr>
        <w:footnoteReference w:id="18"/>
      </w:r>
      <w:r w:rsidRPr="006A4DE4">
        <w:rPr>
          <w:rFonts w:ascii="Times New Roman" w:hAnsi="Times New Roman" w:cs="Times New Roman"/>
          <w:color w:val="000000" w:themeColor="text1"/>
          <w:sz w:val="24"/>
          <w:szCs w:val="24"/>
        </w:rPr>
        <w:t xml:space="preserve"> And they must disclose “any irreversible and irretrievable commitments of resources which would be involved in the proposed action should it be implemented.”</w:t>
      </w:r>
      <w:r w:rsidRPr="006A4DE4">
        <w:rPr>
          <w:rFonts w:ascii="Times New Roman" w:hAnsi="Times New Roman" w:cs="Times New Roman"/>
          <w:color w:val="000000" w:themeColor="text1"/>
          <w:sz w:val="24"/>
          <w:szCs w:val="24"/>
          <w:vertAlign w:val="superscript"/>
        </w:rPr>
        <w:footnoteReference w:id="19"/>
      </w:r>
      <w:r w:rsidRPr="006A4DE4">
        <w:rPr>
          <w:rFonts w:ascii="Times New Roman" w:hAnsi="Times New Roman" w:cs="Times New Roman"/>
          <w:color w:val="000000" w:themeColor="text1"/>
          <w:sz w:val="24"/>
          <w:szCs w:val="24"/>
        </w:rPr>
        <w:t xml:space="preserve"> Moreover, NEPA does not allow agencies to ignore analytic gaps: agencies must find ways to properly weigh “unquantified environmental amenities and values.”</w:t>
      </w:r>
      <w:r w:rsidRPr="006A4DE4">
        <w:rPr>
          <w:rFonts w:ascii="Times New Roman" w:hAnsi="Times New Roman" w:cs="Times New Roman"/>
          <w:color w:val="000000" w:themeColor="text1"/>
          <w:sz w:val="24"/>
          <w:szCs w:val="24"/>
          <w:vertAlign w:val="superscript"/>
        </w:rPr>
        <w:footnoteReference w:id="20"/>
      </w:r>
    </w:p>
    <w:p w14:paraId="4F1F8D3D" w14:textId="649FCD7E" w:rsidR="00FA603B" w:rsidRPr="006A4DE4" w:rsidRDefault="00FA603B" w:rsidP="00460F85">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NEPA directs federal decisionmakers to study and consider alternatives to their decisions, allowing comparisons the environmental impacts of such alternatives.</w:t>
      </w:r>
      <w:r w:rsidRPr="006A4DE4">
        <w:rPr>
          <w:rFonts w:ascii="Times New Roman" w:hAnsi="Times New Roman" w:cs="Times New Roman"/>
          <w:color w:val="000000" w:themeColor="text1"/>
          <w:sz w:val="24"/>
          <w:szCs w:val="24"/>
          <w:vertAlign w:val="superscript"/>
        </w:rPr>
        <w:footnoteReference w:id="21"/>
      </w:r>
      <w:r w:rsidRPr="006A4DE4">
        <w:rPr>
          <w:rFonts w:ascii="Times New Roman" w:hAnsi="Times New Roman" w:cs="Times New Roman"/>
          <w:color w:val="000000" w:themeColor="text1"/>
          <w:sz w:val="24"/>
          <w:szCs w:val="24"/>
          <w:vertAlign w:val="superscript"/>
        </w:rPr>
        <w:t xml:space="preserve"> </w:t>
      </w:r>
      <w:r w:rsidRPr="006A4DE4">
        <w:rPr>
          <w:rFonts w:ascii="Times New Roman" w:hAnsi="Times New Roman" w:cs="Times New Roman"/>
          <w:color w:val="000000" w:themeColor="text1"/>
          <w:sz w:val="24"/>
          <w:szCs w:val="24"/>
        </w:rPr>
        <w:t xml:space="preserve"> In particular, federal agencies must “study, develop, and describe appropriate alternatives to recommended courses of action” in “any proposal which involves unresolved conflicts concerning alternative uses of available resources,” even if its impacts do not rise to the level requiring an EIS.</w:t>
      </w:r>
      <w:r w:rsidRPr="006A4DE4">
        <w:rPr>
          <w:rFonts w:ascii="Times New Roman" w:hAnsi="Times New Roman" w:cs="Times New Roman"/>
          <w:color w:val="000000" w:themeColor="text1"/>
          <w:sz w:val="24"/>
          <w:szCs w:val="24"/>
          <w:vertAlign w:val="superscript"/>
        </w:rPr>
        <w:footnoteReference w:id="22"/>
      </w:r>
    </w:p>
    <w:p w14:paraId="570F44F8" w14:textId="7F2A1315" w:rsidR="00FA603B" w:rsidRPr="006A4DE4" w:rsidRDefault="00FA603B" w:rsidP="00E71307">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NEPA mandates inclusion of and disclosure to the public and other governmental entities of environmental impact analyses.  The statute broadly directs agencies to act “in cooperation” with governmental entities and the public in the decision-making process.</w:t>
      </w:r>
      <w:r w:rsidRPr="006A4DE4">
        <w:rPr>
          <w:rFonts w:ascii="Times New Roman" w:hAnsi="Times New Roman" w:cs="Times New Roman"/>
          <w:color w:val="000000" w:themeColor="text1"/>
          <w:sz w:val="24"/>
          <w:szCs w:val="24"/>
          <w:vertAlign w:val="superscript"/>
        </w:rPr>
        <w:footnoteReference w:id="23"/>
      </w:r>
      <w:r w:rsidRPr="006A4DE4">
        <w:rPr>
          <w:rFonts w:ascii="Times New Roman" w:hAnsi="Times New Roman" w:cs="Times New Roman"/>
          <w:color w:val="000000" w:themeColor="text1"/>
          <w:sz w:val="24"/>
          <w:szCs w:val="24"/>
        </w:rPr>
        <w:t xml:space="preserve">  Further, agencies must make available “advice and information useful in restoring, maintaining, and enhancing the quality of the environment” to “States, counties, municipalities, institutions, and individuals.”</w:t>
      </w:r>
      <w:r w:rsidRPr="006A4DE4">
        <w:rPr>
          <w:rFonts w:ascii="Times New Roman" w:hAnsi="Times New Roman" w:cs="Times New Roman"/>
          <w:color w:val="000000" w:themeColor="text1"/>
          <w:sz w:val="24"/>
          <w:szCs w:val="24"/>
          <w:vertAlign w:val="superscript"/>
        </w:rPr>
        <w:footnoteReference w:id="24"/>
      </w:r>
    </w:p>
    <w:p w14:paraId="63F2C06F" w14:textId="75E07886" w:rsidR="00FA603B" w:rsidRPr="006A4DE4" w:rsidRDefault="00FA603B" w:rsidP="001C4A26">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These statutory requirements provide the standard against which any changes to the </w:t>
      </w:r>
      <w:r w:rsidR="00B540F1" w:rsidRPr="006A4DE4">
        <w:rPr>
          <w:rFonts w:ascii="Times New Roman" w:hAnsi="Times New Roman" w:cs="Times New Roman"/>
          <w:color w:val="000000" w:themeColor="text1"/>
          <w:sz w:val="24"/>
          <w:szCs w:val="24"/>
        </w:rPr>
        <w:t>DOT</w:t>
      </w:r>
      <w:r w:rsidRPr="006A4DE4">
        <w:rPr>
          <w:rFonts w:ascii="Times New Roman" w:hAnsi="Times New Roman" w:cs="Times New Roman"/>
          <w:color w:val="000000" w:themeColor="text1"/>
          <w:sz w:val="24"/>
          <w:szCs w:val="24"/>
        </w:rPr>
        <w:t xml:space="preserve"> regulations must be measured.  Unfortunately, as explored in more detail below, many of </w:t>
      </w:r>
      <w:r w:rsidR="00E23484" w:rsidRPr="006A4DE4">
        <w:rPr>
          <w:rFonts w:ascii="Times New Roman" w:hAnsi="Times New Roman" w:cs="Times New Roman"/>
          <w:color w:val="000000" w:themeColor="text1"/>
          <w:sz w:val="24"/>
          <w:szCs w:val="24"/>
        </w:rPr>
        <w:t>DOT’s</w:t>
      </w:r>
      <w:r w:rsidRPr="006A4DE4">
        <w:rPr>
          <w:rFonts w:ascii="Times New Roman" w:hAnsi="Times New Roman" w:cs="Times New Roman"/>
          <w:color w:val="000000" w:themeColor="text1"/>
          <w:sz w:val="24"/>
          <w:szCs w:val="24"/>
        </w:rPr>
        <w:t xml:space="preserve"> proposed regulatory changes conflict with this mandate. The proposal, if adopted and upheld, would lead federal agencies to make decisions with significant, and sometimes devastating, environmental impacts without ever considering those impacts in advance. It would raise barriers to public participation. And at the end of the day, it would lead to poor decisions, increased litigation, and less transparency.</w:t>
      </w:r>
    </w:p>
    <w:p w14:paraId="5B6DAE78" w14:textId="0D03F0D8" w:rsidR="00452863" w:rsidRPr="006A4DE4" w:rsidRDefault="00AF61EA" w:rsidP="00AF61EA">
      <w:pPr>
        <w:pStyle w:val="Heading1"/>
        <w:numPr>
          <w:ilvl w:val="0"/>
          <w:numId w:val="14"/>
        </w:numPr>
        <w:ind w:hanging="720"/>
        <w:rPr>
          <w:rFonts w:ascii="Times New Roman" w:hAnsi="Times New Roman" w:cs="Times New Roman"/>
          <w:b/>
          <w:bCs/>
          <w:color w:val="000000" w:themeColor="text1"/>
          <w:sz w:val="24"/>
          <w:szCs w:val="24"/>
        </w:rPr>
      </w:pPr>
      <w:r w:rsidRPr="006A4DE4">
        <w:rPr>
          <w:rFonts w:ascii="Times New Roman" w:hAnsi="Times New Roman" w:cs="Times New Roman"/>
          <w:b/>
          <w:bCs/>
          <w:color w:val="000000" w:themeColor="text1"/>
          <w:sz w:val="24"/>
          <w:szCs w:val="24"/>
        </w:rPr>
        <w:t>DOT’s procedures and r</w:t>
      </w:r>
      <w:r w:rsidR="00452863" w:rsidRPr="006A4DE4">
        <w:rPr>
          <w:rFonts w:ascii="Times New Roman" w:hAnsi="Times New Roman" w:cs="Times New Roman"/>
          <w:b/>
          <w:bCs/>
          <w:color w:val="000000" w:themeColor="text1"/>
          <w:sz w:val="24"/>
          <w:szCs w:val="24"/>
        </w:rPr>
        <w:t xml:space="preserve">egulations implementing NEPA </w:t>
      </w:r>
    </w:p>
    <w:p w14:paraId="223BB0B7" w14:textId="69FE48B0" w:rsidR="003730BD" w:rsidRPr="006A4DE4" w:rsidRDefault="00E45D32" w:rsidP="00AF61EA">
      <w:pPr>
        <w:pStyle w:val="Heading2"/>
        <w:numPr>
          <w:ilvl w:val="0"/>
          <w:numId w:val="39"/>
        </w:numPr>
        <w:spacing w:before="120" w:after="120" w:line="240" w:lineRule="auto"/>
        <w:ind w:left="1440" w:hanging="720"/>
        <w:rPr>
          <w:rFonts w:ascii="Times New Roman" w:hAnsi="Times New Roman" w:cs="Times New Roman"/>
          <w:b/>
          <w:bCs/>
          <w:color w:val="000000" w:themeColor="text1"/>
          <w:sz w:val="24"/>
          <w:szCs w:val="24"/>
        </w:rPr>
      </w:pPr>
      <w:r w:rsidRPr="006A4DE4">
        <w:rPr>
          <w:rFonts w:ascii="Times New Roman" w:hAnsi="Times New Roman" w:cs="Times New Roman"/>
          <w:b/>
          <w:bCs/>
          <w:color w:val="000000" w:themeColor="text1"/>
          <w:sz w:val="24"/>
          <w:szCs w:val="24"/>
        </w:rPr>
        <w:t xml:space="preserve">DOT’s prior NEPA procedures </w:t>
      </w:r>
    </w:p>
    <w:p w14:paraId="7BC95660" w14:textId="0747548D" w:rsidR="003730BD" w:rsidRPr="006A4DE4" w:rsidRDefault="003730BD" w:rsidP="00BF6161">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The proposed regulations represent DOT’s first foray into formal regulations for implementing NEPA. Currently, each operating administration within the DOT ha</w:t>
      </w:r>
      <w:r w:rsidR="005B3C50" w:rsidRPr="006A4DE4">
        <w:rPr>
          <w:rFonts w:ascii="Times New Roman" w:eastAsia="Times New Roman" w:hAnsi="Times New Roman" w:cs="Times New Roman"/>
          <w:color w:val="000000" w:themeColor="text1"/>
          <w:sz w:val="24"/>
          <w:szCs w:val="24"/>
        </w:rPr>
        <w:t>s</w:t>
      </w:r>
      <w:r w:rsidRPr="006A4DE4">
        <w:rPr>
          <w:rFonts w:ascii="Times New Roman" w:eastAsia="Times New Roman" w:hAnsi="Times New Roman" w:cs="Times New Roman"/>
          <w:color w:val="000000" w:themeColor="text1"/>
          <w:sz w:val="24"/>
          <w:szCs w:val="24"/>
        </w:rPr>
        <w:t xml:space="preserve"> promulgated its own regulations that provide detailed procedures and identify categorical exclusions relevant to each operating administration. </w:t>
      </w:r>
      <w:r w:rsidRPr="006A4DE4">
        <w:rPr>
          <w:rFonts w:ascii="Times New Roman" w:eastAsia="Times New Roman" w:hAnsi="Times New Roman" w:cs="Times New Roman"/>
          <w:i/>
          <w:iCs/>
          <w:color w:val="000000" w:themeColor="text1"/>
          <w:sz w:val="24"/>
          <w:szCs w:val="24"/>
        </w:rPr>
        <w:t>See</w:t>
      </w:r>
      <w:r w:rsidRPr="006A4DE4">
        <w:rPr>
          <w:rFonts w:ascii="Times New Roman" w:eastAsia="Times New Roman" w:hAnsi="Times New Roman" w:cs="Times New Roman"/>
          <w:color w:val="000000" w:themeColor="text1"/>
          <w:sz w:val="24"/>
          <w:szCs w:val="24"/>
        </w:rPr>
        <w:t xml:space="preserve"> 23 C.F.R. Part </w:t>
      </w:r>
      <w:proofErr w:type="gramStart"/>
      <w:r w:rsidRPr="006A4DE4">
        <w:rPr>
          <w:rFonts w:ascii="Times New Roman" w:eastAsia="Times New Roman" w:hAnsi="Times New Roman" w:cs="Times New Roman"/>
          <w:color w:val="000000" w:themeColor="text1"/>
          <w:sz w:val="24"/>
          <w:szCs w:val="24"/>
        </w:rPr>
        <w:t>771;</w:t>
      </w:r>
      <w:proofErr w:type="gramEnd"/>
      <w:r w:rsidRPr="006A4DE4">
        <w:rPr>
          <w:rFonts w:ascii="Times New Roman" w:eastAsia="Times New Roman" w:hAnsi="Times New Roman" w:cs="Times New Roman"/>
          <w:color w:val="000000" w:themeColor="text1"/>
          <w:sz w:val="24"/>
          <w:szCs w:val="24"/>
        </w:rPr>
        <w:t xml:space="preserve"> </w:t>
      </w:r>
    </w:p>
    <w:p w14:paraId="76039E01" w14:textId="77777777" w:rsidR="003730BD" w:rsidRPr="006A4DE4" w:rsidRDefault="003730BD" w:rsidP="003730BD">
      <w:pPr>
        <w:spacing w:after="0" w:line="240" w:lineRule="auto"/>
        <w:rPr>
          <w:rFonts w:ascii="Times New Roman" w:eastAsia="Times New Roman" w:hAnsi="Times New Roman" w:cs="Times New Roman"/>
          <w:color w:val="000000" w:themeColor="text1"/>
          <w:sz w:val="24"/>
          <w:szCs w:val="24"/>
        </w:rPr>
      </w:pPr>
    </w:p>
    <w:p w14:paraId="03D17365" w14:textId="77777777" w:rsidR="003730BD" w:rsidRPr="006A4DE4" w:rsidRDefault="003730BD" w:rsidP="00AF61EA">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To provide guidance to the sub-agencies on their implementation procedures, DOT adopted Order 5610.1C, “Procedures for Considering Environmental Impacts,” in 1979.  Dep’t of Transp. Order 5610.1C (1979). The Order explains that it “supplements the CEQ regulations by applying them to DOT programs,” Dep’t of Transp. Order 5610.1C at 2 (emphasis in original), such that all operating administrations “shall comply with both the CEQ regulations and the provisions of this Order.”</w:t>
      </w:r>
    </w:p>
    <w:p w14:paraId="154493E1" w14:textId="77777777" w:rsidR="003730BD" w:rsidRPr="006A4DE4" w:rsidRDefault="003730BD" w:rsidP="003730BD">
      <w:pPr>
        <w:spacing w:after="0" w:line="240" w:lineRule="auto"/>
        <w:rPr>
          <w:rFonts w:ascii="Times New Roman" w:eastAsia="Times New Roman" w:hAnsi="Times New Roman" w:cs="Times New Roman"/>
          <w:color w:val="000000" w:themeColor="text1"/>
          <w:sz w:val="24"/>
          <w:szCs w:val="24"/>
        </w:rPr>
      </w:pPr>
    </w:p>
    <w:p w14:paraId="02E9DC55" w14:textId="56EA01FC" w:rsidR="003730BD" w:rsidRPr="006A4DE4" w:rsidRDefault="003730BD" w:rsidP="00816A3B">
      <w:pPr>
        <w:pStyle w:val="Heading3"/>
        <w:numPr>
          <w:ilvl w:val="0"/>
          <w:numId w:val="21"/>
        </w:numPr>
        <w:ind w:left="2160" w:hanging="720"/>
        <w:rPr>
          <w:rFonts w:ascii="Times New Roman" w:eastAsia="Times New Roman" w:hAnsi="Times New Roman" w:cs="Times New Roman"/>
          <w:b/>
          <w:bCs/>
          <w:color w:val="000000" w:themeColor="text1"/>
        </w:rPr>
      </w:pPr>
      <w:r w:rsidRPr="006A4DE4">
        <w:rPr>
          <w:rFonts w:ascii="Times New Roman" w:eastAsia="Times New Roman" w:hAnsi="Times New Roman" w:cs="Times New Roman"/>
          <w:b/>
          <w:bCs/>
          <w:color w:val="000000" w:themeColor="text1"/>
        </w:rPr>
        <w:t>Order 5610.1C establishes key DOT policies in implementing NEPA</w:t>
      </w:r>
    </w:p>
    <w:p w14:paraId="60B66831" w14:textId="77777777" w:rsidR="003730BD" w:rsidRPr="006A4DE4" w:rsidRDefault="003730BD" w:rsidP="003730BD">
      <w:pPr>
        <w:spacing w:after="0" w:line="240" w:lineRule="auto"/>
        <w:rPr>
          <w:rFonts w:ascii="Times New Roman" w:eastAsia="Times New Roman" w:hAnsi="Times New Roman" w:cs="Times New Roman"/>
          <w:color w:val="000000" w:themeColor="text1"/>
          <w:sz w:val="24"/>
          <w:szCs w:val="24"/>
        </w:rPr>
      </w:pPr>
    </w:p>
    <w:p w14:paraId="217119B7" w14:textId="021D81D9" w:rsidR="003730BD" w:rsidRPr="006A4DE4" w:rsidRDefault="003730BD" w:rsidP="003730BD">
      <w:pPr>
        <w:spacing w:after="0" w:line="240" w:lineRule="auto"/>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Order 5610.1C establishes that it is “the policy of the Department of Transportation</w:t>
      </w:r>
      <w:r w:rsidR="00816A3B" w:rsidRPr="006A4DE4">
        <w:rPr>
          <w:rFonts w:ascii="Times New Roman" w:eastAsia="Times New Roman" w:hAnsi="Times New Roman" w:cs="Times New Roman"/>
          <w:color w:val="000000" w:themeColor="text1"/>
          <w:sz w:val="24"/>
          <w:szCs w:val="24"/>
        </w:rPr>
        <w:t xml:space="preserve"> . . . </w:t>
      </w:r>
      <w:r w:rsidRPr="006A4DE4">
        <w:rPr>
          <w:rFonts w:ascii="Times New Roman" w:eastAsia="Times New Roman" w:hAnsi="Times New Roman" w:cs="Times New Roman"/>
          <w:color w:val="000000" w:themeColor="text1"/>
          <w:sz w:val="24"/>
          <w:szCs w:val="24"/>
        </w:rPr>
        <w:t>to:</w:t>
      </w:r>
    </w:p>
    <w:p w14:paraId="0AF43ABB" w14:textId="77777777" w:rsidR="003730BD" w:rsidRPr="006A4DE4" w:rsidRDefault="003730BD" w:rsidP="003730BD">
      <w:pPr>
        <w:spacing w:after="0" w:line="240" w:lineRule="auto"/>
        <w:rPr>
          <w:rFonts w:ascii="Times New Roman" w:eastAsia="Times New Roman" w:hAnsi="Times New Roman" w:cs="Times New Roman"/>
          <w:color w:val="000000" w:themeColor="text1"/>
          <w:sz w:val="24"/>
          <w:szCs w:val="24"/>
        </w:rPr>
      </w:pPr>
    </w:p>
    <w:p w14:paraId="567DC2B7" w14:textId="77777777" w:rsidR="003730BD" w:rsidRPr="006A4DE4" w:rsidRDefault="003730BD" w:rsidP="00816A3B">
      <w:pPr>
        <w:spacing w:after="0" w:line="240" w:lineRule="auto"/>
        <w:ind w:left="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(1)</w:t>
      </w:r>
      <w:r w:rsidRPr="006A4DE4">
        <w:rPr>
          <w:rFonts w:ascii="Times New Roman" w:eastAsia="Times New Roman" w:hAnsi="Times New Roman" w:cs="Times New Roman"/>
          <w:color w:val="000000" w:themeColor="text1"/>
          <w:sz w:val="24"/>
          <w:szCs w:val="24"/>
        </w:rPr>
        <w:tab/>
        <w:t xml:space="preserve">Avoid or minimize adverse impacts wherever </w:t>
      </w:r>
      <w:proofErr w:type="gramStart"/>
      <w:r w:rsidRPr="006A4DE4">
        <w:rPr>
          <w:rFonts w:ascii="Times New Roman" w:eastAsia="Times New Roman" w:hAnsi="Times New Roman" w:cs="Times New Roman"/>
          <w:color w:val="000000" w:themeColor="text1"/>
          <w:sz w:val="24"/>
          <w:szCs w:val="24"/>
        </w:rPr>
        <w:t>possible;</w:t>
      </w:r>
      <w:proofErr w:type="gramEnd"/>
    </w:p>
    <w:p w14:paraId="31A3DBD2" w14:textId="77777777" w:rsidR="003730BD" w:rsidRPr="006A4DE4" w:rsidRDefault="003730BD" w:rsidP="00816A3B">
      <w:pPr>
        <w:spacing w:after="0" w:line="240" w:lineRule="auto"/>
        <w:ind w:left="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(2)</w:t>
      </w:r>
      <w:r w:rsidRPr="006A4DE4">
        <w:rPr>
          <w:rFonts w:ascii="Times New Roman" w:eastAsia="Times New Roman" w:hAnsi="Times New Roman" w:cs="Times New Roman"/>
          <w:color w:val="000000" w:themeColor="text1"/>
          <w:sz w:val="24"/>
          <w:szCs w:val="24"/>
        </w:rPr>
        <w:tab/>
        <w:t xml:space="preserve">Restore or enhance environmental quality to the fullest extent </w:t>
      </w:r>
      <w:proofErr w:type="gramStart"/>
      <w:r w:rsidRPr="006A4DE4">
        <w:rPr>
          <w:rFonts w:ascii="Times New Roman" w:eastAsia="Times New Roman" w:hAnsi="Times New Roman" w:cs="Times New Roman"/>
          <w:color w:val="000000" w:themeColor="text1"/>
          <w:sz w:val="24"/>
          <w:szCs w:val="24"/>
        </w:rPr>
        <w:t>practicable;</w:t>
      </w:r>
      <w:proofErr w:type="gramEnd"/>
      <w:r w:rsidRPr="006A4DE4">
        <w:rPr>
          <w:rFonts w:ascii="Times New Roman" w:eastAsia="Times New Roman" w:hAnsi="Times New Roman" w:cs="Times New Roman"/>
          <w:color w:val="000000" w:themeColor="text1"/>
          <w:sz w:val="24"/>
          <w:szCs w:val="24"/>
        </w:rPr>
        <w:t xml:space="preserve"> </w:t>
      </w:r>
    </w:p>
    <w:p w14:paraId="7634CBFF" w14:textId="77777777" w:rsidR="003730BD" w:rsidRPr="006A4DE4" w:rsidRDefault="003730BD" w:rsidP="00816A3B">
      <w:pPr>
        <w:spacing w:after="0" w:line="240" w:lineRule="auto"/>
        <w:ind w:left="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(3)</w:t>
      </w:r>
      <w:r w:rsidRPr="006A4DE4">
        <w:rPr>
          <w:rFonts w:ascii="Times New Roman" w:eastAsia="Times New Roman" w:hAnsi="Times New Roman" w:cs="Times New Roman"/>
          <w:color w:val="000000" w:themeColor="text1"/>
          <w:sz w:val="24"/>
          <w:szCs w:val="24"/>
        </w:rPr>
        <w:tab/>
        <w:t xml:space="preserve">Preserve the natural beauty of the countryside and public park and recreation lands, wildlife and waterfowl refuges, and historic </w:t>
      </w:r>
      <w:proofErr w:type="gramStart"/>
      <w:r w:rsidRPr="006A4DE4">
        <w:rPr>
          <w:rFonts w:ascii="Times New Roman" w:eastAsia="Times New Roman" w:hAnsi="Times New Roman" w:cs="Times New Roman"/>
          <w:color w:val="000000" w:themeColor="text1"/>
          <w:sz w:val="24"/>
          <w:szCs w:val="24"/>
        </w:rPr>
        <w:t>sites;</w:t>
      </w:r>
      <w:proofErr w:type="gramEnd"/>
    </w:p>
    <w:p w14:paraId="6282E521" w14:textId="77777777" w:rsidR="003730BD" w:rsidRPr="006A4DE4" w:rsidRDefault="003730BD" w:rsidP="00816A3B">
      <w:pPr>
        <w:spacing w:after="0" w:line="240" w:lineRule="auto"/>
        <w:ind w:left="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(4)</w:t>
      </w:r>
      <w:r w:rsidRPr="006A4DE4">
        <w:rPr>
          <w:rFonts w:ascii="Times New Roman" w:eastAsia="Times New Roman" w:hAnsi="Times New Roman" w:cs="Times New Roman"/>
          <w:color w:val="000000" w:themeColor="text1"/>
          <w:sz w:val="24"/>
          <w:szCs w:val="24"/>
        </w:rPr>
        <w:tab/>
        <w:t xml:space="preserve">Preserve, restore and improve </w:t>
      </w:r>
      <w:proofErr w:type="gramStart"/>
      <w:r w:rsidRPr="006A4DE4">
        <w:rPr>
          <w:rFonts w:ascii="Times New Roman" w:eastAsia="Times New Roman" w:hAnsi="Times New Roman" w:cs="Times New Roman"/>
          <w:color w:val="000000" w:themeColor="text1"/>
          <w:sz w:val="24"/>
          <w:szCs w:val="24"/>
        </w:rPr>
        <w:t>wetlands;</w:t>
      </w:r>
      <w:proofErr w:type="gramEnd"/>
    </w:p>
    <w:p w14:paraId="529D079E" w14:textId="77777777" w:rsidR="003730BD" w:rsidRPr="006A4DE4" w:rsidRDefault="003730BD" w:rsidP="00816A3B">
      <w:pPr>
        <w:spacing w:after="0" w:line="240" w:lineRule="auto"/>
        <w:ind w:left="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(5)</w:t>
      </w:r>
      <w:r w:rsidRPr="006A4DE4">
        <w:rPr>
          <w:rFonts w:ascii="Times New Roman" w:eastAsia="Times New Roman" w:hAnsi="Times New Roman" w:cs="Times New Roman"/>
          <w:color w:val="000000" w:themeColor="text1"/>
          <w:sz w:val="24"/>
          <w:szCs w:val="24"/>
        </w:rPr>
        <w:tab/>
        <w:t xml:space="preserve">Improve the urban physical, social, and economic </w:t>
      </w:r>
      <w:proofErr w:type="gramStart"/>
      <w:r w:rsidRPr="006A4DE4">
        <w:rPr>
          <w:rFonts w:ascii="Times New Roman" w:eastAsia="Times New Roman" w:hAnsi="Times New Roman" w:cs="Times New Roman"/>
          <w:color w:val="000000" w:themeColor="text1"/>
          <w:sz w:val="24"/>
          <w:szCs w:val="24"/>
        </w:rPr>
        <w:t>environment;</w:t>
      </w:r>
      <w:proofErr w:type="gramEnd"/>
    </w:p>
    <w:p w14:paraId="6D3A1010" w14:textId="77777777" w:rsidR="003730BD" w:rsidRPr="006A4DE4" w:rsidRDefault="003730BD" w:rsidP="00816A3B">
      <w:pPr>
        <w:spacing w:after="0" w:line="240" w:lineRule="auto"/>
        <w:ind w:left="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(6)</w:t>
      </w:r>
      <w:r w:rsidRPr="006A4DE4">
        <w:rPr>
          <w:rFonts w:ascii="Times New Roman" w:eastAsia="Times New Roman" w:hAnsi="Times New Roman" w:cs="Times New Roman"/>
          <w:color w:val="000000" w:themeColor="text1"/>
          <w:sz w:val="24"/>
          <w:szCs w:val="24"/>
        </w:rPr>
        <w:tab/>
        <w:t>Increase access to opportunities for disadvantaged persons; and</w:t>
      </w:r>
    </w:p>
    <w:p w14:paraId="67872395" w14:textId="77777777" w:rsidR="003730BD" w:rsidRPr="006A4DE4" w:rsidRDefault="003730BD" w:rsidP="00816A3B">
      <w:pPr>
        <w:spacing w:after="0" w:line="240" w:lineRule="auto"/>
        <w:ind w:left="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(7)</w:t>
      </w:r>
      <w:r w:rsidRPr="006A4DE4">
        <w:rPr>
          <w:rFonts w:ascii="Times New Roman" w:eastAsia="Times New Roman" w:hAnsi="Times New Roman" w:cs="Times New Roman"/>
          <w:color w:val="000000" w:themeColor="text1"/>
          <w:sz w:val="24"/>
          <w:szCs w:val="24"/>
        </w:rPr>
        <w:tab/>
        <w:t>Utilize a systematic, interdisciplinary approach in planning and decision making which may have an impact on the environment.</w:t>
      </w:r>
    </w:p>
    <w:p w14:paraId="466CE904" w14:textId="77777777" w:rsidR="003730BD" w:rsidRPr="006A4DE4" w:rsidRDefault="003730BD" w:rsidP="003730BD">
      <w:pPr>
        <w:spacing w:after="0" w:line="240" w:lineRule="auto"/>
        <w:rPr>
          <w:rFonts w:ascii="Times New Roman" w:eastAsia="Times New Roman" w:hAnsi="Times New Roman" w:cs="Times New Roman"/>
          <w:color w:val="000000" w:themeColor="text1"/>
          <w:sz w:val="24"/>
          <w:szCs w:val="24"/>
        </w:rPr>
      </w:pPr>
    </w:p>
    <w:p w14:paraId="53B05F64" w14:textId="52ADF8A9" w:rsidR="003730BD" w:rsidRPr="006A4DE4" w:rsidRDefault="003730BD" w:rsidP="003730BD">
      <w:pPr>
        <w:spacing w:after="0" w:line="240" w:lineRule="auto"/>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Dep’t of Transp. Order 5610.1C at 2-3.</w:t>
      </w:r>
      <w:r w:rsidR="00816A3B" w:rsidRPr="006A4DE4">
        <w:rPr>
          <w:rFonts w:ascii="Times New Roman" w:eastAsia="Times New Roman" w:hAnsi="Times New Roman" w:cs="Times New Roman"/>
          <w:color w:val="000000" w:themeColor="text1"/>
          <w:sz w:val="24"/>
          <w:szCs w:val="24"/>
        </w:rPr>
        <w:t xml:space="preserve"> </w:t>
      </w:r>
      <w:r w:rsidRPr="006A4DE4">
        <w:rPr>
          <w:rFonts w:ascii="Times New Roman" w:eastAsia="Times New Roman" w:hAnsi="Times New Roman" w:cs="Times New Roman"/>
          <w:color w:val="000000" w:themeColor="text1"/>
          <w:sz w:val="24"/>
          <w:szCs w:val="24"/>
        </w:rPr>
        <w:t>Therefore, the Department of Transportation established a critical standard in 1979 that environmental impacts shall be avoided or minimized “wherever possible.” Similarly, the DOT was ahead of its time in recognizing environmental injustice that can flow from transportation projects and established a policy to “increase access to opportunities for disadvantaged persons.” Dep’t of Transp. Order 5610.1C at 3.</w:t>
      </w:r>
    </w:p>
    <w:p w14:paraId="3048733E" w14:textId="77777777" w:rsidR="003730BD" w:rsidRPr="006A4DE4" w:rsidRDefault="003730BD" w:rsidP="003730BD">
      <w:pPr>
        <w:spacing w:after="0" w:line="240" w:lineRule="auto"/>
        <w:rPr>
          <w:rFonts w:ascii="Times New Roman" w:eastAsia="Times New Roman" w:hAnsi="Times New Roman" w:cs="Times New Roman"/>
          <w:color w:val="000000" w:themeColor="text1"/>
          <w:sz w:val="24"/>
          <w:szCs w:val="24"/>
        </w:rPr>
      </w:pPr>
    </w:p>
    <w:p w14:paraId="6679EB49" w14:textId="289787D8" w:rsidR="003730BD" w:rsidRPr="006A4DE4" w:rsidRDefault="003730BD" w:rsidP="00D14B64">
      <w:pPr>
        <w:pStyle w:val="Heading3"/>
        <w:numPr>
          <w:ilvl w:val="0"/>
          <w:numId w:val="21"/>
        </w:numPr>
        <w:ind w:left="2160" w:hanging="720"/>
        <w:rPr>
          <w:rFonts w:ascii="Times New Roman" w:eastAsia="Times New Roman" w:hAnsi="Times New Roman" w:cs="Times New Roman"/>
          <w:b/>
          <w:bCs/>
          <w:color w:val="000000" w:themeColor="text1"/>
        </w:rPr>
      </w:pPr>
      <w:r w:rsidRPr="006A4DE4">
        <w:rPr>
          <w:rFonts w:ascii="Times New Roman" w:eastAsia="Times New Roman" w:hAnsi="Times New Roman" w:cs="Times New Roman"/>
          <w:b/>
          <w:bCs/>
          <w:color w:val="000000" w:themeColor="text1"/>
        </w:rPr>
        <w:t>Order 5610.1C requires agencies to circulate an environmental assessment prior to issuing a Finding of No Significant Impact</w:t>
      </w:r>
    </w:p>
    <w:p w14:paraId="6E444095" w14:textId="77777777" w:rsidR="003730BD" w:rsidRPr="006A4DE4" w:rsidRDefault="003730BD" w:rsidP="003730BD">
      <w:pPr>
        <w:spacing w:after="0" w:line="240" w:lineRule="auto"/>
        <w:rPr>
          <w:rFonts w:ascii="Times New Roman" w:eastAsia="Times New Roman" w:hAnsi="Times New Roman" w:cs="Times New Roman"/>
          <w:color w:val="000000" w:themeColor="text1"/>
          <w:sz w:val="24"/>
          <w:szCs w:val="24"/>
        </w:rPr>
      </w:pPr>
    </w:p>
    <w:p w14:paraId="4B6E9801" w14:textId="77777777" w:rsidR="003730BD" w:rsidRPr="006A4DE4" w:rsidRDefault="003730BD" w:rsidP="00CC3901">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Order 5610.1C mandates that “a copy of the environmental assessment should be made available to the public for a period of not less than 30 days before the finding of no significant impact is made and the action is implemented” where the action is “one without precedent” or the action “is or is closely </w:t>
      </w:r>
      <w:proofErr w:type="gramStart"/>
      <w:r w:rsidRPr="006A4DE4">
        <w:rPr>
          <w:rFonts w:ascii="Times New Roman" w:eastAsia="Times New Roman" w:hAnsi="Times New Roman" w:cs="Times New Roman"/>
          <w:color w:val="000000" w:themeColor="text1"/>
          <w:sz w:val="24"/>
          <w:szCs w:val="24"/>
        </w:rPr>
        <w:t>similar to</w:t>
      </w:r>
      <w:proofErr w:type="gramEnd"/>
      <w:r w:rsidRPr="006A4DE4">
        <w:rPr>
          <w:rFonts w:ascii="Times New Roman" w:eastAsia="Times New Roman" w:hAnsi="Times New Roman" w:cs="Times New Roman"/>
          <w:color w:val="000000" w:themeColor="text1"/>
          <w:sz w:val="24"/>
          <w:szCs w:val="24"/>
        </w:rPr>
        <w:t xml:space="preserve"> one which normally requires an environmental impact statement.”  Dep’t of Transp. Order 5610.1C at 6; 40 C.F.R. § 1501.4(e)(2).</w:t>
      </w:r>
    </w:p>
    <w:p w14:paraId="6CCA2C36" w14:textId="77777777" w:rsidR="003730BD" w:rsidRPr="006A4DE4" w:rsidRDefault="003730BD" w:rsidP="003730BD">
      <w:pPr>
        <w:spacing w:after="0" w:line="240" w:lineRule="auto"/>
        <w:rPr>
          <w:rFonts w:ascii="Times New Roman" w:eastAsia="Times New Roman" w:hAnsi="Times New Roman" w:cs="Times New Roman"/>
          <w:color w:val="000000" w:themeColor="text1"/>
          <w:sz w:val="24"/>
          <w:szCs w:val="24"/>
        </w:rPr>
      </w:pPr>
    </w:p>
    <w:p w14:paraId="418E0F2F" w14:textId="5604BBC2" w:rsidR="00CC3901" w:rsidRPr="006A4DE4" w:rsidRDefault="003730BD" w:rsidP="00CC3901">
      <w:pPr>
        <w:pStyle w:val="Heading3"/>
        <w:numPr>
          <w:ilvl w:val="0"/>
          <w:numId w:val="21"/>
        </w:numPr>
        <w:spacing w:before="120" w:after="120" w:line="240" w:lineRule="auto"/>
        <w:ind w:left="2160" w:hanging="720"/>
        <w:rPr>
          <w:rFonts w:ascii="Times New Roman" w:eastAsia="Times New Roman" w:hAnsi="Times New Roman" w:cs="Times New Roman"/>
          <w:b/>
          <w:bCs/>
          <w:color w:val="000000" w:themeColor="text1"/>
        </w:rPr>
      </w:pPr>
      <w:r w:rsidRPr="006A4DE4">
        <w:rPr>
          <w:rFonts w:ascii="Times New Roman" w:eastAsia="Times New Roman" w:hAnsi="Times New Roman" w:cs="Times New Roman"/>
          <w:b/>
          <w:bCs/>
          <w:color w:val="000000" w:themeColor="text1"/>
        </w:rPr>
        <w:t>Order 5610.1C requires documentation of compliance with Section 4(f) of the DOT Act.</w:t>
      </w:r>
    </w:p>
    <w:p w14:paraId="253893EB" w14:textId="0ECA537B" w:rsidR="003730BD" w:rsidRPr="006A4DE4" w:rsidRDefault="003730BD" w:rsidP="00B104D4">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Section 4(f) of the U.S. Department of Transportation Act of 1966, now codified in 49 U.S.C. §303 and 23 U.S.C. §138, provides for consideration of park and recreation lands, wildlife and waterfowl refuges, and historic sites during transportation project development. Order 5610.1C recognizes that any “action having more than a minimal effect on lands protected under section 4(f) of the DOT Act will normally require the preparation of an environmental [impact] statement.” Dep’t of Transp. Order 5610.1C at 14.  The order also recognizes that “[i]f an environmental [impact] statement is not required, the material called for in paragraph 4 of Attachment 2 shall be set forth in a separate document, accompanied by a FONSI or a determination that the section 4(f) involvement is minimal and that the action is categorically excluded.” Dep’t of Transp. Order 5610.1C at 15.</w:t>
      </w:r>
    </w:p>
    <w:p w14:paraId="43DEFC85" w14:textId="58432051" w:rsidR="003730BD" w:rsidRPr="006A4DE4" w:rsidRDefault="003730BD" w:rsidP="00B104D4">
      <w:pPr>
        <w:pStyle w:val="Heading3"/>
        <w:numPr>
          <w:ilvl w:val="0"/>
          <w:numId w:val="21"/>
        </w:numPr>
        <w:spacing w:before="120" w:after="120" w:line="240" w:lineRule="auto"/>
        <w:ind w:left="2160" w:hanging="720"/>
        <w:rPr>
          <w:rFonts w:ascii="Times New Roman" w:eastAsia="Times New Roman" w:hAnsi="Times New Roman" w:cs="Times New Roman"/>
          <w:b/>
          <w:bCs/>
          <w:color w:val="000000" w:themeColor="text1"/>
        </w:rPr>
      </w:pPr>
      <w:r w:rsidRPr="006A4DE4">
        <w:rPr>
          <w:rFonts w:ascii="Times New Roman" w:eastAsia="Times New Roman" w:hAnsi="Times New Roman" w:cs="Times New Roman"/>
          <w:b/>
          <w:bCs/>
          <w:color w:val="000000" w:themeColor="text1"/>
        </w:rPr>
        <w:t>Order 5610.1C deemed an environmental impact statement valid for three years</w:t>
      </w:r>
    </w:p>
    <w:p w14:paraId="307272EA" w14:textId="77777777" w:rsidR="00871A1B" w:rsidRPr="006A4DE4" w:rsidRDefault="003730BD" w:rsidP="00871A1B">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Under Order 5610.1C, “the draft EIS may be assumed to be valid for a period of three years.” Dep’t of Transp. Order 5610.1C at 18. Where a draft EIS is “not submitted to the approving official within three years from the date of the draft EIS circulation, a written reevaluation </w:t>
      </w:r>
      <w:proofErr w:type="spellStart"/>
      <w:r w:rsidRPr="006A4DE4">
        <w:rPr>
          <w:rFonts w:ascii="Times New Roman" w:eastAsia="Times New Roman" w:hAnsi="Times New Roman" w:cs="Times New Roman"/>
          <w:color w:val="000000" w:themeColor="text1"/>
          <w:sz w:val="24"/>
          <w:szCs w:val="24"/>
        </w:rPr>
        <w:t>fo</w:t>
      </w:r>
      <w:proofErr w:type="spellEnd"/>
      <w:r w:rsidRPr="006A4DE4">
        <w:rPr>
          <w:rFonts w:ascii="Times New Roman" w:eastAsia="Times New Roman" w:hAnsi="Times New Roman" w:cs="Times New Roman"/>
          <w:color w:val="000000" w:themeColor="text1"/>
          <w:sz w:val="24"/>
          <w:szCs w:val="24"/>
        </w:rPr>
        <w:t xml:space="preserve"> the draft shall be prepared…” Id. Where changes have occurred that would be significant to the proposed action, “a supplement to the draft EIS or a new draft statement shall be prepared and circulated.” Id.  A written reevaluation should be completed, unless the EIS is being tiered, “[i]f major steps toward implementation of the proposed action… have not commenced within three years from the date of approval of the final EIS.”  Under Order 5610.1C, “the draft EIS may be assumed to be valid for a period of three years.” Dep’t of Transp. Order 5610.1C at 19. Similarly, “[i]f major steps toward implementation of the proposed action have not occurred within five years from the date of approval of the final EIS… the responsible Federal official shall prepare a written reevaluation of the adequacy, accuracy, and validity of the EIS.” Id.</w:t>
      </w:r>
    </w:p>
    <w:p w14:paraId="27EDD614" w14:textId="0C4516E6" w:rsidR="00CB0357" w:rsidRPr="006A4DE4" w:rsidRDefault="00B5400D" w:rsidP="00EE716A">
      <w:pPr>
        <w:pStyle w:val="Heading2"/>
        <w:numPr>
          <w:ilvl w:val="0"/>
          <w:numId w:val="39"/>
        </w:numPr>
        <w:spacing w:before="120" w:after="120" w:line="240" w:lineRule="auto"/>
        <w:ind w:left="1440" w:hanging="720"/>
        <w:rPr>
          <w:rFonts w:ascii="Times New Roman" w:eastAsia="Times New Roman" w:hAnsi="Times New Roman" w:cs="Times New Roman"/>
          <w:b/>
          <w:bCs/>
          <w:color w:val="000000" w:themeColor="text1"/>
          <w:sz w:val="24"/>
          <w:szCs w:val="24"/>
        </w:rPr>
      </w:pPr>
      <w:r w:rsidRPr="006A4DE4">
        <w:rPr>
          <w:rFonts w:ascii="Times New Roman" w:eastAsia="Times New Roman" w:hAnsi="Times New Roman" w:cs="Times New Roman"/>
          <w:b/>
          <w:bCs/>
          <w:color w:val="000000" w:themeColor="text1"/>
          <w:sz w:val="24"/>
          <w:szCs w:val="24"/>
        </w:rPr>
        <w:t xml:space="preserve">DOT’s Proposed Rule </w:t>
      </w:r>
    </w:p>
    <w:p w14:paraId="68C7F203" w14:textId="28AFFF2C" w:rsidR="00CB0357" w:rsidRPr="006A4DE4" w:rsidRDefault="00985855" w:rsidP="00EE716A">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DOT’s Proposed Rule</w:t>
      </w:r>
      <w:r w:rsidR="00CB0357" w:rsidRPr="006A4DE4">
        <w:rPr>
          <w:rFonts w:ascii="Times New Roman" w:eastAsia="Times New Roman" w:hAnsi="Times New Roman" w:cs="Times New Roman"/>
          <w:color w:val="000000" w:themeColor="text1"/>
          <w:sz w:val="24"/>
          <w:szCs w:val="24"/>
        </w:rPr>
        <w:t xml:space="preserve"> abandon</w:t>
      </w:r>
      <w:r w:rsidRPr="006A4DE4">
        <w:rPr>
          <w:rFonts w:ascii="Times New Roman" w:eastAsia="Times New Roman" w:hAnsi="Times New Roman" w:cs="Times New Roman"/>
          <w:color w:val="000000" w:themeColor="text1"/>
          <w:sz w:val="24"/>
          <w:szCs w:val="24"/>
        </w:rPr>
        <w:t xml:space="preserve">s </w:t>
      </w:r>
      <w:r w:rsidR="00CB0357" w:rsidRPr="006A4DE4">
        <w:rPr>
          <w:rFonts w:ascii="Times New Roman" w:eastAsia="Times New Roman" w:hAnsi="Times New Roman" w:cs="Times New Roman"/>
          <w:color w:val="000000" w:themeColor="text1"/>
          <w:sz w:val="24"/>
          <w:szCs w:val="24"/>
        </w:rPr>
        <w:t>more than forty years of DOT policy to avoid and minimize environmental impacts “wherever possible.” Dep’t of Transp. Order 5610.1C at 2. Instead, DOT states a new environmental review policy that focuses on “</w:t>
      </w:r>
      <w:proofErr w:type="spellStart"/>
      <w:r w:rsidR="00CB0357" w:rsidRPr="006A4DE4">
        <w:rPr>
          <w:rFonts w:ascii="Times New Roman" w:eastAsia="Times New Roman" w:hAnsi="Times New Roman" w:cs="Times New Roman"/>
          <w:color w:val="000000" w:themeColor="text1"/>
          <w:sz w:val="24"/>
          <w:szCs w:val="24"/>
        </w:rPr>
        <w:t>ensur</w:t>
      </w:r>
      <w:proofErr w:type="spellEnd"/>
      <w:r w:rsidR="00CB0357" w:rsidRPr="006A4DE4">
        <w:rPr>
          <w:rFonts w:ascii="Times New Roman" w:eastAsia="Times New Roman" w:hAnsi="Times New Roman" w:cs="Times New Roman"/>
          <w:color w:val="000000" w:themeColor="text1"/>
          <w:sz w:val="24"/>
          <w:szCs w:val="24"/>
        </w:rPr>
        <w:t>[</w:t>
      </w:r>
      <w:proofErr w:type="spellStart"/>
      <w:r w:rsidR="00CB0357" w:rsidRPr="006A4DE4">
        <w:rPr>
          <w:rFonts w:ascii="Times New Roman" w:eastAsia="Times New Roman" w:hAnsi="Times New Roman" w:cs="Times New Roman"/>
          <w:color w:val="000000" w:themeColor="text1"/>
          <w:sz w:val="24"/>
          <w:szCs w:val="24"/>
        </w:rPr>
        <w:t>ing</w:t>
      </w:r>
      <w:proofErr w:type="spellEnd"/>
      <w:r w:rsidR="00CB0357" w:rsidRPr="006A4DE4">
        <w:rPr>
          <w:rFonts w:ascii="Times New Roman" w:eastAsia="Times New Roman" w:hAnsi="Times New Roman" w:cs="Times New Roman"/>
          <w:color w:val="000000" w:themeColor="text1"/>
          <w:sz w:val="24"/>
          <w:szCs w:val="24"/>
        </w:rPr>
        <w:t>] the safest, most efficient and modern transportation system in the world.”  85 Fed. Reg. 74,654.  The new policy deigns to “</w:t>
      </w:r>
      <w:proofErr w:type="gramStart"/>
      <w:r w:rsidR="00CB0357" w:rsidRPr="006A4DE4">
        <w:rPr>
          <w:rFonts w:ascii="Times New Roman" w:eastAsia="Times New Roman" w:hAnsi="Times New Roman" w:cs="Times New Roman"/>
          <w:color w:val="000000" w:themeColor="text1"/>
          <w:sz w:val="24"/>
          <w:szCs w:val="24"/>
        </w:rPr>
        <w:t>consider[</w:t>
      </w:r>
      <w:proofErr w:type="gramEnd"/>
      <w:r w:rsidR="00CB0357" w:rsidRPr="006A4DE4">
        <w:rPr>
          <w:rFonts w:ascii="Times New Roman" w:eastAsia="Times New Roman" w:hAnsi="Times New Roman" w:cs="Times New Roman"/>
          <w:color w:val="000000" w:themeColor="text1"/>
          <w:sz w:val="24"/>
          <w:szCs w:val="24"/>
        </w:rPr>
        <w:t>] measures to avoid, minimize, or compensate for adverse environmental effects wherever practicable, consistent with other essential considerations of national policy.” 85 Fed. Reg. 74,654 (emphasis added).  This downgrading of environmental protection by the DOT is a devastating departure from decades of DOT policy focusing on protecting the environment wherever possible to now merely considering avoiding environmental harm when it is convenient and easy for the DOT and its operating agencies to do so.</w:t>
      </w:r>
    </w:p>
    <w:p w14:paraId="599C54D3" w14:textId="77777777" w:rsidR="00CB0357" w:rsidRPr="006A4DE4" w:rsidRDefault="00CB0357" w:rsidP="00CB0357">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DOT has not provided a rationale in the proposed regulation for abandoning its long-standing approach that robustly supports environmental protection in favor of a milquetoast nod to NEPA’s purpose.  Indeed, DOT’s proposed policy fails to satisfy NEPA’s charge that “it is the continuing responsibility of the Federal Government to use all practicable means…to fulfill the responsibilities of each generation as trustee of the environment for succeeding generations” and “attain the widest range of beneficial uses of the environment without degradation.” 42 U.S.C. § 4331(b).</w:t>
      </w:r>
    </w:p>
    <w:p w14:paraId="5D6F0688" w14:textId="77777777" w:rsidR="00CB0357" w:rsidRPr="006A4DE4" w:rsidRDefault="00CB0357" w:rsidP="00CB0357">
      <w:pPr>
        <w:spacing w:after="0" w:line="240" w:lineRule="auto"/>
        <w:rPr>
          <w:rFonts w:ascii="Times New Roman" w:eastAsia="Times New Roman" w:hAnsi="Times New Roman" w:cs="Times New Roman"/>
          <w:color w:val="000000" w:themeColor="text1"/>
          <w:sz w:val="24"/>
          <w:szCs w:val="24"/>
        </w:rPr>
      </w:pPr>
    </w:p>
    <w:p w14:paraId="6BAD5ED0" w14:textId="6714BEFD" w:rsidR="00CB0357" w:rsidRPr="006A4DE4" w:rsidRDefault="00CB0357" w:rsidP="00CB0357">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Likewise, the proposed regulations abandon DOT’s decades-long commitment to ‘[</w:t>
      </w:r>
      <w:proofErr w:type="spellStart"/>
      <w:r w:rsidRPr="006A4DE4">
        <w:rPr>
          <w:rFonts w:ascii="Times New Roman" w:eastAsia="Times New Roman" w:hAnsi="Times New Roman" w:cs="Times New Roman"/>
          <w:color w:val="000000" w:themeColor="text1"/>
          <w:sz w:val="24"/>
          <w:szCs w:val="24"/>
        </w:rPr>
        <w:t>i</w:t>
      </w:r>
      <w:proofErr w:type="spellEnd"/>
      <w:r w:rsidRPr="006A4DE4">
        <w:rPr>
          <w:rFonts w:ascii="Times New Roman" w:eastAsia="Times New Roman" w:hAnsi="Times New Roman" w:cs="Times New Roman"/>
          <w:color w:val="000000" w:themeColor="text1"/>
          <w:sz w:val="24"/>
          <w:szCs w:val="24"/>
        </w:rPr>
        <w:t>]</w:t>
      </w:r>
      <w:proofErr w:type="spellStart"/>
      <w:r w:rsidRPr="006A4DE4">
        <w:rPr>
          <w:rFonts w:ascii="Times New Roman" w:eastAsia="Times New Roman" w:hAnsi="Times New Roman" w:cs="Times New Roman"/>
          <w:color w:val="000000" w:themeColor="text1"/>
          <w:sz w:val="24"/>
          <w:szCs w:val="24"/>
        </w:rPr>
        <w:t>ncrease</w:t>
      </w:r>
      <w:proofErr w:type="spellEnd"/>
      <w:r w:rsidRPr="006A4DE4">
        <w:rPr>
          <w:rFonts w:ascii="Times New Roman" w:eastAsia="Times New Roman" w:hAnsi="Times New Roman" w:cs="Times New Roman"/>
          <w:color w:val="000000" w:themeColor="text1"/>
          <w:sz w:val="24"/>
          <w:szCs w:val="24"/>
        </w:rPr>
        <w:t xml:space="preserve"> access to opportunities for disadvantaged persons.”  Dep’t of Transp. Order 5610.1C at 3. DOT’s proposed regulations not only excise the agency’s prior commitment to environmental justice communities, but the proposed regulation’s radio silence on environmental justice issues is both a poor policy choice unsupported by the record and a violation of the law.  See infra, section [fill in].</w:t>
      </w:r>
    </w:p>
    <w:p w14:paraId="7CCD1CFF" w14:textId="77777777" w:rsidR="00CB0357" w:rsidRPr="006A4DE4" w:rsidRDefault="00CB0357" w:rsidP="00CB0357">
      <w:pPr>
        <w:rPr>
          <w:rFonts w:ascii="Times New Roman" w:hAnsi="Times New Roman" w:cs="Times New Roman"/>
          <w:color w:val="000000" w:themeColor="text1"/>
          <w:sz w:val="24"/>
          <w:szCs w:val="24"/>
        </w:rPr>
      </w:pPr>
    </w:p>
    <w:p w14:paraId="66156EB6" w14:textId="7872DA9A" w:rsidR="00AA5A25" w:rsidRPr="006A4DE4" w:rsidRDefault="00E45D32" w:rsidP="00AA5A25">
      <w:pPr>
        <w:pStyle w:val="Heading1"/>
        <w:numPr>
          <w:ilvl w:val="0"/>
          <w:numId w:val="14"/>
        </w:numPr>
        <w:ind w:hanging="720"/>
        <w:rPr>
          <w:rFonts w:ascii="Times New Roman" w:eastAsia="Times New Roman" w:hAnsi="Times New Roman" w:cs="Times New Roman"/>
          <w:b/>
          <w:bCs/>
          <w:color w:val="000000" w:themeColor="text1"/>
          <w:sz w:val="24"/>
          <w:szCs w:val="24"/>
        </w:rPr>
      </w:pPr>
      <w:r w:rsidRPr="006A4DE4">
        <w:rPr>
          <w:rFonts w:ascii="Times New Roman" w:eastAsia="Times New Roman" w:hAnsi="Times New Roman" w:cs="Times New Roman"/>
          <w:b/>
          <w:bCs/>
          <w:color w:val="000000" w:themeColor="text1"/>
          <w:sz w:val="24"/>
          <w:szCs w:val="24"/>
        </w:rPr>
        <w:t>T</w:t>
      </w:r>
      <w:r w:rsidR="00AA5A25" w:rsidRPr="006A4DE4">
        <w:rPr>
          <w:rFonts w:ascii="Times New Roman" w:hAnsi="Times New Roman" w:cs="Times New Roman"/>
          <w:b/>
          <w:bCs/>
          <w:color w:val="000000" w:themeColor="text1"/>
          <w:sz w:val="24"/>
          <w:szCs w:val="24"/>
        </w:rPr>
        <w:t>he Proposed Rule implements the revised Council on Environmental Quality regulations, which are arbitrary, capricious, and contrary to law </w:t>
      </w:r>
    </w:p>
    <w:p w14:paraId="5F451ECC" w14:textId="77777777" w:rsidR="00AA5A25" w:rsidRPr="006A4DE4" w:rsidRDefault="00AA5A25" w:rsidP="00AA5A25">
      <w:pPr>
        <w:pStyle w:val="Heading2"/>
        <w:numPr>
          <w:ilvl w:val="0"/>
          <w:numId w:val="48"/>
        </w:numPr>
        <w:ind w:left="1440" w:hanging="720"/>
        <w:rPr>
          <w:rFonts w:ascii="Times New Roman" w:hAnsi="Times New Roman" w:cs="Times New Roman"/>
          <w:b/>
          <w:bCs/>
          <w:color w:val="000000" w:themeColor="text1"/>
          <w:sz w:val="24"/>
          <w:szCs w:val="24"/>
        </w:rPr>
      </w:pPr>
      <w:r w:rsidRPr="006A4DE4">
        <w:rPr>
          <w:rFonts w:ascii="Times New Roman" w:hAnsi="Times New Roman" w:cs="Times New Roman"/>
          <w:b/>
          <w:bCs/>
          <w:color w:val="000000" w:themeColor="text1"/>
          <w:sz w:val="24"/>
          <w:szCs w:val="24"/>
        </w:rPr>
        <w:t>CEQ’s revised regulations are arbitrary, capricious, and contrary to law</w:t>
      </w:r>
    </w:p>
    <w:p w14:paraId="79BB5A69" w14:textId="77777777" w:rsidR="00AA5A25" w:rsidRPr="006A4DE4" w:rsidRDefault="00AA5A25" w:rsidP="007F4021">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Until recently, NEPA has been informed by regulations issued by the CEQ in 1978. 43 Fed. Reg. 55,978 (Nov. 29, 1978). CEQ’s 1978 regulations endured, almost unchanged, through administrations both Republican and Democratic, through times of economic downturn as well as expansion. From 1978 through 2020, CEQ’s regulations reinforced NEPA’s salutary goals. In July 2020, however, CEQ promulgated a new rule (CEQ’s 2020 Rule), 85 Fed. Reg. 43,304 (July 16, 2020), that attempts to reinterpret and revise the statute, and to eviscerate many of NEPA’s well-established, judicially recognized protections. </w:t>
      </w:r>
    </w:p>
    <w:p w14:paraId="45CA0963" w14:textId="33F2D59F" w:rsidR="00AA5A25" w:rsidRPr="006A4DE4" w:rsidRDefault="00AA5A25" w:rsidP="00C86446">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CEQ’s 2020 Rule eliminates environmental reviews for entire classes of projects. It purports to authorize federal agencies to ignore serious environmental impacts that those agencies have in the past been obliged to identify and consider. And it erects barriers to public engagement, and attempts to curtail judicial oversight, in direct opposition to NEPA’s goal of facilitating public participation and transparent, accountable governance. </w:t>
      </w:r>
      <w:r w:rsidR="00C86446" w:rsidRPr="006A4DE4">
        <w:rPr>
          <w:rFonts w:ascii="Times New Roman" w:hAnsi="Times New Roman" w:cs="Times New Roman"/>
          <w:color w:val="000000" w:themeColor="text1"/>
          <w:sz w:val="24"/>
          <w:szCs w:val="24"/>
        </w:rPr>
        <w:t xml:space="preserve">CEQ’s 2020 Rule causes real, foreseeable harms to people, communities, and the natural environment. It authorizes agencies to overlook cumulative or indirect impacts, with devastating consequences for health and the environment. It allows ill-considered and uninformed project approvals that contribute to or exacerbate pollution, especially in the most vulnerable and overburdened communities. </w:t>
      </w:r>
      <w:r w:rsidRPr="006A4DE4">
        <w:rPr>
          <w:rFonts w:ascii="Times New Roman" w:hAnsi="Times New Roman" w:cs="Times New Roman"/>
          <w:color w:val="000000" w:themeColor="text1"/>
          <w:sz w:val="24"/>
          <w:szCs w:val="24"/>
        </w:rPr>
        <w:t xml:space="preserve">In short, CEQ’s 2020 Rule authorizes federal agencies across the Executive Branch to stick their heads in the sand, rather than taking a “hard look” at the health and environmental consequences of their decisions, and to obscure agency </w:t>
      </w:r>
      <w:proofErr w:type="spellStart"/>
      <w:r w:rsidRPr="006A4DE4">
        <w:rPr>
          <w:rFonts w:ascii="Times New Roman" w:hAnsi="Times New Roman" w:cs="Times New Roman"/>
          <w:color w:val="000000" w:themeColor="text1"/>
          <w:sz w:val="24"/>
          <w:szCs w:val="24"/>
        </w:rPr>
        <w:t>decisionmaking</w:t>
      </w:r>
      <w:proofErr w:type="spellEnd"/>
      <w:r w:rsidRPr="006A4DE4">
        <w:rPr>
          <w:rFonts w:ascii="Times New Roman" w:hAnsi="Times New Roman" w:cs="Times New Roman"/>
          <w:color w:val="000000" w:themeColor="text1"/>
          <w:sz w:val="24"/>
          <w:szCs w:val="24"/>
        </w:rPr>
        <w:t xml:space="preserve"> from public and judicial scrutiny. </w:t>
      </w:r>
    </w:p>
    <w:p w14:paraId="72D6F420" w14:textId="77777777" w:rsidR="00AA5A25" w:rsidRPr="006A4DE4" w:rsidRDefault="00AA5A25" w:rsidP="008134D8">
      <w:pPr>
        <w:pStyle w:val="Heading2"/>
        <w:numPr>
          <w:ilvl w:val="0"/>
          <w:numId w:val="48"/>
        </w:numPr>
        <w:spacing w:before="120" w:after="120" w:line="240" w:lineRule="auto"/>
        <w:ind w:left="1440" w:hanging="720"/>
        <w:rPr>
          <w:rFonts w:ascii="Times New Roman" w:hAnsi="Times New Roman" w:cs="Times New Roman"/>
          <w:b/>
          <w:bCs/>
          <w:color w:val="000000" w:themeColor="text1"/>
          <w:sz w:val="24"/>
          <w:szCs w:val="24"/>
        </w:rPr>
      </w:pPr>
      <w:r w:rsidRPr="006A4DE4">
        <w:rPr>
          <w:rFonts w:ascii="Times New Roman" w:hAnsi="Times New Roman" w:cs="Times New Roman"/>
          <w:b/>
          <w:bCs/>
          <w:color w:val="000000" w:themeColor="text1"/>
          <w:sz w:val="24"/>
          <w:szCs w:val="24"/>
        </w:rPr>
        <w:t>DOT should wait to finalize its regulations until litigation regarding CEQ’s 2020 regulations has concluded </w:t>
      </w:r>
    </w:p>
    <w:p w14:paraId="3B6075AC" w14:textId="4753FF8A" w:rsidR="00AA5A25" w:rsidRPr="006A4DE4" w:rsidRDefault="00AA5A25" w:rsidP="003F6DCB">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Because of the CEQ’s 2020 Rule’s immeasurable flaws, it is the subject of at least five lawsuits in multiple jurisdictions. </w:t>
      </w:r>
      <w:r w:rsidR="003F6DCB" w:rsidRPr="006A4DE4">
        <w:rPr>
          <w:rFonts w:ascii="Times New Roman" w:hAnsi="Times New Roman" w:cs="Times New Roman"/>
          <w:i/>
          <w:iCs/>
          <w:color w:val="000000" w:themeColor="text1"/>
          <w:sz w:val="24"/>
          <w:szCs w:val="24"/>
        </w:rPr>
        <w:t>See Environmental Justice Health Alliance v. Council on Environmental Quality</w:t>
      </w:r>
      <w:r w:rsidR="003F6DCB" w:rsidRPr="006A4DE4">
        <w:rPr>
          <w:rFonts w:ascii="Times New Roman" w:hAnsi="Times New Roman" w:cs="Times New Roman"/>
          <w:color w:val="000000" w:themeColor="text1"/>
          <w:sz w:val="24"/>
          <w:szCs w:val="24"/>
        </w:rPr>
        <w:t xml:space="preserve">, No. 20-cv-6143, 2020 WL 4547942 (S.D.N.Y. Aug. 6, 2020); </w:t>
      </w:r>
      <w:r w:rsidR="003F6DCB" w:rsidRPr="006A4DE4">
        <w:rPr>
          <w:rFonts w:ascii="Times New Roman" w:hAnsi="Times New Roman" w:cs="Times New Roman"/>
          <w:i/>
          <w:iCs/>
          <w:color w:val="000000" w:themeColor="text1"/>
          <w:sz w:val="24"/>
          <w:szCs w:val="24"/>
        </w:rPr>
        <w:t>Wild Virginia v. Council on Environmental Quality</w:t>
      </w:r>
      <w:r w:rsidR="003F6DCB" w:rsidRPr="006A4DE4">
        <w:rPr>
          <w:rFonts w:ascii="Times New Roman" w:hAnsi="Times New Roman" w:cs="Times New Roman"/>
          <w:color w:val="000000" w:themeColor="text1"/>
          <w:sz w:val="24"/>
          <w:szCs w:val="24"/>
        </w:rPr>
        <w:t xml:space="preserve">, No. 3:20-cv-00045, 2020 WL 5494519 (W.D. Va.); </w:t>
      </w:r>
      <w:r w:rsidR="003F6DCB" w:rsidRPr="006A4DE4">
        <w:rPr>
          <w:rFonts w:ascii="Times New Roman" w:hAnsi="Times New Roman" w:cs="Times New Roman"/>
          <w:i/>
          <w:iCs/>
          <w:color w:val="000000" w:themeColor="text1"/>
          <w:sz w:val="24"/>
          <w:szCs w:val="24"/>
        </w:rPr>
        <w:t>Alaska Community Action on Toxics v. Council on Environmental Quality</w:t>
      </w:r>
      <w:r w:rsidR="003F6DCB" w:rsidRPr="006A4DE4">
        <w:rPr>
          <w:rFonts w:ascii="Times New Roman" w:hAnsi="Times New Roman" w:cs="Times New Roman"/>
          <w:color w:val="000000" w:themeColor="text1"/>
          <w:sz w:val="24"/>
          <w:szCs w:val="24"/>
        </w:rPr>
        <w:t xml:space="preserve">, 3:20-cv-5199, 2020 WL 4368890 (N.D. Cal. Jul. 29, 2020); </w:t>
      </w:r>
      <w:r w:rsidR="003F6DCB" w:rsidRPr="006A4DE4">
        <w:rPr>
          <w:rFonts w:ascii="Times New Roman" w:hAnsi="Times New Roman" w:cs="Times New Roman"/>
          <w:i/>
          <w:iCs/>
          <w:color w:val="000000" w:themeColor="text1"/>
          <w:sz w:val="24"/>
          <w:szCs w:val="24"/>
        </w:rPr>
        <w:t>State of California v. Council on Environmental Quality</w:t>
      </w:r>
      <w:r w:rsidR="003F6DCB" w:rsidRPr="006A4DE4">
        <w:rPr>
          <w:rFonts w:ascii="Times New Roman" w:hAnsi="Times New Roman" w:cs="Times New Roman"/>
          <w:color w:val="000000" w:themeColor="text1"/>
          <w:sz w:val="24"/>
          <w:szCs w:val="24"/>
        </w:rPr>
        <w:t xml:space="preserve">, No. 4:20-cv-06057 (N.D. Cal.); </w:t>
      </w:r>
      <w:r w:rsidR="003F6DCB" w:rsidRPr="006A4DE4">
        <w:rPr>
          <w:rFonts w:ascii="Times New Roman" w:hAnsi="Times New Roman" w:cs="Times New Roman"/>
          <w:i/>
          <w:iCs/>
          <w:color w:val="000000" w:themeColor="text1"/>
          <w:sz w:val="24"/>
          <w:szCs w:val="24"/>
        </w:rPr>
        <w:t>Iowa Citizens for Community Improvement v. Council on Environmental Quality</w:t>
      </w:r>
      <w:r w:rsidR="003F6DCB" w:rsidRPr="006A4DE4">
        <w:rPr>
          <w:rFonts w:ascii="Times New Roman" w:hAnsi="Times New Roman" w:cs="Times New Roman"/>
          <w:color w:val="000000" w:themeColor="text1"/>
          <w:sz w:val="24"/>
          <w:szCs w:val="24"/>
        </w:rPr>
        <w:t>, No. 1:20-cv-02715 (D.D.C.). Several of t</w:t>
      </w:r>
      <w:r w:rsidRPr="006A4DE4">
        <w:rPr>
          <w:rFonts w:ascii="Times New Roman" w:hAnsi="Times New Roman" w:cs="Times New Roman"/>
          <w:color w:val="000000" w:themeColor="text1"/>
          <w:sz w:val="24"/>
          <w:szCs w:val="24"/>
        </w:rPr>
        <w:t>he undersigned commenters are plaintiffs in at least two of those cases. The cases challenging the CEQ’s 2020 regulations are currently being prosecuted by environmental organizations, environmental justice organizations, animal rights organizations, and states’ attorneys general, alike. While each plaintiff group objects to different aspects of the arbitrary rule, all plaintiffs argue that CEQ’s 2020 Rule is arbitrary, capricious, and contrary to law.</w:t>
      </w:r>
    </w:p>
    <w:p w14:paraId="7E8F1FAC" w14:textId="53D4ABC1" w:rsidR="00AA5A25" w:rsidRPr="006A4DE4" w:rsidRDefault="00AA5A25" w:rsidP="008134D8">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Because the Proposed Rule relies on and incorporates by reference many aspects of CEQ’s 2020 Rule, DOT should wait until litigation challenging CEQ’s 2020 Rule </w:t>
      </w:r>
      <w:r w:rsidR="006F64B7" w:rsidRPr="006A4DE4">
        <w:rPr>
          <w:rFonts w:ascii="Times New Roman" w:hAnsi="Times New Roman" w:cs="Times New Roman"/>
          <w:color w:val="000000" w:themeColor="text1"/>
          <w:sz w:val="24"/>
          <w:szCs w:val="24"/>
        </w:rPr>
        <w:t xml:space="preserve">is </w:t>
      </w:r>
      <w:r w:rsidRPr="006A4DE4">
        <w:rPr>
          <w:rFonts w:ascii="Times New Roman" w:hAnsi="Times New Roman" w:cs="Times New Roman"/>
          <w:color w:val="000000" w:themeColor="text1"/>
          <w:sz w:val="24"/>
          <w:szCs w:val="24"/>
        </w:rPr>
        <w:t xml:space="preserve">complete before proceeding with the instant rulemaking. Any other course would be an inefficient waste of resources. </w:t>
      </w:r>
    </w:p>
    <w:p w14:paraId="53BF01AB" w14:textId="77777777" w:rsidR="00AA5A25" w:rsidRPr="006A4DE4" w:rsidRDefault="00AA5A25" w:rsidP="008134D8">
      <w:pPr>
        <w:pStyle w:val="Heading2"/>
        <w:numPr>
          <w:ilvl w:val="0"/>
          <w:numId w:val="48"/>
        </w:numPr>
        <w:spacing w:before="120" w:after="120" w:line="240" w:lineRule="auto"/>
        <w:ind w:left="1440" w:hanging="720"/>
        <w:rPr>
          <w:rFonts w:ascii="Times New Roman" w:hAnsi="Times New Roman" w:cs="Times New Roman"/>
          <w:b/>
          <w:bCs/>
          <w:color w:val="000000" w:themeColor="text1"/>
          <w:sz w:val="24"/>
          <w:szCs w:val="24"/>
        </w:rPr>
      </w:pPr>
      <w:r w:rsidRPr="006A4DE4">
        <w:rPr>
          <w:rFonts w:ascii="Times New Roman" w:hAnsi="Times New Roman" w:cs="Times New Roman"/>
          <w:b/>
          <w:bCs/>
          <w:color w:val="000000" w:themeColor="text1"/>
          <w:sz w:val="24"/>
          <w:szCs w:val="24"/>
        </w:rPr>
        <w:t xml:space="preserve">The Proposed Rule offers insufficient clarity on its terms and justification </w:t>
      </w:r>
    </w:p>
    <w:p w14:paraId="451730DC" w14:textId="6790FA57" w:rsidR="00CF6A7C" w:rsidRPr="006A4DE4" w:rsidRDefault="00AA5A25" w:rsidP="008134D8">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In issuing its Proposed Rule, DOT purports to incorporate the CEQ’s 2020 Regulations implementing NEPA, largely by cross-referencing the definitions section under that rule. However, in doing so, DOT fails to provide sufficient specificity about which part of CEQ’s 2020 Regulations it seeks to adopt. Nor does DOT specify which aspects of CEQ’s justification for its own regulation DOT seeks to advance in support of its own rule. This absence of clarity leaves the public without a complete or adequate understanding of the terms of DOT’s Proposed Rule, much less an understanding of DOT’s justification for the substantial changes it seeks to make. This absence of reasoning exemplifies the very essence of arbitrary </w:t>
      </w:r>
      <w:proofErr w:type="spellStart"/>
      <w:r w:rsidRPr="006A4DE4">
        <w:rPr>
          <w:rFonts w:ascii="Times New Roman" w:hAnsi="Times New Roman" w:cs="Times New Roman"/>
          <w:color w:val="000000" w:themeColor="text1"/>
          <w:sz w:val="24"/>
          <w:szCs w:val="24"/>
        </w:rPr>
        <w:t>decisionmaking</w:t>
      </w:r>
      <w:proofErr w:type="spellEnd"/>
      <w:r w:rsidRPr="006A4DE4">
        <w:rPr>
          <w:rFonts w:ascii="Times New Roman" w:hAnsi="Times New Roman" w:cs="Times New Roman"/>
          <w:color w:val="000000" w:themeColor="text1"/>
          <w:sz w:val="24"/>
          <w:szCs w:val="24"/>
        </w:rPr>
        <w:t>.</w:t>
      </w:r>
    </w:p>
    <w:p w14:paraId="0AAA501D" w14:textId="78825BC5" w:rsidR="003125CC" w:rsidRPr="006A4DE4" w:rsidRDefault="003125CC" w:rsidP="008134D8">
      <w:pPr>
        <w:pStyle w:val="Heading1"/>
        <w:numPr>
          <w:ilvl w:val="0"/>
          <w:numId w:val="14"/>
        </w:numPr>
        <w:ind w:hanging="720"/>
        <w:rPr>
          <w:rFonts w:ascii="Times New Roman" w:eastAsia="Times New Roman" w:hAnsi="Times New Roman" w:cs="Times New Roman"/>
          <w:b/>
          <w:bCs/>
          <w:color w:val="000000" w:themeColor="text1"/>
          <w:sz w:val="24"/>
          <w:szCs w:val="24"/>
        </w:rPr>
      </w:pPr>
      <w:r w:rsidRPr="006A4DE4">
        <w:rPr>
          <w:rFonts w:ascii="Times New Roman" w:eastAsia="Times New Roman" w:hAnsi="Times New Roman" w:cs="Times New Roman"/>
          <w:b/>
          <w:bCs/>
          <w:color w:val="000000" w:themeColor="text1"/>
          <w:sz w:val="24"/>
          <w:szCs w:val="24"/>
        </w:rPr>
        <w:t xml:space="preserve">The </w:t>
      </w:r>
      <w:r w:rsidR="00CA0495" w:rsidRPr="006A4DE4">
        <w:rPr>
          <w:rFonts w:ascii="Times New Roman" w:eastAsia="Times New Roman" w:hAnsi="Times New Roman" w:cs="Times New Roman"/>
          <w:b/>
          <w:bCs/>
          <w:color w:val="000000" w:themeColor="text1"/>
          <w:sz w:val="24"/>
          <w:szCs w:val="24"/>
        </w:rPr>
        <w:t>P</w:t>
      </w:r>
      <w:r w:rsidRPr="006A4DE4">
        <w:rPr>
          <w:rFonts w:ascii="Times New Roman" w:eastAsia="Times New Roman" w:hAnsi="Times New Roman" w:cs="Times New Roman"/>
          <w:b/>
          <w:bCs/>
          <w:color w:val="000000" w:themeColor="text1"/>
          <w:sz w:val="24"/>
          <w:szCs w:val="24"/>
        </w:rPr>
        <w:t xml:space="preserve">roposed </w:t>
      </w:r>
      <w:r w:rsidR="00CA0495" w:rsidRPr="006A4DE4">
        <w:rPr>
          <w:rFonts w:ascii="Times New Roman" w:eastAsia="Times New Roman" w:hAnsi="Times New Roman" w:cs="Times New Roman"/>
          <w:b/>
          <w:bCs/>
          <w:color w:val="000000" w:themeColor="text1"/>
          <w:sz w:val="24"/>
          <w:szCs w:val="24"/>
        </w:rPr>
        <w:t>Ru</w:t>
      </w:r>
      <w:r w:rsidRPr="006A4DE4">
        <w:rPr>
          <w:rFonts w:ascii="Times New Roman" w:eastAsia="Times New Roman" w:hAnsi="Times New Roman" w:cs="Times New Roman"/>
          <w:b/>
          <w:bCs/>
          <w:color w:val="000000" w:themeColor="text1"/>
          <w:sz w:val="24"/>
          <w:szCs w:val="24"/>
        </w:rPr>
        <w:t xml:space="preserve">le </w:t>
      </w:r>
      <w:r w:rsidR="00773B55" w:rsidRPr="006A4DE4">
        <w:rPr>
          <w:rFonts w:ascii="Times New Roman" w:eastAsia="Times New Roman" w:hAnsi="Times New Roman" w:cs="Times New Roman"/>
          <w:b/>
          <w:bCs/>
          <w:color w:val="000000" w:themeColor="text1"/>
          <w:sz w:val="24"/>
          <w:szCs w:val="24"/>
        </w:rPr>
        <w:t>v</w:t>
      </w:r>
      <w:r w:rsidRPr="006A4DE4">
        <w:rPr>
          <w:rFonts w:ascii="Times New Roman" w:eastAsia="Times New Roman" w:hAnsi="Times New Roman" w:cs="Times New Roman"/>
          <w:b/>
          <w:bCs/>
          <w:color w:val="000000" w:themeColor="text1"/>
          <w:sz w:val="24"/>
          <w:szCs w:val="24"/>
        </w:rPr>
        <w:t xml:space="preserve">iolates Executive Order 12,898 and </w:t>
      </w:r>
      <w:r w:rsidR="00773B55" w:rsidRPr="006A4DE4">
        <w:rPr>
          <w:rFonts w:ascii="Times New Roman" w:eastAsia="Times New Roman" w:hAnsi="Times New Roman" w:cs="Times New Roman"/>
          <w:b/>
          <w:bCs/>
          <w:color w:val="000000" w:themeColor="text1"/>
          <w:sz w:val="24"/>
          <w:szCs w:val="24"/>
        </w:rPr>
        <w:t>w</w:t>
      </w:r>
      <w:r w:rsidR="00F322CD" w:rsidRPr="006A4DE4">
        <w:rPr>
          <w:rFonts w:ascii="Times New Roman" w:eastAsia="Times New Roman" w:hAnsi="Times New Roman" w:cs="Times New Roman"/>
          <w:b/>
          <w:bCs/>
          <w:color w:val="000000" w:themeColor="text1"/>
          <w:sz w:val="24"/>
          <w:szCs w:val="24"/>
        </w:rPr>
        <w:t>ou</w:t>
      </w:r>
      <w:r w:rsidRPr="006A4DE4">
        <w:rPr>
          <w:rFonts w:ascii="Times New Roman" w:eastAsia="Times New Roman" w:hAnsi="Times New Roman" w:cs="Times New Roman"/>
          <w:b/>
          <w:bCs/>
          <w:color w:val="000000" w:themeColor="text1"/>
          <w:sz w:val="24"/>
          <w:szCs w:val="24"/>
        </w:rPr>
        <w:t>l</w:t>
      </w:r>
      <w:r w:rsidR="00F322CD" w:rsidRPr="006A4DE4">
        <w:rPr>
          <w:rFonts w:ascii="Times New Roman" w:eastAsia="Times New Roman" w:hAnsi="Times New Roman" w:cs="Times New Roman"/>
          <w:b/>
          <w:bCs/>
          <w:color w:val="000000" w:themeColor="text1"/>
          <w:sz w:val="24"/>
          <w:szCs w:val="24"/>
        </w:rPr>
        <w:t>d</w:t>
      </w:r>
      <w:r w:rsidRPr="006A4DE4">
        <w:rPr>
          <w:rFonts w:ascii="Times New Roman" w:eastAsia="Times New Roman" w:hAnsi="Times New Roman" w:cs="Times New Roman"/>
          <w:b/>
          <w:bCs/>
          <w:color w:val="000000" w:themeColor="text1"/>
          <w:sz w:val="24"/>
          <w:szCs w:val="24"/>
        </w:rPr>
        <w:t xml:space="preserve"> </w:t>
      </w:r>
      <w:r w:rsidR="00773B55" w:rsidRPr="006A4DE4">
        <w:rPr>
          <w:rFonts w:ascii="Times New Roman" w:eastAsia="Times New Roman" w:hAnsi="Times New Roman" w:cs="Times New Roman"/>
          <w:b/>
          <w:bCs/>
          <w:color w:val="000000" w:themeColor="text1"/>
          <w:sz w:val="24"/>
          <w:szCs w:val="24"/>
        </w:rPr>
        <w:t>h</w:t>
      </w:r>
      <w:r w:rsidRPr="006A4DE4">
        <w:rPr>
          <w:rFonts w:ascii="Times New Roman" w:eastAsia="Times New Roman" w:hAnsi="Times New Roman" w:cs="Times New Roman"/>
          <w:b/>
          <w:bCs/>
          <w:color w:val="000000" w:themeColor="text1"/>
          <w:sz w:val="24"/>
          <w:szCs w:val="24"/>
        </w:rPr>
        <w:t xml:space="preserve">ave </w:t>
      </w:r>
      <w:r w:rsidR="00773B55" w:rsidRPr="006A4DE4">
        <w:rPr>
          <w:rFonts w:ascii="Times New Roman" w:eastAsia="Times New Roman" w:hAnsi="Times New Roman" w:cs="Times New Roman"/>
          <w:b/>
          <w:bCs/>
          <w:color w:val="000000" w:themeColor="text1"/>
          <w:sz w:val="24"/>
          <w:szCs w:val="24"/>
        </w:rPr>
        <w:t>d</w:t>
      </w:r>
      <w:r w:rsidRPr="006A4DE4">
        <w:rPr>
          <w:rFonts w:ascii="Times New Roman" w:eastAsia="Times New Roman" w:hAnsi="Times New Roman" w:cs="Times New Roman"/>
          <w:b/>
          <w:bCs/>
          <w:color w:val="000000" w:themeColor="text1"/>
          <w:sz w:val="24"/>
          <w:szCs w:val="24"/>
        </w:rPr>
        <w:t xml:space="preserve">isproportionate </w:t>
      </w:r>
      <w:r w:rsidR="00773B55" w:rsidRPr="006A4DE4">
        <w:rPr>
          <w:rFonts w:ascii="Times New Roman" w:eastAsia="Times New Roman" w:hAnsi="Times New Roman" w:cs="Times New Roman"/>
          <w:b/>
          <w:bCs/>
          <w:color w:val="000000" w:themeColor="text1"/>
          <w:sz w:val="24"/>
          <w:szCs w:val="24"/>
        </w:rPr>
        <w:t>i</w:t>
      </w:r>
      <w:r w:rsidRPr="006A4DE4">
        <w:rPr>
          <w:rFonts w:ascii="Times New Roman" w:eastAsia="Times New Roman" w:hAnsi="Times New Roman" w:cs="Times New Roman"/>
          <w:b/>
          <w:bCs/>
          <w:color w:val="000000" w:themeColor="text1"/>
          <w:sz w:val="24"/>
          <w:szCs w:val="24"/>
        </w:rPr>
        <w:t xml:space="preserve">mpacts on </w:t>
      </w:r>
      <w:r w:rsidR="00773B55" w:rsidRPr="006A4DE4">
        <w:rPr>
          <w:rFonts w:ascii="Times New Roman" w:eastAsia="Times New Roman" w:hAnsi="Times New Roman" w:cs="Times New Roman"/>
          <w:b/>
          <w:bCs/>
          <w:color w:val="000000" w:themeColor="text1"/>
          <w:sz w:val="24"/>
          <w:szCs w:val="24"/>
        </w:rPr>
        <w:t>c</w:t>
      </w:r>
      <w:r w:rsidRPr="006A4DE4">
        <w:rPr>
          <w:rFonts w:ascii="Times New Roman" w:eastAsia="Times New Roman" w:hAnsi="Times New Roman" w:cs="Times New Roman"/>
          <w:b/>
          <w:bCs/>
          <w:color w:val="000000" w:themeColor="text1"/>
          <w:sz w:val="24"/>
          <w:szCs w:val="24"/>
        </w:rPr>
        <w:t xml:space="preserve">ommunities </w:t>
      </w:r>
      <w:r w:rsidR="00773B55" w:rsidRPr="006A4DE4">
        <w:rPr>
          <w:rFonts w:ascii="Times New Roman" w:eastAsia="Times New Roman" w:hAnsi="Times New Roman" w:cs="Times New Roman"/>
          <w:b/>
          <w:bCs/>
          <w:color w:val="000000" w:themeColor="text1"/>
          <w:sz w:val="24"/>
          <w:szCs w:val="24"/>
        </w:rPr>
        <w:t>fa</w:t>
      </w:r>
      <w:r w:rsidRPr="006A4DE4">
        <w:rPr>
          <w:rFonts w:ascii="Times New Roman" w:eastAsia="Times New Roman" w:hAnsi="Times New Roman" w:cs="Times New Roman"/>
          <w:b/>
          <w:bCs/>
          <w:color w:val="000000" w:themeColor="text1"/>
          <w:sz w:val="24"/>
          <w:szCs w:val="24"/>
        </w:rPr>
        <w:t xml:space="preserve">cing </w:t>
      </w:r>
      <w:r w:rsidR="00773B55" w:rsidRPr="006A4DE4">
        <w:rPr>
          <w:rFonts w:ascii="Times New Roman" w:eastAsia="Times New Roman" w:hAnsi="Times New Roman" w:cs="Times New Roman"/>
          <w:b/>
          <w:bCs/>
          <w:color w:val="000000" w:themeColor="text1"/>
          <w:sz w:val="24"/>
          <w:szCs w:val="24"/>
        </w:rPr>
        <w:t>e</w:t>
      </w:r>
      <w:r w:rsidRPr="006A4DE4">
        <w:rPr>
          <w:rFonts w:ascii="Times New Roman" w:eastAsia="Times New Roman" w:hAnsi="Times New Roman" w:cs="Times New Roman"/>
          <w:b/>
          <w:bCs/>
          <w:color w:val="000000" w:themeColor="text1"/>
          <w:sz w:val="24"/>
          <w:szCs w:val="24"/>
        </w:rPr>
        <w:t xml:space="preserve">nvironmental </w:t>
      </w:r>
      <w:r w:rsidR="00773B55" w:rsidRPr="006A4DE4">
        <w:rPr>
          <w:rFonts w:ascii="Times New Roman" w:eastAsia="Times New Roman" w:hAnsi="Times New Roman" w:cs="Times New Roman"/>
          <w:b/>
          <w:bCs/>
          <w:color w:val="000000" w:themeColor="text1"/>
          <w:sz w:val="24"/>
          <w:szCs w:val="24"/>
        </w:rPr>
        <w:t>in</w:t>
      </w:r>
      <w:r w:rsidRPr="006A4DE4">
        <w:rPr>
          <w:rFonts w:ascii="Times New Roman" w:eastAsia="Times New Roman" w:hAnsi="Times New Roman" w:cs="Times New Roman"/>
          <w:b/>
          <w:bCs/>
          <w:color w:val="000000" w:themeColor="text1"/>
          <w:sz w:val="24"/>
          <w:szCs w:val="24"/>
        </w:rPr>
        <w:t>justices</w:t>
      </w:r>
    </w:p>
    <w:p w14:paraId="45F78371" w14:textId="2AFC8F2D" w:rsidR="003125CC" w:rsidRPr="006A4DE4" w:rsidRDefault="003125CC" w:rsidP="008134D8">
      <w:pPr>
        <w:pStyle w:val="Heading2"/>
        <w:numPr>
          <w:ilvl w:val="0"/>
          <w:numId w:val="26"/>
        </w:numPr>
        <w:spacing w:before="120" w:after="120" w:line="240" w:lineRule="auto"/>
        <w:ind w:left="1440" w:hanging="720"/>
        <w:rPr>
          <w:rFonts w:ascii="Times New Roman" w:eastAsia="Times New Roman" w:hAnsi="Times New Roman" w:cs="Times New Roman"/>
          <w:b/>
          <w:bCs/>
          <w:color w:val="000000" w:themeColor="text1"/>
          <w:sz w:val="24"/>
          <w:szCs w:val="24"/>
        </w:rPr>
      </w:pPr>
      <w:r w:rsidRPr="006A4DE4">
        <w:rPr>
          <w:rFonts w:ascii="Times New Roman" w:eastAsia="Times New Roman" w:hAnsi="Times New Roman" w:cs="Times New Roman"/>
          <w:b/>
          <w:bCs/>
          <w:color w:val="000000" w:themeColor="text1"/>
          <w:sz w:val="24"/>
          <w:szCs w:val="24"/>
        </w:rPr>
        <w:t xml:space="preserve">DOT’s </w:t>
      </w:r>
      <w:r w:rsidR="00F322CD" w:rsidRPr="006A4DE4">
        <w:rPr>
          <w:rFonts w:ascii="Times New Roman" w:eastAsia="Times New Roman" w:hAnsi="Times New Roman" w:cs="Times New Roman"/>
          <w:b/>
          <w:bCs/>
          <w:color w:val="000000" w:themeColor="text1"/>
          <w:sz w:val="24"/>
          <w:szCs w:val="24"/>
        </w:rPr>
        <w:t>p</w:t>
      </w:r>
      <w:r w:rsidRPr="006A4DE4">
        <w:rPr>
          <w:rFonts w:ascii="Times New Roman" w:eastAsia="Times New Roman" w:hAnsi="Times New Roman" w:cs="Times New Roman"/>
          <w:b/>
          <w:bCs/>
          <w:color w:val="000000" w:themeColor="text1"/>
          <w:sz w:val="24"/>
          <w:szCs w:val="24"/>
        </w:rPr>
        <w:t xml:space="preserve">rojects </w:t>
      </w:r>
      <w:r w:rsidR="00F322CD" w:rsidRPr="006A4DE4">
        <w:rPr>
          <w:rFonts w:ascii="Times New Roman" w:eastAsia="Times New Roman" w:hAnsi="Times New Roman" w:cs="Times New Roman"/>
          <w:b/>
          <w:bCs/>
          <w:color w:val="000000" w:themeColor="text1"/>
          <w:sz w:val="24"/>
          <w:szCs w:val="24"/>
        </w:rPr>
        <w:t>s</w:t>
      </w:r>
      <w:r w:rsidRPr="006A4DE4">
        <w:rPr>
          <w:rFonts w:ascii="Times New Roman" w:eastAsia="Times New Roman" w:hAnsi="Times New Roman" w:cs="Times New Roman"/>
          <w:b/>
          <w:bCs/>
          <w:color w:val="000000" w:themeColor="text1"/>
          <w:sz w:val="24"/>
          <w:szCs w:val="24"/>
        </w:rPr>
        <w:t xml:space="preserve">hare </w:t>
      </w:r>
      <w:r w:rsidR="00CA0495" w:rsidRPr="006A4DE4">
        <w:rPr>
          <w:rFonts w:ascii="Times New Roman" w:eastAsia="Times New Roman" w:hAnsi="Times New Roman" w:cs="Times New Roman"/>
          <w:b/>
          <w:bCs/>
          <w:color w:val="000000" w:themeColor="text1"/>
          <w:sz w:val="24"/>
          <w:szCs w:val="24"/>
        </w:rPr>
        <w:t>a l</w:t>
      </w:r>
      <w:r w:rsidRPr="006A4DE4">
        <w:rPr>
          <w:rFonts w:ascii="Times New Roman" w:eastAsia="Times New Roman" w:hAnsi="Times New Roman" w:cs="Times New Roman"/>
          <w:b/>
          <w:bCs/>
          <w:color w:val="000000" w:themeColor="text1"/>
          <w:sz w:val="24"/>
          <w:szCs w:val="24"/>
        </w:rPr>
        <w:t xml:space="preserve">egacy of </w:t>
      </w:r>
      <w:r w:rsidR="00CA0495" w:rsidRPr="006A4DE4">
        <w:rPr>
          <w:rFonts w:ascii="Times New Roman" w:eastAsia="Times New Roman" w:hAnsi="Times New Roman" w:cs="Times New Roman"/>
          <w:b/>
          <w:bCs/>
          <w:color w:val="000000" w:themeColor="text1"/>
          <w:sz w:val="24"/>
          <w:szCs w:val="24"/>
        </w:rPr>
        <w:t>d</w:t>
      </w:r>
      <w:r w:rsidRPr="006A4DE4">
        <w:rPr>
          <w:rFonts w:ascii="Times New Roman" w:eastAsia="Times New Roman" w:hAnsi="Times New Roman" w:cs="Times New Roman"/>
          <w:b/>
          <w:bCs/>
          <w:color w:val="000000" w:themeColor="text1"/>
          <w:sz w:val="24"/>
          <w:szCs w:val="24"/>
        </w:rPr>
        <w:t xml:space="preserve">iscriminatory </w:t>
      </w:r>
      <w:r w:rsidR="00CA0495" w:rsidRPr="006A4DE4">
        <w:rPr>
          <w:rFonts w:ascii="Times New Roman" w:eastAsia="Times New Roman" w:hAnsi="Times New Roman" w:cs="Times New Roman"/>
          <w:b/>
          <w:bCs/>
          <w:color w:val="000000" w:themeColor="text1"/>
          <w:sz w:val="24"/>
          <w:szCs w:val="24"/>
        </w:rPr>
        <w:t>a</w:t>
      </w:r>
      <w:r w:rsidRPr="006A4DE4">
        <w:rPr>
          <w:rFonts w:ascii="Times New Roman" w:eastAsia="Times New Roman" w:hAnsi="Times New Roman" w:cs="Times New Roman"/>
          <w:b/>
          <w:bCs/>
          <w:color w:val="000000" w:themeColor="text1"/>
          <w:sz w:val="24"/>
          <w:szCs w:val="24"/>
        </w:rPr>
        <w:t>ctivity</w:t>
      </w:r>
    </w:p>
    <w:p w14:paraId="437A5CF8" w14:textId="77777777" w:rsidR="003125CC" w:rsidRPr="006A4DE4" w:rsidRDefault="003125CC" w:rsidP="00F30438">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Surface transportation infrastructure projects have the potential to completely reorganize the social and physical fabric of the human environment by shaping the material conditions in which people live. The activities administered by DOT have overwhelmingly contributed to disproportionate adverse impacts on the human and natural environment of communities predominantly composed of people of color and low-income residents. </w:t>
      </w:r>
    </w:p>
    <w:p w14:paraId="484D648B" w14:textId="77777777" w:rsidR="003125CC" w:rsidRPr="006A4DE4" w:rsidRDefault="003125CC" w:rsidP="00F30438">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Since its beginning, DOT’s project siting decisions have been a primary driver of discriminatory practices used to decimate, displace, and deny low-income and communities of color access to a healthy, safe, and robust community under the ruse of “slum clearance.”</w:t>
      </w:r>
      <w:r w:rsidRPr="006A4DE4">
        <w:rPr>
          <w:rFonts w:ascii="Times New Roman" w:eastAsia="Times New Roman" w:hAnsi="Times New Roman" w:cs="Times New Roman"/>
          <w:color w:val="000000" w:themeColor="text1"/>
          <w:sz w:val="24"/>
          <w:szCs w:val="24"/>
          <w:vertAlign w:val="superscript"/>
        </w:rPr>
        <w:footnoteReference w:id="25"/>
      </w:r>
      <w:r w:rsidRPr="006A4DE4">
        <w:rPr>
          <w:rFonts w:ascii="Times New Roman" w:eastAsia="Times New Roman" w:hAnsi="Times New Roman" w:cs="Times New Roman"/>
          <w:color w:val="000000" w:themeColor="text1"/>
          <w:sz w:val="24"/>
          <w:szCs w:val="24"/>
        </w:rPr>
        <w:t xml:space="preserve"> Freeway projects were frequently used as tools to facilitate discriminatory practices that rendered more subtle redlining practices into concrete form solidifying spatially segregated living conditions on racial grounds and in many instances cleaving culturally significant Black and Brown neighborhoods like the </w:t>
      </w:r>
      <w:proofErr w:type="spellStart"/>
      <w:r w:rsidRPr="006A4DE4">
        <w:rPr>
          <w:rFonts w:ascii="Times New Roman" w:eastAsia="Times New Roman" w:hAnsi="Times New Roman" w:cs="Times New Roman"/>
          <w:color w:val="000000" w:themeColor="text1"/>
          <w:sz w:val="24"/>
          <w:szCs w:val="24"/>
        </w:rPr>
        <w:t>Tremé</w:t>
      </w:r>
      <w:proofErr w:type="spellEnd"/>
      <w:r w:rsidRPr="006A4DE4">
        <w:rPr>
          <w:rFonts w:ascii="Times New Roman" w:eastAsia="Times New Roman" w:hAnsi="Times New Roman" w:cs="Times New Roman"/>
          <w:color w:val="000000" w:themeColor="text1"/>
          <w:sz w:val="24"/>
          <w:szCs w:val="24"/>
        </w:rPr>
        <w:t xml:space="preserve"> neighborhood in New Orleans, L.A. where some of the most famous jazz musicians in American history were born.</w:t>
      </w:r>
      <w:r w:rsidRPr="006A4DE4">
        <w:rPr>
          <w:rFonts w:ascii="Times New Roman" w:eastAsia="Times New Roman" w:hAnsi="Times New Roman" w:cs="Times New Roman"/>
          <w:color w:val="000000" w:themeColor="text1"/>
          <w:sz w:val="24"/>
          <w:szCs w:val="24"/>
          <w:vertAlign w:val="superscript"/>
        </w:rPr>
        <w:footnoteReference w:id="26"/>
      </w:r>
      <w:r w:rsidRPr="006A4DE4">
        <w:rPr>
          <w:rFonts w:ascii="Times New Roman" w:eastAsia="Times New Roman" w:hAnsi="Times New Roman" w:cs="Times New Roman"/>
          <w:color w:val="000000" w:themeColor="text1"/>
          <w:sz w:val="24"/>
          <w:szCs w:val="24"/>
        </w:rPr>
        <w:t xml:space="preserve"> Because these communities did not have the political leverage to effectively enjoin these activities, the Federal Highway Administration seized on the opportunity to place controversial road projects in these neighborhoods forcing them to endure a disproportionate share of environmental pollutants caused by increased road expansions.  DOT must incorporate analyze the environmental justice impacts of its decision to prevent the perpetuation of disproportionate impacts on communities that face environmental injustice. </w:t>
      </w:r>
    </w:p>
    <w:p w14:paraId="5C170927" w14:textId="44C484FF" w:rsidR="003125CC" w:rsidRPr="006A4DE4" w:rsidRDefault="003125CC" w:rsidP="00091224">
      <w:pPr>
        <w:pStyle w:val="Heading2"/>
        <w:numPr>
          <w:ilvl w:val="0"/>
          <w:numId w:val="26"/>
        </w:numPr>
        <w:spacing w:before="120" w:after="120" w:line="240" w:lineRule="auto"/>
        <w:ind w:left="1440" w:hanging="806"/>
        <w:rPr>
          <w:rFonts w:ascii="Times New Roman" w:eastAsia="Times New Roman" w:hAnsi="Times New Roman" w:cs="Times New Roman"/>
          <w:b/>
          <w:bCs/>
          <w:color w:val="000000" w:themeColor="text1"/>
          <w:sz w:val="24"/>
          <w:szCs w:val="24"/>
        </w:rPr>
      </w:pPr>
      <w:r w:rsidRPr="006A4DE4">
        <w:rPr>
          <w:rFonts w:ascii="Times New Roman" w:eastAsia="Times New Roman" w:hAnsi="Times New Roman" w:cs="Times New Roman"/>
          <w:b/>
          <w:bCs/>
          <w:color w:val="000000" w:themeColor="text1"/>
          <w:sz w:val="24"/>
          <w:szCs w:val="24"/>
        </w:rPr>
        <w:t>NEPA Advances Environmental Justice</w:t>
      </w:r>
    </w:p>
    <w:p w14:paraId="7AC70324" w14:textId="77777777" w:rsidR="003125CC" w:rsidRPr="006A4DE4" w:rsidRDefault="003125CC" w:rsidP="00F30438">
      <w:pPr>
        <w:widowControl w:val="0"/>
        <w:tabs>
          <w:tab w:val="left" w:pos="1360"/>
          <w:tab w:val="left" w:pos="2079"/>
        </w:tabs>
        <w:autoSpaceDE w:val="0"/>
        <w:autoSpaceDN w:val="0"/>
        <w:spacing w:after="0" w:line="240" w:lineRule="auto"/>
        <w:rPr>
          <w:rFonts w:ascii="Times New Roman" w:eastAsia="Calibri" w:hAnsi="Times New Roman" w:cs="Times New Roman"/>
          <w:color w:val="000000" w:themeColor="text1"/>
          <w:sz w:val="24"/>
          <w:szCs w:val="24"/>
        </w:rPr>
      </w:pPr>
      <w:r w:rsidRPr="006A4DE4">
        <w:rPr>
          <w:rFonts w:ascii="Times New Roman" w:eastAsia="Calibri" w:hAnsi="Times New Roman" w:cs="Times New Roman"/>
          <w:color w:val="000000" w:themeColor="text1"/>
          <w:sz w:val="24"/>
          <w:szCs w:val="24"/>
        </w:rPr>
        <w:t xml:space="preserve">              Guided by CEQ’s 1978 regulations, NEPA became a crucial tool for</w:t>
      </w:r>
      <w:r w:rsidRPr="006A4DE4">
        <w:rPr>
          <w:rFonts w:ascii="Times New Roman" w:eastAsia="Calibri" w:hAnsi="Times New Roman" w:cs="Times New Roman"/>
          <w:color w:val="000000" w:themeColor="text1"/>
          <w:spacing w:val="-3"/>
          <w:sz w:val="24"/>
          <w:szCs w:val="24"/>
        </w:rPr>
        <w:t xml:space="preserve"> </w:t>
      </w:r>
      <w:r w:rsidRPr="006A4DE4">
        <w:rPr>
          <w:rFonts w:ascii="Times New Roman" w:eastAsia="Calibri" w:hAnsi="Times New Roman" w:cs="Times New Roman"/>
          <w:color w:val="000000" w:themeColor="text1"/>
          <w:sz w:val="24"/>
          <w:szCs w:val="24"/>
        </w:rPr>
        <w:t>public engagement and better governmental decision-making in the fight against environmental</w:t>
      </w:r>
      <w:r w:rsidRPr="006A4DE4">
        <w:rPr>
          <w:rFonts w:ascii="Times New Roman" w:eastAsia="Calibri" w:hAnsi="Times New Roman" w:cs="Times New Roman"/>
          <w:color w:val="000000" w:themeColor="text1"/>
          <w:spacing w:val="-15"/>
          <w:sz w:val="24"/>
          <w:szCs w:val="24"/>
        </w:rPr>
        <w:t xml:space="preserve"> </w:t>
      </w:r>
      <w:r w:rsidRPr="006A4DE4">
        <w:rPr>
          <w:rFonts w:ascii="Times New Roman" w:eastAsia="Calibri" w:hAnsi="Times New Roman" w:cs="Times New Roman"/>
          <w:color w:val="000000" w:themeColor="text1"/>
          <w:sz w:val="24"/>
          <w:szCs w:val="24"/>
        </w:rPr>
        <w:t>racism. NEPA and the 1978 regulations promote environmental justice by requiring federal agencies</w:t>
      </w:r>
      <w:r w:rsidRPr="006A4DE4">
        <w:rPr>
          <w:rFonts w:ascii="Times New Roman" w:eastAsia="Calibri" w:hAnsi="Times New Roman" w:cs="Times New Roman"/>
          <w:color w:val="000000" w:themeColor="text1"/>
          <w:spacing w:val="-15"/>
          <w:sz w:val="24"/>
          <w:szCs w:val="24"/>
        </w:rPr>
        <w:t xml:space="preserve"> </w:t>
      </w:r>
      <w:r w:rsidRPr="006A4DE4">
        <w:rPr>
          <w:rFonts w:ascii="Times New Roman" w:eastAsia="Calibri" w:hAnsi="Times New Roman" w:cs="Times New Roman"/>
          <w:color w:val="000000" w:themeColor="text1"/>
          <w:sz w:val="24"/>
          <w:szCs w:val="24"/>
        </w:rPr>
        <w:t>to include a proposed project’s potential environmental, economic, and public-health impacts</w:t>
      </w:r>
      <w:r w:rsidRPr="006A4DE4">
        <w:rPr>
          <w:rFonts w:ascii="Times New Roman" w:eastAsia="Calibri" w:hAnsi="Times New Roman" w:cs="Times New Roman"/>
          <w:color w:val="000000" w:themeColor="text1"/>
          <w:spacing w:val="-6"/>
          <w:sz w:val="24"/>
          <w:szCs w:val="24"/>
        </w:rPr>
        <w:t xml:space="preserve"> </w:t>
      </w:r>
      <w:r w:rsidRPr="006A4DE4">
        <w:rPr>
          <w:rFonts w:ascii="Times New Roman" w:eastAsia="Calibri" w:hAnsi="Times New Roman" w:cs="Times New Roman"/>
          <w:color w:val="000000" w:themeColor="text1"/>
          <w:sz w:val="24"/>
          <w:szCs w:val="24"/>
        </w:rPr>
        <w:t>on low-income communities, communities of color, and rural communities. One of the</w:t>
      </w:r>
      <w:r w:rsidRPr="006A4DE4">
        <w:rPr>
          <w:rFonts w:ascii="Times New Roman" w:eastAsia="Calibri" w:hAnsi="Times New Roman" w:cs="Times New Roman"/>
          <w:color w:val="000000" w:themeColor="text1"/>
          <w:spacing w:val="-13"/>
          <w:sz w:val="24"/>
          <w:szCs w:val="24"/>
        </w:rPr>
        <w:t xml:space="preserve"> </w:t>
      </w:r>
      <w:r w:rsidRPr="006A4DE4">
        <w:rPr>
          <w:rFonts w:ascii="Times New Roman" w:eastAsia="Calibri" w:hAnsi="Times New Roman" w:cs="Times New Roman"/>
          <w:color w:val="000000" w:themeColor="text1"/>
          <w:sz w:val="24"/>
          <w:szCs w:val="24"/>
        </w:rPr>
        <w:t xml:space="preserve">visionary elements of NEPA was its creation </w:t>
      </w:r>
      <w:r w:rsidRPr="006A4DE4">
        <w:rPr>
          <w:rFonts w:ascii="Times New Roman" w:eastAsia="Calibri" w:hAnsi="Times New Roman" w:cs="Times New Roman"/>
          <w:color w:val="000000" w:themeColor="text1"/>
          <w:spacing w:val="-3"/>
          <w:sz w:val="24"/>
          <w:szCs w:val="24"/>
        </w:rPr>
        <w:t xml:space="preserve">of </w:t>
      </w:r>
      <w:r w:rsidRPr="006A4DE4">
        <w:rPr>
          <w:rFonts w:ascii="Times New Roman" w:eastAsia="Calibri" w:hAnsi="Times New Roman" w:cs="Times New Roman"/>
          <w:color w:val="000000" w:themeColor="text1"/>
          <w:sz w:val="24"/>
          <w:szCs w:val="24"/>
        </w:rPr>
        <w:t>broad opportunities for public participation in</w:t>
      </w:r>
      <w:r w:rsidRPr="006A4DE4">
        <w:rPr>
          <w:rFonts w:ascii="Times New Roman" w:eastAsia="Calibri" w:hAnsi="Times New Roman" w:cs="Times New Roman"/>
          <w:color w:val="000000" w:themeColor="text1"/>
          <w:spacing w:val="-7"/>
          <w:sz w:val="24"/>
          <w:szCs w:val="24"/>
        </w:rPr>
        <w:t xml:space="preserve"> </w:t>
      </w:r>
      <w:r w:rsidRPr="006A4DE4">
        <w:rPr>
          <w:rFonts w:ascii="Times New Roman" w:eastAsia="Calibri" w:hAnsi="Times New Roman" w:cs="Times New Roman"/>
          <w:color w:val="000000" w:themeColor="text1"/>
          <w:sz w:val="24"/>
          <w:szCs w:val="24"/>
        </w:rPr>
        <w:t>government decisions that affect communities and their</w:t>
      </w:r>
      <w:r w:rsidRPr="006A4DE4">
        <w:rPr>
          <w:rFonts w:ascii="Times New Roman" w:eastAsia="Calibri" w:hAnsi="Times New Roman" w:cs="Times New Roman"/>
          <w:color w:val="000000" w:themeColor="text1"/>
          <w:spacing w:val="8"/>
          <w:sz w:val="24"/>
          <w:szCs w:val="24"/>
        </w:rPr>
        <w:t xml:space="preserve"> </w:t>
      </w:r>
      <w:r w:rsidRPr="006A4DE4">
        <w:rPr>
          <w:rFonts w:ascii="Times New Roman" w:eastAsia="Calibri" w:hAnsi="Times New Roman" w:cs="Times New Roman"/>
          <w:color w:val="000000" w:themeColor="text1"/>
          <w:sz w:val="24"/>
          <w:szCs w:val="24"/>
        </w:rPr>
        <w:t xml:space="preserve">environment. </w:t>
      </w:r>
    </w:p>
    <w:p w14:paraId="3FD08473" w14:textId="77777777" w:rsidR="003125CC" w:rsidRPr="006A4DE4" w:rsidRDefault="003125CC" w:rsidP="00F30438">
      <w:pPr>
        <w:widowControl w:val="0"/>
        <w:tabs>
          <w:tab w:val="left" w:pos="1360"/>
          <w:tab w:val="left" w:pos="2079"/>
        </w:tabs>
        <w:autoSpaceDE w:val="0"/>
        <w:autoSpaceDN w:val="0"/>
        <w:spacing w:after="0" w:line="240" w:lineRule="auto"/>
        <w:rPr>
          <w:rFonts w:ascii="Times New Roman" w:eastAsia="Calibri" w:hAnsi="Times New Roman" w:cs="Times New Roman"/>
          <w:color w:val="000000" w:themeColor="text1"/>
          <w:sz w:val="24"/>
          <w:szCs w:val="24"/>
        </w:rPr>
      </w:pPr>
      <w:r w:rsidRPr="006A4DE4">
        <w:rPr>
          <w:rFonts w:ascii="Times New Roman" w:eastAsia="Calibri" w:hAnsi="Times New Roman" w:cs="Times New Roman"/>
          <w:color w:val="000000" w:themeColor="text1"/>
          <w:sz w:val="24"/>
          <w:szCs w:val="24"/>
        </w:rPr>
        <w:t xml:space="preserve">            In 1994, President Clinton issued Executive Order 12898, </w:t>
      </w:r>
      <w:r w:rsidRPr="006A4DE4">
        <w:rPr>
          <w:rFonts w:ascii="Times New Roman" w:eastAsia="Calibri" w:hAnsi="Times New Roman" w:cs="Times New Roman"/>
          <w:i/>
          <w:color w:val="000000" w:themeColor="text1"/>
          <w:sz w:val="24"/>
          <w:szCs w:val="24"/>
        </w:rPr>
        <w:t>Federal Actions</w:t>
      </w:r>
      <w:r w:rsidRPr="006A4DE4">
        <w:rPr>
          <w:rFonts w:ascii="Times New Roman" w:eastAsia="Calibri" w:hAnsi="Times New Roman" w:cs="Times New Roman"/>
          <w:i/>
          <w:color w:val="000000" w:themeColor="text1"/>
          <w:spacing w:val="-8"/>
          <w:sz w:val="24"/>
          <w:szCs w:val="24"/>
        </w:rPr>
        <w:t xml:space="preserve"> </w:t>
      </w:r>
      <w:r w:rsidRPr="006A4DE4">
        <w:rPr>
          <w:rFonts w:ascii="Times New Roman" w:eastAsia="Calibri" w:hAnsi="Times New Roman" w:cs="Times New Roman"/>
          <w:i/>
          <w:color w:val="000000" w:themeColor="text1"/>
          <w:sz w:val="24"/>
          <w:szCs w:val="24"/>
        </w:rPr>
        <w:t>to</w:t>
      </w:r>
      <w:r w:rsidRPr="006A4DE4">
        <w:rPr>
          <w:rFonts w:ascii="Times New Roman" w:eastAsia="Calibri" w:hAnsi="Times New Roman" w:cs="Times New Roman"/>
          <w:color w:val="000000" w:themeColor="text1"/>
          <w:sz w:val="24"/>
          <w:szCs w:val="24"/>
        </w:rPr>
        <w:t xml:space="preserve"> </w:t>
      </w:r>
      <w:r w:rsidRPr="006A4DE4">
        <w:rPr>
          <w:rFonts w:ascii="Times New Roman" w:eastAsia="Calibri" w:hAnsi="Times New Roman" w:cs="Times New Roman"/>
          <w:i/>
          <w:color w:val="000000" w:themeColor="text1"/>
          <w:sz w:val="24"/>
          <w:szCs w:val="24"/>
        </w:rPr>
        <w:t>Address Environmental Justice in Minority Populations and Low-Income Populations</w:t>
      </w:r>
      <w:r w:rsidRPr="006A4DE4">
        <w:rPr>
          <w:rFonts w:ascii="Times New Roman" w:eastAsia="Calibri" w:hAnsi="Times New Roman" w:cs="Times New Roman"/>
          <w:color w:val="000000" w:themeColor="text1"/>
          <w:sz w:val="24"/>
          <w:szCs w:val="24"/>
        </w:rPr>
        <w:t>,</w:t>
      </w:r>
      <w:r w:rsidRPr="006A4DE4">
        <w:rPr>
          <w:rFonts w:ascii="Times New Roman" w:eastAsia="Calibri" w:hAnsi="Times New Roman" w:cs="Times New Roman"/>
          <w:color w:val="000000" w:themeColor="text1"/>
          <w:spacing w:val="-7"/>
          <w:sz w:val="24"/>
          <w:szCs w:val="24"/>
        </w:rPr>
        <w:t xml:space="preserve"> </w:t>
      </w:r>
      <w:r w:rsidRPr="006A4DE4">
        <w:rPr>
          <w:rFonts w:ascii="Times New Roman" w:eastAsia="Calibri" w:hAnsi="Times New Roman" w:cs="Times New Roman"/>
          <w:color w:val="000000" w:themeColor="text1"/>
          <w:sz w:val="24"/>
          <w:szCs w:val="24"/>
        </w:rPr>
        <w:t>Exec.</w:t>
      </w:r>
    </w:p>
    <w:p w14:paraId="3D75F9BB" w14:textId="77777777" w:rsidR="003125CC" w:rsidRPr="006A4DE4" w:rsidRDefault="003125CC" w:rsidP="00F30438">
      <w:pPr>
        <w:widowControl w:val="0"/>
        <w:tabs>
          <w:tab w:val="left" w:pos="640"/>
        </w:tabs>
        <w:autoSpaceDE w:val="0"/>
        <w:autoSpaceDN w:val="0"/>
        <w:spacing w:before="1" w:after="0" w:line="240" w:lineRule="auto"/>
        <w:rPr>
          <w:rFonts w:ascii="Times New Roman" w:eastAsia="Calibri" w:hAnsi="Times New Roman" w:cs="Times New Roman"/>
          <w:color w:val="000000" w:themeColor="text1"/>
          <w:sz w:val="24"/>
          <w:szCs w:val="24"/>
        </w:rPr>
      </w:pPr>
      <w:r w:rsidRPr="006A4DE4">
        <w:rPr>
          <w:rFonts w:ascii="Times New Roman" w:eastAsia="Calibri" w:hAnsi="Times New Roman" w:cs="Times New Roman"/>
          <w:color w:val="000000" w:themeColor="text1"/>
          <w:sz w:val="24"/>
          <w:szCs w:val="24"/>
        </w:rPr>
        <w:t xml:space="preserve">Order No. 12898, </w:t>
      </w:r>
      <w:r w:rsidRPr="006A4DE4">
        <w:rPr>
          <w:rFonts w:ascii="Times New Roman" w:eastAsia="Calibri" w:hAnsi="Times New Roman" w:cs="Times New Roman"/>
          <w:i/>
          <w:color w:val="000000" w:themeColor="text1"/>
          <w:sz w:val="24"/>
          <w:szCs w:val="24"/>
        </w:rPr>
        <w:t xml:space="preserve">codified at </w:t>
      </w:r>
      <w:r w:rsidRPr="006A4DE4">
        <w:rPr>
          <w:rFonts w:ascii="Times New Roman" w:eastAsia="Calibri" w:hAnsi="Times New Roman" w:cs="Times New Roman"/>
          <w:color w:val="000000" w:themeColor="text1"/>
          <w:sz w:val="24"/>
          <w:szCs w:val="24"/>
        </w:rPr>
        <w:t xml:space="preserve">3 C.F.R. § 859 (1995), </w:t>
      </w:r>
      <w:r w:rsidRPr="006A4DE4">
        <w:rPr>
          <w:rFonts w:ascii="Times New Roman" w:eastAsia="Calibri" w:hAnsi="Times New Roman" w:cs="Times New Roman"/>
          <w:i/>
          <w:color w:val="000000" w:themeColor="text1"/>
          <w:sz w:val="24"/>
          <w:szCs w:val="24"/>
        </w:rPr>
        <w:t xml:space="preserve">reprinted as amended in </w:t>
      </w:r>
      <w:r w:rsidRPr="006A4DE4">
        <w:rPr>
          <w:rFonts w:ascii="Times New Roman" w:eastAsia="Calibri" w:hAnsi="Times New Roman" w:cs="Times New Roman"/>
          <w:color w:val="000000" w:themeColor="text1"/>
          <w:sz w:val="24"/>
          <w:szCs w:val="24"/>
        </w:rPr>
        <w:t>42 U.S.C. §</w:t>
      </w:r>
      <w:r w:rsidRPr="006A4DE4">
        <w:rPr>
          <w:rFonts w:ascii="Times New Roman" w:eastAsia="Calibri" w:hAnsi="Times New Roman" w:cs="Times New Roman"/>
          <w:color w:val="000000" w:themeColor="text1"/>
          <w:spacing w:val="-7"/>
          <w:sz w:val="24"/>
          <w:szCs w:val="24"/>
        </w:rPr>
        <w:t xml:space="preserve"> </w:t>
      </w:r>
      <w:r w:rsidRPr="006A4DE4">
        <w:rPr>
          <w:rFonts w:ascii="Times New Roman" w:eastAsia="Calibri" w:hAnsi="Times New Roman" w:cs="Times New Roman"/>
          <w:color w:val="000000" w:themeColor="text1"/>
          <w:sz w:val="24"/>
          <w:szCs w:val="24"/>
        </w:rPr>
        <w:t>4321</w:t>
      </w:r>
    </w:p>
    <w:p w14:paraId="71FA5F7C" w14:textId="77777777" w:rsidR="003125CC" w:rsidRPr="006A4DE4" w:rsidRDefault="003125CC" w:rsidP="00F30438">
      <w:pPr>
        <w:widowControl w:val="0"/>
        <w:tabs>
          <w:tab w:val="left" w:pos="640"/>
        </w:tabs>
        <w:autoSpaceDE w:val="0"/>
        <w:autoSpaceDN w:val="0"/>
        <w:spacing w:after="0" w:line="240" w:lineRule="auto"/>
        <w:rPr>
          <w:rFonts w:ascii="Times New Roman" w:eastAsia="Calibri" w:hAnsi="Times New Roman" w:cs="Times New Roman"/>
          <w:color w:val="000000" w:themeColor="text1"/>
          <w:sz w:val="24"/>
          <w:szCs w:val="24"/>
        </w:rPr>
      </w:pPr>
      <w:r w:rsidRPr="006A4DE4">
        <w:rPr>
          <w:rFonts w:ascii="Times New Roman" w:eastAsia="Calibri" w:hAnsi="Times New Roman" w:cs="Times New Roman"/>
          <w:color w:val="000000" w:themeColor="text1"/>
          <w:sz w:val="24"/>
          <w:szCs w:val="24"/>
        </w:rPr>
        <w:t>(1998).  Executive Order 12898 directs federal agencies to make environmental justice part</w:t>
      </w:r>
      <w:r w:rsidRPr="006A4DE4">
        <w:rPr>
          <w:rFonts w:ascii="Times New Roman" w:eastAsia="Calibri" w:hAnsi="Times New Roman" w:cs="Times New Roman"/>
          <w:color w:val="000000" w:themeColor="text1"/>
          <w:spacing w:val="-16"/>
          <w:sz w:val="24"/>
          <w:szCs w:val="24"/>
        </w:rPr>
        <w:t xml:space="preserve"> </w:t>
      </w:r>
      <w:r w:rsidRPr="006A4DE4">
        <w:rPr>
          <w:rFonts w:ascii="Times New Roman" w:eastAsia="Calibri" w:hAnsi="Times New Roman" w:cs="Times New Roman"/>
          <w:color w:val="000000" w:themeColor="text1"/>
          <w:spacing w:val="-3"/>
          <w:sz w:val="24"/>
          <w:szCs w:val="24"/>
        </w:rPr>
        <w:t>of</w:t>
      </w:r>
    </w:p>
    <w:p w14:paraId="2D2E0F1C" w14:textId="77777777" w:rsidR="003125CC" w:rsidRPr="006A4DE4" w:rsidRDefault="003125CC" w:rsidP="00F30438">
      <w:pPr>
        <w:widowControl w:val="0"/>
        <w:tabs>
          <w:tab w:val="left" w:pos="640"/>
        </w:tabs>
        <w:autoSpaceDE w:val="0"/>
        <w:autoSpaceDN w:val="0"/>
        <w:spacing w:after="0" w:line="240" w:lineRule="auto"/>
        <w:rPr>
          <w:rFonts w:ascii="Times New Roman" w:eastAsia="Calibri" w:hAnsi="Times New Roman" w:cs="Times New Roman"/>
          <w:color w:val="000000" w:themeColor="text1"/>
          <w:sz w:val="24"/>
          <w:szCs w:val="24"/>
        </w:rPr>
      </w:pPr>
      <w:r w:rsidRPr="006A4DE4">
        <w:rPr>
          <w:rFonts w:ascii="Times New Roman" w:eastAsia="Calibri" w:hAnsi="Times New Roman" w:cs="Times New Roman"/>
          <w:color w:val="000000" w:themeColor="text1"/>
          <w:sz w:val="24"/>
          <w:szCs w:val="24"/>
        </w:rPr>
        <w:t>their mission, and to identify and address the disproportionate environmental and health</w:t>
      </w:r>
      <w:r w:rsidRPr="006A4DE4">
        <w:rPr>
          <w:rFonts w:ascii="Times New Roman" w:eastAsia="Calibri" w:hAnsi="Times New Roman" w:cs="Times New Roman"/>
          <w:color w:val="000000" w:themeColor="text1"/>
          <w:spacing w:val="-26"/>
          <w:sz w:val="24"/>
          <w:szCs w:val="24"/>
        </w:rPr>
        <w:t xml:space="preserve"> </w:t>
      </w:r>
      <w:r w:rsidRPr="006A4DE4">
        <w:rPr>
          <w:rFonts w:ascii="Times New Roman" w:eastAsia="Calibri" w:hAnsi="Times New Roman" w:cs="Times New Roman"/>
          <w:color w:val="000000" w:themeColor="text1"/>
          <w:sz w:val="24"/>
          <w:szCs w:val="24"/>
        </w:rPr>
        <w:t>effects of their activities on communities of color and low-income populations. The Executive</w:t>
      </w:r>
      <w:r w:rsidRPr="006A4DE4">
        <w:rPr>
          <w:rFonts w:ascii="Times New Roman" w:eastAsia="Calibri" w:hAnsi="Times New Roman" w:cs="Times New Roman"/>
          <w:color w:val="000000" w:themeColor="text1"/>
          <w:spacing w:val="-9"/>
          <w:sz w:val="24"/>
          <w:szCs w:val="24"/>
        </w:rPr>
        <w:t xml:space="preserve"> </w:t>
      </w:r>
      <w:r w:rsidRPr="006A4DE4">
        <w:rPr>
          <w:rFonts w:ascii="Times New Roman" w:eastAsia="Calibri" w:hAnsi="Times New Roman" w:cs="Times New Roman"/>
          <w:color w:val="000000" w:themeColor="text1"/>
          <w:sz w:val="24"/>
          <w:szCs w:val="24"/>
        </w:rPr>
        <w:t>Order also requires agencies to ensure effective public participation and access to</w:t>
      </w:r>
      <w:r w:rsidRPr="006A4DE4">
        <w:rPr>
          <w:rFonts w:ascii="Times New Roman" w:eastAsia="Calibri" w:hAnsi="Times New Roman" w:cs="Times New Roman"/>
          <w:color w:val="000000" w:themeColor="text1"/>
          <w:spacing w:val="-5"/>
          <w:sz w:val="24"/>
          <w:szCs w:val="24"/>
        </w:rPr>
        <w:t xml:space="preserve"> </w:t>
      </w:r>
      <w:r w:rsidRPr="006A4DE4">
        <w:rPr>
          <w:rFonts w:ascii="Times New Roman" w:eastAsia="Calibri" w:hAnsi="Times New Roman" w:cs="Times New Roman"/>
          <w:color w:val="000000" w:themeColor="text1"/>
          <w:sz w:val="24"/>
          <w:szCs w:val="24"/>
        </w:rPr>
        <w:t>information.</w:t>
      </w:r>
    </w:p>
    <w:p w14:paraId="5B0670C6" w14:textId="77777777" w:rsidR="003125CC" w:rsidRPr="006A4DE4" w:rsidRDefault="003125CC" w:rsidP="00F30438">
      <w:pPr>
        <w:widowControl w:val="0"/>
        <w:tabs>
          <w:tab w:val="left" w:pos="640"/>
        </w:tabs>
        <w:autoSpaceDE w:val="0"/>
        <w:autoSpaceDN w:val="0"/>
        <w:spacing w:before="95" w:after="0" w:line="240" w:lineRule="auto"/>
        <w:rPr>
          <w:rFonts w:ascii="Times New Roman" w:eastAsia="Times New Roman" w:hAnsi="Times New Roman" w:cs="Times New Roman"/>
          <w:color w:val="000000" w:themeColor="text1"/>
          <w:sz w:val="24"/>
          <w:szCs w:val="24"/>
        </w:rPr>
      </w:pPr>
      <w:r w:rsidRPr="006A4DE4">
        <w:rPr>
          <w:rFonts w:ascii="Times New Roman" w:eastAsia="Calibri" w:hAnsi="Times New Roman" w:cs="Times New Roman"/>
          <w:color w:val="000000" w:themeColor="text1"/>
          <w:sz w:val="24"/>
          <w:szCs w:val="24"/>
        </w:rPr>
        <w:tab/>
        <w:t>The Presidential Memorandum accompanying the Executive Order directs</w:t>
      </w:r>
      <w:r w:rsidRPr="006A4DE4">
        <w:rPr>
          <w:rFonts w:ascii="Times New Roman" w:eastAsia="Calibri" w:hAnsi="Times New Roman" w:cs="Times New Roman"/>
          <w:color w:val="000000" w:themeColor="text1"/>
          <w:spacing w:val="-8"/>
          <w:sz w:val="24"/>
          <w:szCs w:val="24"/>
        </w:rPr>
        <w:t xml:space="preserve"> </w:t>
      </w:r>
      <w:r w:rsidRPr="006A4DE4">
        <w:rPr>
          <w:rFonts w:ascii="Times New Roman" w:eastAsia="Calibri" w:hAnsi="Times New Roman" w:cs="Times New Roman"/>
          <w:color w:val="000000" w:themeColor="text1"/>
          <w:sz w:val="24"/>
          <w:szCs w:val="24"/>
        </w:rPr>
        <w:t>all agencies to utilize NEPA to analyze environmental, health, economic, and social effects</w:t>
      </w:r>
      <w:r w:rsidRPr="006A4DE4">
        <w:rPr>
          <w:rFonts w:ascii="Times New Roman" w:eastAsia="Calibri" w:hAnsi="Times New Roman" w:cs="Times New Roman"/>
          <w:color w:val="000000" w:themeColor="text1"/>
          <w:spacing w:val="-2"/>
          <w:sz w:val="24"/>
          <w:szCs w:val="24"/>
        </w:rPr>
        <w:t xml:space="preserve"> </w:t>
      </w:r>
      <w:r w:rsidRPr="006A4DE4">
        <w:rPr>
          <w:rFonts w:ascii="Times New Roman" w:eastAsia="Calibri" w:hAnsi="Times New Roman" w:cs="Times New Roman"/>
          <w:color w:val="000000" w:themeColor="text1"/>
          <w:sz w:val="24"/>
          <w:szCs w:val="24"/>
        </w:rPr>
        <w:t xml:space="preserve">of federal actions, including effects on communities </w:t>
      </w:r>
      <w:r w:rsidRPr="006A4DE4">
        <w:rPr>
          <w:rFonts w:ascii="Times New Roman" w:eastAsia="Calibri" w:hAnsi="Times New Roman" w:cs="Times New Roman"/>
          <w:color w:val="000000" w:themeColor="text1"/>
          <w:spacing w:val="-3"/>
          <w:sz w:val="24"/>
          <w:szCs w:val="24"/>
        </w:rPr>
        <w:t xml:space="preserve">of </w:t>
      </w:r>
      <w:r w:rsidRPr="006A4DE4">
        <w:rPr>
          <w:rFonts w:ascii="Times New Roman" w:eastAsia="Calibri" w:hAnsi="Times New Roman" w:cs="Times New Roman"/>
          <w:color w:val="000000" w:themeColor="text1"/>
          <w:sz w:val="24"/>
          <w:szCs w:val="24"/>
        </w:rPr>
        <w:t>color and low-income communities;</w:t>
      </w:r>
      <w:r w:rsidRPr="006A4DE4">
        <w:rPr>
          <w:rFonts w:ascii="Times New Roman" w:eastAsia="Calibri" w:hAnsi="Times New Roman" w:cs="Times New Roman"/>
          <w:color w:val="000000" w:themeColor="text1"/>
          <w:spacing w:val="-9"/>
          <w:sz w:val="24"/>
          <w:szCs w:val="24"/>
        </w:rPr>
        <w:t xml:space="preserve"> </w:t>
      </w:r>
      <w:r w:rsidRPr="006A4DE4">
        <w:rPr>
          <w:rFonts w:ascii="Times New Roman" w:eastAsia="Calibri" w:hAnsi="Times New Roman" w:cs="Times New Roman"/>
          <w:color w:val="000000" w:themeColor="text1"/>
          <w:sz w:val="24"/>
          <w:szCs w:val="24"/>
        </w:rPr>
        <w:t>develop mitigation measures that address significant effects of actions on communities of color and</w:t>
      </w:r>
      <w:r w:rsidRPr="006A4DE4">
        <w:rPr>
          <w:rFonts w:ascii="Times New Roman" w:eastAsia="Calibri" w:hAnsi="Times New Roman" w:cs="Times New Roman"/>
          <w:color w:val="000000" w:themeColor="text1"/>
          <w:spacing w:val="-14"/>
          <w:sz w:val="24"/>
          <w:szCs w:val="24"/>
        </w:rPr>
        <w:t xml:space="preserve"> </w:t>
      </w:r>
      <w:r w:rsidRPr="006A4DE4">
        <w:rPr>
          <w:rFonts w:ascii="Times New Roman" w:eastAsia="Calibri" w:hAnsi="Times New Roman" w:cs="Times New Roman"/>
          <w:color w:val="000000" w:themeColor="text1"/>
          <w:sz w:val="24"/>
          <w:szCs w:val="24"/>
        </w:rPr>
        <w:t>low-</w:t>
      </w:r>
      <w:r w:rsidRPr="006A4DE4">
        <w:rPr>
          <w:rFonts w:ascii="Times New Roman" w:eastAsia="Times New Roman" w:hAnsi="Times New Roman" w:cs="Times New Roman"/>
          <w:color w:val="000000" w:themeColor="text1"/>
          <w:sz w:val="24"/>
          <w:szCs w:val="24"/>
        </w:rPr>
        <w:t xml:space="preserve"> income communities; and to provide opportunities for public input in decision-making.</w:t>
      </w:r>
      <w:r w:rsidRPr="006A4DE4">
        <w:rPr>
          <w:rFonts w:ascii="Times New Roman" w:eastAsia="Times New Roman" w:hAnsi="Times New Roman" w:cs="Times New Roman"/>
          <w:color w:val="000000" w:themeColor="text1"/>
          <w:spacing w:val="49"/>
          <w:sz w:val="24"/>
          <w:szCs w:val="24"/>
        </w:rPr>
        <w:t xml:space="preserve"> </w:t>
      </w:r>
      <w:r w:rsidRPr="006A4DE4">
        <w:rPr>
          <w:rFonts w:ascii="Times New Roman" w:eastAsia="Times New Roman" w:hAnsi="Times New Roman" w:cs="Times New Roman"/>
          <w:color w:val="000000" w:themeColor="text1"/>
          <w:sz w:val="24"/>
          <w:szCs w:val="24"/>
        </w:rPr>
        <w:t>Most</w:t>
      </w:r>
    </w:p>
    <w:p w14:paraId="21214056" w14:textId="77777777" w:rsidR="003125CC" w:rsidRPr="006A4DE4" w:rsidRDefault="003125CC" w:rsidP="00F30438">
      <w:pPr>
        <w:widowControl w:val="0"/>
        <w:tabs>
          <w:tab w:val="left" w:pos="640"/>
        </w:tabs>
        <w:autoSpaceDE w:val="0"/>
        <w:autoSpaceDN w:val="0"/>
        <w:spacing w:after="0" w:line="240" w:lineRule="auto"/>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importantly, agencies must provide opportunities for effective community participation in</w:t>
      </w:r>
      <w:r w:rsidRPr="006A4DE4">
        <w:rPr>
          <w:rFonts w:ascii="Times New Roman" w:eastAsia="Times New Roman" w:hAnsi="Times New Roman" w:cs="Times New Roman"/>
          <w:color w:val="000000" w:themeColor="text1"/>
          <w:spacing w:val="-9"/>
          <w:sz w:val="24"/>
          <w:szCs w:val="24"/>
        </w:rPr>
        <w:t xml:space="preserve"> </w:t>
      </w:r>
      <w:r w:rsidRPr="006A4DE4">
        <w:rPr>
          <w:rFonts w:ascii="Times New Roman" w:eastAsia="Times New Roman" w:hAnsi="Times New Roman" w:cs="Times New Roman"/>
          <w:color w:val="000000" w:themeColor="text1"/>
          <w:sz w:val="24"/>
          <w:szCs w:val="24"/>
        </w:rPr>
        <w:t>the NEPA process.</w:t>
      </w:r>
    </w:p>
    <w:p w14:paraId="13ADE602" w14:textId="77777777" w:rsidR="003125CC" w:rsidRPr="006A4DE4" w:rsidRDefault="003125CC" w:rsidP="00F30438">
      <w:pPr>
        <w:widowControl w:val="0"/>
        <w:tabs>
          <w:tab w:val="left" w:pos="1360"/>
          <w:tab w:val="left" w:pos="2079"/>
        </w:tabs>
        <w:autoSpaceDE w:val="0"/>
        <w:autoSpaceDN w:val="0"/>
        <w:spacing w:before="236" w:after="0" w:line="240" w:lineRule="auto"/>
        <w:rPr>
          <w:rFonts w:ascii="Times New Roman" w:eastAsia="Calibri" w:hAnsi="Times New Roman" w:cs="Times New Roman"/>
          <w:color w:val="000000" w:themeColor="text1"/>
          <w:sz w:val="24"/>
          <w:szCs w:val="24"/>
        </w:rPr>
      </w:pPr>
      <w:r w:rsidRPr="006A4DE4">
        <w:rPr>
          <w:rFonts w:ascii="Times New Roman" w:eastAsia="Calibri" w:hAnsi="Times New Roman" w:cs="Times New Roman"/>
          <w:color w:val="000000" w:themeColor="text1"/>
          <w:sz w:val="24"/>
          <w:szCs w:val="24"/>
        </w:rPr>
        <w:t xml:space="preserve">              Executive Order 12898 recognized the importance of gathering data</w:t>
      </w:r>
      <w:r w:rsidRPr="006A4DE4">
        <w:rPr>
          <w:rFonts w:ascii="Times New Roman" w:eastAsia="Calibri" w:hAnsi="Times New Roman" w:cs="Times New Roman"/>
          <w:color w:val="000000" w:themeColor="text1"/>
          <w:spacing w:val="-5"/>
          <w:sz w:val="24"/>
          <w:szCs w:val="24"/>
        </w:rPr>
        <w:t xml:space="preserve"> </w:t>
      </w:r>
      <w:r w:rsidRPr="006A4DE4">
        <w:rPr>
          <w:rFonts w:ascii="Times New Roman" w:eastAsia="Calibri" w:hAnsi="Times New Roman" w:cs="Times New Roman"/>
          <w:color w:val="000000" w:themeColor="text1"/>
          <w:sz w:val="24"/>
          <w:szCs w:val="24"/>
        </w:rPr>
        <w:t>and conducting research to identify and address disproportionately high and adverse</w:t>
      </w:r>
      <w:r w:rsidRPr="006A4DE4">
        <w:rPr>
          <w:rFonts w:ascii="Times New Roman" w:eastAsia="Calibri" w:hAnsi="Times New Roman" w:cs="Times New Roman"/>
          <w:color w:val="000000" w:themeColor="text1"/>
          <w:spacing w:val="-3"/>
          <w:sz w:val="24"/>
          <w:szCs w:val="24"/>
        </w:rPr>
        <w:t xml:space="preserve"> </w:t>
      </w:r>
      <w:r w:rsidRPr="006A4DE4">
        <w:rPr>
          <w:rFonts w:ascii="Times New Roman" w:eastAsia="Calibri" w:hAnsi="Times New Roman" w:cs="Times New Roman"/>
          <w:color w:val="000000" w:themeColor="text1"/>
          <w:sz w:val="24"/>
          <w:szCs w:val="24"/>
        </w:rPr>
        <w:t>health, environmental, social, and economic effects of federal agency programs and policies</w:t>
      </w:r>
      <w:r w:rsidRPr="006A4DE4">
        <w:rPr>
          <w:rFonts w:ascii="Times New Roman" w:eastAsia="Calibri" w:hAnsi="Times New Roman" w:cs="Times New Roman"/>
          <w:color w:val="000000" w:themeColor="text1"/>
          <w:spacing w:val="-1"/>
          <w:sz w:val="24"/>
          <w:szCs w:val="24"/>
        </w:rPr>
        <w:t xml:space="preserve"> </w:t>
      </w:r>
      <w:r w:rsidRPr="006A4DE4">
        <w:rPr>
          <w:rFonts w:ascii="Times New Roman" w:eastAsia="Calibri" w:hAnsi="Times New Roman" w:cs="Times New Roman"/>
          <w:color w:val="000000" w:themeColor="text1"/>
          <w:sz w:val="24"/>
          <w:szCs w:val="24"/>
        </w:rPr>
        <w:t>on communities of color and low-income communities. Public participation is an integral part</w:t>
      </w:r>
      <w:r w:rsidRPr="006A4DE4">
        <w:rPr>
          <w:rFonts w:ascii="Times New Roman" w:eastAsia="Calibri" w:hAnsi="Times New Roman" w:cs="Times New Roman"/>
          <w:color w:val="000000" w:themeColor="text1"/>
          <w:spacing w:val="-11"/>
          <w:sz w:val="24"/>
          <w:szCs w:val="24"/>
        </w:rPr>
        <w:t xml:space="preserve"> </w:t>
      </w:r>
      <w:r w:rsidRPr="006A4DE4">
        <w:rPr>
          <w:rFonts w:ascii="Times New Roman" w:eastAsia="Calibri" w:hAnsi="Times New Roman" w:cs="Times New Roman"/>
          <w:color w:val="000000" w:themeColor="text1"/>
          <w:sz w:val="24"/>
          <w:szCs w:val="24"/>
        </w:rPr>
        <w:t>of addressing environmental justice concerns.  The Presidential Memorandum also makes clear</w:t>
      </w:r>
      <w:r w:rsidRPr="006A4DE4">
        <w:rPr>
          <w:rFonts w:ascii="Times New Roman" w:eastAsia="Calibri" w:hAnsi="Times New Roman" w:cs="Times New Roman"/>
          <w:color w:val="000000" w:themeColor="text1"/>
          <w:spacing w:val="-26"/>
          <w:sz w:val="24"/>
          <w:szCs w:val="24"/>
        </w:rPr>
        <w:t xml:space="preserve"> </w:t>
      </w:r>
      <w:r w:rsidRPr="006A4DE4">
        <w:rPr>
          <w:rFonts w:ascii="Times New Roman" w:eastAsia="Calibri" w:hAnsi="Times New Roman" w:cs="Times New Roman"/>
          <w:color w:val="000000" w:themeColor="text1"/>
          <w:sz w:val="24"/>
          <w:szCs w:val="24"/>
        </w:rPr>
        <w:t>that any NEPA document should “address significant and adverse environmental effects of</w:t>
      </w:r>
      <w:r w:rsidRPr="006A4DE4">
        <w:rPr>
          <w:rFonts w:ascii="Times New Roman" w:eastAsia="Calibri" w:hAnsi="Times New Roman" w:cs="Times New Roman"/>
          <w:color w:val="000000" w:themeColor="text1"/>
          <w:spacing w:val="-21"/>
          <w:sz w:val="24"/>
          <w:szCs w:val="24"/>
        </w:rPr>
        <w:t xml:space="preserve"> </w:t>
      </w:r>
      <w:r w:rsidRPr="006A4DE4">
        <w:rPr>
          <w:rFonts w:ascii="Times New Roman" w:eastAsia="Calibri" w:hAnsi="Times New Roman" w:cs="Times New Roman"/>
          <w:color w:val="000000" w:themeColor="text1"/>
          <w:sz w:val="24"/>
          <w:szCs w:val="24"/>
        </w:rPr>
        <w:t>proposed federal actions on minority populations, low-income populations, and Indian</w:t>
      </w:r>
      <w:r w:rsidRPr="006A4DE4">
        <w:rPr>
          <w:rFonts w:ascii="Times New Roman" w:eastAsia="Calibri" w:hAnsi="Times New Roman" w:cs="Times New Roman"/>
          <w:color w:val="000000" w:themeColor="text1"/>
          <w:spacing w:val="1"/>
          <w:sz w:val="24"/>
          <w:szCs w:val="24"/>
        </w:rPr>
        <w:t xml:space="preserve"> </w:t>
      </w:r>
      <w:r w:rsidRPr="006A4DE4">
        <w:rPr>
          <w:rFonts w:ascii="Times New Roman" w:eastAsia="Calibri" w:hAnsi="Times New Roman" w:cs="Times New Roman"/>
          <w:color w:val="000000" w:themeColor="text1"/>
          <w:sz w:val="24"/>
          <w:szCs w:val="24"/>
        </w:rPr>
        <w:t>Tribes.” Furthermore, each federal agency must provide opportunities for effective</w:t>
      </w:r>
      <w:r w:rsidRPr="006A4DE4">
        <w:rPr>
          <w:rFonts w:ascii="Times New Roman" w:eastAsia="Calibri" w:hAnsi="Times New Roman" w:cs="Times New Roman"/>
          <w:color w:val="000000" w:themeColor="text1"/>
          <w:spacing w:val="-4"/>
          <w:sz w:val="24"/>
          <w:szCs w:val="24"/>
        </w:rPr>
        <w:t xml:space="preserve"> </w:t>
      </w:r>
      <w:r w:rsidRPr="006A4DE4">
        <w:rPr>
          <w:rFonts w:ascii="Times New Roman" w:eastAsia="Calibri" w:hAnsi="Times New Roman" w:cs="Times New Roman"/>
          <w:color w:val="000000" w:themeColor="text1"/>
          <w:sz w:val="24"/>
          <w:szCs w:val="24"/>
        </w:rPr>
        <w:t>community participation in the NEPA process through consultation with affected communities</w:t>
      </w:r>
      <w:r w:rsidRPr="006A4DE4">
        <w:rPr>
          <w:rFonts w:ascii="Times New Roman" w:eastAsia="Calibri" w:hAnsi="Times New Roman" w:cs="Times New Roman"/>
          <w:color w:val="000000" w:themeColor="text1"/>
          <w:spacing w:val="-4"/>
          <w:sz w:val="24"/>
          <w:szCs w:val="24"/>
        </w:rPr>
        <w:t xml:space="preserve"> </w:t>
      </w:r>
      <w:r w:rsidRPr="006A4DE4">
        <w:rPr>
          <w:rFonts w:ascii="Times New Roman" w:eastAsia="Calibri" w:hAnsi="Times New Roman" w:cs="Times New Roman"/>
          <w:color w:val="000000" w:themeColor="text1"/>
          <w:sz w:val="24"/>
          <w:szCs w:val="24"/>
        </w:rPr>
        <w:t>and improving the accessibility of public meetings, crucial documents, and</w:t>
      </w:r>
      <w:r w:rsidRPr="006A4DE4">
        <w:rPr>
          <w:rFonts w:ascii="Times New Roman" w:eastAsia="Calibri" w:hAnsi="Times New Roman" w:cs="Times New Roman"/>
          <w:color w:val="000000" w:themeColor="text1"/>
          <w:spacing w:val="4"/>
          <w:sz w:val="24"/>
          <w:szCs w:val="24"/>
        </w:rPr>
        <w:t xml:space="preserve"> </w:t>
      </w:r>
      <w:r w:rsidRPr="006A4DE4">
        <w:rPr>
          <w:rFonts w:ascii="Times New Roman" w:eastAsia="Calibri" w:hAnsi="Times New Roman" w:cs="Times New Roman"/>
          <w:color w:val="000000" w:themeColor="text1"/>
          <w:sz w:val="24"/>
          <w:szCs w:val="24"/>
        </w:rPr>
        <w:t>notices.</w:t>
      </w:r>
    </w:p>
    <w:p w14:paraId="115D8823" w14:textId="755802E6" w:rsidR="003125CC" w:rsidRPr="006A4DE4" w:rsidRDefault="00091224" w:rsidP="00583802">
      <w:pPr>
        <w:pStyle w:val="Heading2"/>
        <w:numPr>
          <w:ilvl w:val="0"/>
          <w:numId w:val="26"/>
        </w:numPr>
        <w:spacing w:before="120" w:after="120" w:line="240" w:lineRule="auto"/>
        <w:ind w:left="1440" w:hanging="720"/>
        <w:rPr>
          <w:rFonts w:ascii="Times New Roman" w:eastAsia="Times New Roman" w:hAnsi="Times New Roman" w:cs="Times New Roman"/>
          <w:b/>
          <w:bCs/>
          <w:color w:val="000000" w:themeColor="text1"/>
          <w:sz w:val="24"/>
          <w:szCs w:val="24"/>
        </w:rPr>
      </w:pPr>
      <w:r w:rsidRPr="006A4DE4">
        <w:rPr>
          <w:rFonts w:ascii="Times New Roman" w:eastAsia="Times New Roman" w:hAnsi="Times New Roman" w:cs="Times New Roman"/>
          <w:b/>
          <w:bCs/>
          <w:color w:val="000000" w:themeColor="text1"/>
          <w:sz w:val="24"/>
          <w:szCs w:val="24"/>
        </w:rPr>
        <w:t xml:space="preserve">The </w:t>
      </w:r>
      <w:r w:rsidR="003125CC" w:rsidRPr="006A4DE4">
        <w:rPr>
          <w:rFonts w:ascii="Times New Roman" w:eastAsia="Times New Roman" w:hAnsi="Times New Roman" w:cs="Times New Roman"/>
          <w:b/>
          <w:bCs/>
          <w:color w:val="000000" w:themeColor="text1"/>
          <w:sz w:val="24"/>
          <w:szCs w:val="24"/>
        </w:rPr>
        <w:t xml:space="preserve">Proposed Rule </w:t>
      </w:r>
      <w:r w:rsidRPr="006A4DE4">
        <w:rPr>
          <w:rFonts w:ascii="Times New Roman" w:eastAsia="Times New Roman" w:hAnsi="Times New Roman" w:cs="Times New Roman"/>
          <w:b/>
          <w:bCs/>
          <w:color w:val="000000" w:themeColor="text1"/>
          <w:sz w:val="24"/>
          <w:szCs w:val="24"/>
        </w:rPr>
        <w:t>is</w:t>
      </w:r>
      <w:r w:rsidR="003125CC" w:rsidRPr="006A4DE4">
        <w:rPr>
          <w:rFonts w:ascii="Times New Roman" w:eastAsia="Times New Roman" w:hAnsi="Times New Roman" w:cs="Times New Roman"/>
          <w:b/>
          <w:bCs/>
          <w:color w:val="000000" w:themeColor="text1"/>
          <w:sz w:val="24"/>
          <w:szCs w:val="24"/>
        </w:rPr>
        <w:t xml:space="preserve"> </w:t>
      </w:r>
      <w:r w:rsidRPr="006A4DE4">
        <w:rPr>
          <w:rFonts w:ascii="Times New Roman" w:eastAsia="Times New Roman" w:hAnsi="Times New Roman" w:cs="Times New Roman"/>
          <w:b/>
          <w:bCs/>
          <w:color w:val="000000" w:themeColor="text1"/>
          <w:sz w:val="24"/>
          <w:szCs w:val="24"/>
        </w:rPr>
        <w:t>i</w:t>
      </w:r>
      <w:r w:rsidR="003125CC" w:rsidRPr="006A4DE4">
        <w:rPr>
          <w:rFonts w:ascii="Times New Roman" w:eastAsia="Times New Roman" w:hAnsi="Times New Roman" w:cs="Times New Roman"/>
          <w:b/>
          <w:bCs/>
          <w:color w:val="000000" w:themeColor="text1"/>
          <w:sz w:val="24"/>
          <w:szCs w:val="24"/>
        </w:rPr>
        <w:t xml:space="preserve">llegal </w:t>
      </w:r>
      <w:r w:rsidR="008134D8" w:rsidRPr="006A4DE4">
        <w:rPr>
          <w:rFonts w:ascii="Times New Roman" w:eastAsia="Times New Roman" w:hAnsi="Times New Roman" w:cs="Times New Roman"/>
          <w:b/>
          <w:bCs/>
          <w:color w:val="000000" w:themeColor="text1"/>
          <w:sz w:val="24"/>
          <w:szCs w:val="24"/>
        </w:rPr>
        <w:t>b</w:t>
      </w:r>
      <w:r w:rsidR="003125CC" w:rsidRPr="006A4DE4">
        <w:rPr>
          <w:rFonts w:ascii="Times New Roman" w:eastAsia="Times New Roman" w:hAnsi="Times New Roman" w:cs="Times New Roman"/>
          <w:b/>
          <w:bCs/>
          <w:color w:val="000000" w:themeColor="text1"/>
          <w:sz w:val="24"/>
          <w:szCs w:val="24"/>
        </w:rPr>
        <w:t xml:space="preserve">ecause </w:t>
      </w:r>
      <w:r w:rsidRPr="006A4DE4">
        <w:rPr>
          <w:rFonts w:ascii="Times New Roman" w:eastAsia="Times New Roman" w:hAnsi="Times New Roman" w:cs="Times New Roman"/>
          <w:b/>
          <w:bCs/>
          <w:color w:val="000000" w:themeColor="text1"/>
          <w:sz w:val="24"/>
          <w:szCs w:val="24"/>
        </w:rPr>
        <w:t>i</w:t>
      </w:r>
      <w:r w:rsidR="003125CC" w:rsidRPr="006A4DE4">
        <w:rPr>
          <w:rFonts w:ascii="Times New Roman" w:eastAsia="Times New Roman" w:hAnsi="Times New Roman" w:cs="Times New Roman"/>
          <w:b/>
          <w:bCs/>
          <w:color w:val="000000" w:themeColor="text1"/>
          <w:sz w:val="24"/>
          <w:szCs w:val="24"/>
        </w:rPr>
        <w:t xml:space="preserve">t </w:t>
      </w:r>
      <w:r w:rsidRPr="006A4DE4">
        <w:rPr>
          <w:rFonts w:ascii="Times New Roman" w:eastAsia="Times New Roman" w:hAnsi="Times New Roman" w:cs="Times New Roman"/>
          <w:b/>
          <w:bCs/>
          <w:color w:val="000000" w:themeColor="text1"/>
          <w:sz w:val="24"/>
          <w:szCs w:val="24"/>
        </w:rPr>
        <w:t>vi</w:t>
      </w:r>
      <w:r w:rsidR="003125CC" w:rsidRPr="006A4DE4">
        <w:rPr>
          <w:rFonts w:ascii="Times New Roman" w:eastAsia="Times New Roman" w:hAnsi="Times New Roman" w:cs="Times New Roman"/>
          <w:b/>
          <w:bCs/>
          <w:color w:val="000000" w:themeColor="text1"/>
          <w:sz w:val="24"/>
          <w:szCs w:val="24"/>
        </w:rPr>
        <w:t>olates Executive Order 12,898</w:t>
      </w:r>
    </w:p>
    <w:p w14:paraId="4C3C5D0A" w14:textId="77777777" w:rsidR="003125CC" w:rsidRPr="006A4DE4" w:rsidRDefault="003125CC" w:rsidP="00F30438">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DOT violated Executive Order 12,898 (“Federal Actions to Address Environmental Justice in Minority Populations and Low-Income Populations”) by failing to consider the environmental justice impacts of its Proposed Rule implementing NEPA. Under the Executive Order “each Federal agency shall make achieving environmental justice part of its mission by identifying and addressing, as appropriate, disproportionately high and adverse human health or environmental effects of its programs, policies, and activities on minority populations and low-income populations in the United States.” Exec. Order No. 12,898, 59 Fed. Reg. 7,629, 7,629 (Feb. 11, 1994). In 2012, DOT issued procedures under Order 5610.2(a) committing to “fully considering environmental justice principles throughout planning and decision-making processes.” Dep’t of Transp. Order 5610.2(a)(4)(a). This Order requires “future rulemaking activities undertaken pursuant to DOT Order 2100.5 …  that affect human health or the environment, shall address compliance with Executive Order 12898 and this Order, as appropriate.” DOT Order 5610.2(a)(5)(2)(b). DOT’s Proposed Rule fails to identify and address disproportionate impacts on “environmental justice” communities in violation of the law under E.O. 12,898 and its own agency Order. The Proposed Rule does not evaluate the impacts of its rule on environmental justice communities and is therefore illegal. </w:t>
      </w:r>
    </w:p>
    <w:p w14:paraId="5DD04231" w14:textId="4F6CD313" w:rsidR="003125CC" w:rsidRPr="006A4DE4" w:rsidRDefault="00091224" w:rsidP="000808D7">
      <w:pPr>
        <w:pStyle w:val="Heading2"/>
        <w:numPr>
          <w:ilvl w:val="0"/>
          <w:numId w:val="26"/>
        </w:numPr>
        <w:ind w:left="1440" w:hanging="720"/>
        <w:rPr>
          <w:rFonts w:ascii="Times New Roman" w:eastAsia="Times New Roman" w:hAnsi="Times New Roman" w:cs="Times New Roman"/>
          <w:b/>
          <w:bCs/>
          <w:color w:val="000000" w:themeColor="text1"/>
          <w:sz w:val="24"/>
          <w:szCs w:val="24"/>
        </w:rPr>
      </w:pPr>
      <w:r w:rsidRPr="006A4DE4">
        <w:rPr>
          <w:rFonts w:ascii="Times New Roman" w:eastAsia="Times New Roman" w:hAnsi="Times New Roman" w:cs="Times New Roman"/>
          <w:b/>
          <w:bCs/>
          <w:color w:val="000000" w:themeColor="text1"/>
          <w:sz w:val="24"/>
          <w:szCs w:val="24"/>
        </w:rPr>
        <w:t>The Proposed Rule will</w:t>
      </w:r>
      <w:r w:rsidR="003125CC" w:rsidRPr="006A4DE4">
        <w:rPr>
          <w:rFonts w:ascii="Times New Roman" w:eastAsia="Times New Roman" w:hAnsi="Times New Roman" w:cs="Times New Roman"/>
          <w:b/>
          <w:bCs/>
          <w:color w:val="000000" w:themeColor="text1"/>
          <w:sz w:val="24"/>
          <w:szCs w:val="24"/>
        </w:rPr>
        <w:t xml:space="preserve"> </w:t>
      </w:r>
      <w:r w:rsidRPr="006A4DE4">
        <w:rPr>
          <w:rFonts w:ascii="Times New Roman" w:eastAsia="Times New Roman" w:hAnsi="Times New Roman" w:cs="Times New Roman"/>
          <w:b/>
          <w:bCs/>
          <w:color w:val="000000" w:themeColor="text1"/>
          <w:sz w:val="24"/>
          <w:szCs w:val="24"/>
        </w:rPr>
        <w:t>h</w:t>
      </w:r>
      <w:r w:rsidR="003125CC" w:rsidRPr="006A4DE4">
        <w:rPr>
          <w:rFonts w:ascii="Times New Roman" w:eastAsia="Times New Roman" w:hAnsi="Times New Roman" w:cs="Times New Roman"/>
          <w:b/>
          <w:bCs/>
          <w:color w:val="000000" w:themeColor="text1"/>
          <w:sz w:val="24"/>
          <w:szCs w:val="24"/>
        </w:rPr>
        <w:t xml:space="preserve">ave </w:t>
      </w:r>
      <w:r w:rsidRPr="006A4DE4">
        <w:rPr>
          <w:rFonts w:ascii="Times New Roman" w:eastAsia="Times New Roman" w:hAnsi="Times New Roman" w:cs="Times New Roman"/>
          <w:b/>
          <w:bCs/>
          <w:color w:val="000000" w:themeColor="text1"/>
          <w:sz w:val="24"/>
          <w:szCs w:val="24"/>
        </w:rPr>
        <w:t>d</w:t>
      </w:r>
      <w:r w:rsidR="003125CC" w:rsidRPr="006A4DE4">
        <w:rPr>
          <w:rFonts w:ascii="Times New Roman" w:eastAsia="Times New Roman" w:hAnsi="Times New Roman" w:cs="Times New Roman"/>
          <w:b/>
          <w:bCs/>
          <w:color w:val="000000" w:themeColor="text1"/>
          <w:sz w:val="24"/>
          <w:szCs w:val="24"/>
        </w:rPr>
        <w:t xml:space="preserve">isproportionate </w:t>
      </w:r>
      <w:r w:rsidR="00F30438" w:rsidRPr="006A4DE4">
        <w:rPr>
          <w:rFonts w:ascii="Times New Roman" w:eastAsia="Times New Roman" w:hAnsi="Times New Roman" w:cs="Times New Roman"/>
          <w:b/>
          <w:bCs/>
          <w:color w:val="000000" w:themeColor="text1"/>
          <w:sz w:val="24"/>
          <w:szCs w:val="24"/>
        </w:rPr>
        <w:t>i</w:t>
      </w:r>
      <w:r w:rsidR="003125CC" w:rsidRPr="006A4DE4">
        <w:rPr>
          <w:rFonts w:ascii="Times New Roman" w:eastAsia="Times New Roman" w:hAnsi="Times New Roman" w:cs="Times New Roman"/>
          <w:b/>
          <w:bCs/>
          <w:color w:val="000000" w:themeColor="text1"/>
          <w:sz w:val="24"/>
          <w:szCs w:val="24"/>
        </w:rPr>
        <w:t xml:space="preserve">mpacts on </w:t>
      </w:r>
      <w:r w:rsidR="0070329B" w:rsidRPr="006A4DE4">
        <w:rPr>
          <w:rFonts w:ascii="Times New Roman" w:eastAsia="Times New Roman" w:hAnsi="Times New Roman" w:cs="Times New Roman"/>
          <w:b/>
          <w:bCs/>
          <w:color w:val="000000" w:themeColor="text1"/>
          <w:sz w:val="24"/>
          <w:szCs w:val="24"/>
        </w:rPr>
        <w:t>c</w:t>
      </w:r>
      <w:r w:rsidR="003125CC" w:rsidRPr="006A4DE4">
        <w:rPr>
          <w:rFonts w:ascii="Times New Roman" w:eastAsia="Times New Roman" w:hAnsi="Times New Roman" w:cs="Times New Roman"/>
          <w:b/>
          <w:bCs/>
          <w:color w:val="000000" w:themeColor="text1"/>
          <w:sz w:val="24"/>
          <w:szCs w:val="24"/>
        </w:rPr>
        <w:t xml:space="preserve">ommunities </w:t>
      </w:r>
      <w:r w:rsidR="0070329B" w:rsidRPr="006A4DE4">
        <w:rPr>
          <w:rFonts w:ascii="Times New Roman" w:eastAsia="Times New Roman" w:hAnsi="Times New Roman" w:cs="Times New Roman"/>
          <w:b/>
          <w:bCs/>
          <w:color w:val="000000" w:themeColor="text1"/>
          <w:sz w:val="24"/>
          <w:szCs w:val="24"/>
        </w:rPr>
        <w:t>f</w:t>
      </w:r>
      <w:r w:rsidR="003125CC" w:rsidRPr="006A4DE4">
        <w:rPr>
          <w:rFonts w:ascii="Times New Roman" w:eastAsia="Times New Roman" w:hAnsi="Times New Roman" w:cs="Times New Roman"/>
          <w:b/>
          <w:bCs/>
          <w:color w:val="000000" w:themeColor="text1"/>
          <w:sz w:val="24"/>
          <w:szCs w:val="24"/>
        </w:rPr>
        <w:t xml:space="preserve">acing </w:t>
      </w:r>
      <w:r w:rsidR="0070329B" w:rsidRPr="006A4DE4">
        <w:rPr>
          <w:rFonts w:ascii="Times New Roman" w:eastAsia="Times New Roman" w:hAnsi="Times New Roman" w:cs="Times New Roman"/>
          <w:b/>
          <w:bCs/>
          <w:color w:val="000000" w:themeColor="text1"/>
          <w:sz w:val="24"/>
          <w:szCs w:val="24"/>
        </w:rPr>
        <w:t>e</w:t>
      </w:r>
      <w:r w:rsidR="003125CC" w:rsidRPr="006A4DE4">
        <w:rPr>
          <w:rFonts w:ascii="Times New Roman" w:eastAsia="Times New Roman" w:hAnsi="Times New Roman" w:cs="Times New Roman"/>
          <w:b/>
          <w:bCs/>
          <w:color w:val="000000" w:themeColor="text1"/>
          <w:sz w:val="24"/>
          <w:szCs w:val="24"/>
        </w:rPr>
        <w:t xml:space="preserve">nvironmental </w:t>
      </w:r>
      <w:r w:rsidR="0070329B" w:rsidRPr="006A4DE4">
        <w:rPr>
          <w:rFonts w:ascii="Times New Roman" w:eastAsia="Times New Roman" w:hAnsi="Times New Roman" w:cs="Times New Roman"/>
          <w:b/>
          <w:bCs/>
          <w:color w:val="000000" w:themeColor="text1"/>
          <w:sz w:val="24"/>
          <w:szCs w:val="24"/>
        </w:rPr>
        <w:t>i</w:t>
      </w:r>
      <w:r w:rsidR="003125CC" w:rsidRPr="006A4DE4">
        <w:rPr>
          <w:rFonts w:ascii="Times New Roman" w:eastAsia="Times New Roman" w:hAnsi="Times New Roman" w:cs="Times New Roman"/>
          <w:b/>
          <w:bCs/>
          <w:color w:val="000000" w:themeColor="text1"/>
          <w:sz w:val="24"/>
          <w:szCs w:val="24"/>
        </w:rPr>
        <w:t xml:space="preserve">njustices that </w:t>
      </w:r>
      <w:r w:rsidR="0070329B" w:rsidRPr="006A4DE4">
        <w:rPr>
          <w:rFonts w:ascii="Times New Roman" w:eastAsia="Times New Roman" w:hAnsi="Times New Roman" w:cs="Times New Roman"/>
          <w:b/>
          <w:bCs/>
          <w:color w:val="000000" w:themeColor="text1"/>
          <w:sz w:val="24"/>
          <w:szCs w:val="24"/>
        </w:rPr>
        <w:t>w</w:t>
      </w:r>
      <w:r w:rsidR="003125CC" w:rsidRPr="006A4DE4">
        <w:rPr>
          <w:rFonts w:ascii="Times New Roman" w:eastAsia="Times New Roman" w:hAnsi="Times New Roman" w:cs="Times New Roman"/>
          <w:b/>
          <w:bCs/>
          <w:color w:val="000000" w:themeColor="text1"/>
          <w:sz w:val="24"/>
          <w:szCs w:val="24"/>
        </w:rPr>
        <w:t xml:space="preserve">ere </w:t>
      </w:r>
      <w:r w:rsidR="0070329B" w:rsidRPr="006A4DE4">
        <w:rPr>
          <w:rFonts w:ascii="Times New Roman" w:eastAsia="Times New Roman" w:hAnsi="Times New Roman" w:cs="Times New Roman"/>
          <w:b/>
          <w:bCs/>
          <w:color w:val="000000" w:themeColor="text1"/>
          <w:sz w:val="24"/>
          <w:szCs w:val="24"/>
        </w:rPr>
        <w:t>n</w:t>
      </w:r>
      <w:r w:rsidR="003125CC" w:rsidRPr="006A4DE4">
        <w:rPr>
          <w:rFonts w:ascii="Times New Roman" w:eastAsia="Times New Roman" w:hAnsi="Times New Roman" w:cs="Times New Roman"/>
          <w:b/>
          <w:bCs/>
          <w:color w:val="000000" w:themeColor="text1"/>
          <w:sz w:val="24"/>
          <w:szCs w:val="24"/>
        </w:rPr>
        <w:t xml:space="preserve">ot </w:t>
      </w:r>
      <w:r w:rsidR="0070329B" w:rsidRPr="006A4DE4">
        <w:rPr>
          <w:rFonts w:ascii="Times New Roman" w:eastAsia="Times New Roman" w:hAnsi="Times New Roman" w:cs="Times New Roman"/>
          <w:b/>
          <w:bCs/>
          <w:color w:val="000000" w:themeColor="text1"/>
          <w:sz w:val="24"/>
          <w:szCs w:val="24"/>
        </w:rPr>
        <w:t>c</w:t>
      </w:r>
      <w:r w:rsidR="003125CC" w:rsidRPr="006A4DE4">
        <w:rPr>
          <w:rFonts w:ascii="Times New Roman" w:eastAsia="Times New Roman" w:hAnsi="Times New Roman" w:cs="Times New Roman"/>
          <w:b/>
          <w:bCs/>
          <w:color w:val="000000" w:themeColor="text1"/>
          <w:sz w:val="24"/>
          <w:szCs w:val="24"/>
        </w:rPr>
        <w:t>onsidered</w:t>
      </w:r>
    </w:p>
    <w:p w14:paraId="19882E44" w14:textId="5FE30C06" w:rsidR="003125CC" w:rsidRPr="006A4DE4" w:rsidRDefault="003125CC" w:rsidP="0070329B">
      <w:pPr>
        <w:pStyle w:val="Heading4"/>
        <w:numPr>
          <w:ilvl w:val="0"/>
          <w:numId w:val="27"/>
        </w:numPr>
        <w:ind w:left="2160" w:hanging="720"/>
        <w:rPr>
          <w:rFonts w:ascii="Times New Roman" w:eastAsia="Times New Roman" w:hAnsi="Times New Roman" w:cs="Times New Roman"/>
          <w:b/>
          <w:bCs/>
          <w:i w:val="0"/>
          <w:iCs w:val="0"/>
          <w:color w:val="000000" w:themeColor="text1"/>
          <w:sz w:val="24"/>
          <w:szCs w:val="24"/>
        </w:rPr>
      </w:pPr>
      <w:r w:rsidRPr="006A4DE4">
        <w:rPr>
          <w:rFonts w:ascii="Times New Roman" w:eastAsia="Times New Roman" w:hAnsi="Times New Roman" w:cs="Times New Roman"/>
          <w:b/>
          <w:bCs/>
          <w:i w:val="0"/>
          <w:iCs w:val="0"/>
          <w:color w:val="000000" w:themeColor="text1"/>
          <w:sz w:val="24"/>
          <w:szCs w:val="24"/>
        </w:rPr>
        <w:t xml:space="preserve">Removal of </w:t>
      </w:r>
      <w:r w:rsidR="0070329B" w:rsidRPr="006A4DE4">
        <w:rPr>
          <w:rFonts w:ascii="Times New Roman" w:eastAsia="Times New Roman" w:hAnsi="Times New Roman" w:cs="Times New Roman"/>
          <w:b/>
          <w:bCs/>
          <w:i w:val="0"/>
          <w:iCs w:val="0"/>
          <w:color w:val="000000" w:themeColor="text1"/>
          <w:sz w:val="24"/>
          <w:szCs w:val="24"/>
        </w:rPr>
        <w:t>d</w:t>
      </w:r>
      <w:r w:rsidRPr="006A4DE4">
        <w:rPr>
          <w:rFonts w:ascii="Times New Roman" w:eastAsia="Times New Roman" w:hAnsi="Times New Roman" w:cs="Times New Roman"/>
          <w:b/>
          <w:bCs/>
          <w:i w:val="0"/>
          <w:iCs w:val="0"/>
          <w:color w:val="000000" w:themeColor="text1"/>
          <w:sz w:val="24"/>
          <w:szCs w:val="24"/>
        </w:rPr>
        <w:t xml:space="preserve">isadvantaged </w:t>
      </w:r>
      <w:r w:rsidR="0070329B" w:rsidRPr="006A4DE4">
        <w:rPr>
          <w:rFonts w:ascii="Times New Roman" w:eastAsia="Times New Roman" w:hAnsi="Times New Roman" w:cs="Times New Roman"/>
          <w:b/>
          <w:bCs/>
          <w:i w:val="0"/>
          <w:iCs w:val="0"/>
          <w:color w:val="000000" w:themeColor="text1"/>
          <w:sz w:val="24"/>
          <w:szCs w:val="24"/>
        </w:rPr>
        <w:t>g</w:t>
      </w:r>
      <w:r w:rsidRPr="006A4DE4">
        <w:rPr>
          <w:rFonts w:ascii="Times New Roman" w:eastAsia="Times New Roman" w:hAnsi="Times New Roman" w:cs="Times New Roman"/>
          <w:b/>
          <w:bCs/>
          <w:i w:val="0"/>
          <w:iCs w:val="0"/>
          <w:color w:val="000000" w:themeColor="text1"/>
          <w:sz w:val="24"/>
          <w:szCs w:val="24"/>
        </w:rPr>
        <w:t xml:space="preserve">roups in </w:t>
      </w:r>
      <w:r w:rsidR="0070329B" w:rsidRPr="006A4DE4">
        <w:rPr>
          <w:rFonts w:ascii="Times New Roman" w:eastAsia="Times New Roman" w:hAnsi="Times New Roman" w:cs="Times New Roman"/>
          <w:b/>
          <w:bCs/>
          <w:i w:val="0"/>
          <w:iCs w:val="0"/>
          <w:color w:val="000000" w:themeColor="text1"/>
          <w:sz w:val="24"/>
          <w:szCs w:val="24"/>
        </w:rPr>
        <w:t>p</w:t>
      </w:r>
      <w:r w:rsidRPr="006A4DE4">
        <w:rPr>
          <w:rFonts w:ascii="Times New Roman" w:eastAsia="Times New Roman" w:hAnsi="Times New Roman" w:cs="Times New Roman"/>
          <w:b/>
          <w:bCs/>
          <w:i w:val="0"/>
          <w:iCs w:val="0"/>
          <w:color w:val="000000" w:themeColor="text1"/>
          <w:sz w:val="24"/>
          <w:szCs w:val="24"/>
        </w:rPr>
        <w:t xml:space="preserve">olicy </w:t>
      </w:r>
      <w:r w:rsidR="0070329B" w:rsidRPr="006A4DE4">
        <w:rPr>
          <w:rFonts w:ascii="Times New Roman" w:eastAsia="Times New Roman" w:hAnsi="Times New Roman" w:cs="Times New Roman"/>
          <w:b/>
          <w:bCs/>
          <w:i w:val="0"/>
          <w:iCs w:val="0"/>
          <w:color w:val="000000" w:themeColor="text1"/>
          <w:sz w:val="24"/>
          <w:szCs w:val="24"/>
        </w:rPr>
        <w:t>s</w:t>
      </w:r>
      <w:r w:rsidRPr="006A4DE4">
        <w:rPr>
          <w:rFonts w:ascii="Times New Roman" w:eastAsia="Times New Roman" w:hAnsi="Times New Roman" w:cs="Times New Roman"/>
          <w:b/>
          <w:bCs/>
          <w:i w:val="0"/>
          <w:iCs w:val="0"/>
          <w:color w:val="000000" w:themeColor="text1"/>
          <w:sz w:val="24"/>
          <w:szCs w:val="24"/>
        </w:rPr>
        <w:t>ection</w:t>
      </w:r>
    </w:p>
    <w:p w14:paraId="53892CE6" w14:textId="68F3D08F" w:rsidR="003125CC" w:rsidRPr="006A4DE4" w:rsidRDefault="003125CC" w:rsidP="00D03E25">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The DOT’s removal of policy language addressing consideration of “disadvantaged groups” is a direct rebuke to DOT’s commitment to Environmental Justice principles. </w:t>
      </w:r>
      <w:r w:rsidRPr="006A4DE4">
        <w:rPr>
          <w:rFonts w:ascii="Times New Roman" w:eastAsia="Times New Roman" w:hAnsi="Times New Roman" w:cs="Times New Roman"/>
          <w:i/>
          <w:color w:val="000000" w:themeColor="text1"/>
          <w:sz w:val="24"/>
          <w:szCs w:val="24"/>
        </w:rPr>
        <w:t xml:space="preserve">See </w:t>
      </w:r>
      <w:proofErr w:type="gramStart"/>
      <w:r w:rsidRPr="006A4DE4">
        <w:rPr>
          <w:rFonts w:ascii="Times New Roman" w:eastAsia="Times New Roman" w:hAnsi="Times New Roman" w:cs="Times New Roman"/>
          <w:i/>
          <w:color w:val="000000" w:themeColor="text1"/>
          <w:sz w:val="24"/>
          <w:szCs w:val="24"/>
        </w:rPr>
        <w:t>supra Section</w:t>
      </w:r>
      <w:proofErr w:type="gramEnd"/>
      <w:r w:rsidRPr="006A4DE4">
        <w:rPr>
          <w:rFonts w:ascii="Times New Roman" w:eastAsia="Times New Roman" w:hAnsi="Times New Roman" w:cs="Times New Roman"/>
          <w:i/>
          <w:color w:val="000000" w:themeColor="text1"/>
          <w:sz w:val="24"/>
          <w:szCs w:val="24"/>
        </w:rPr>
        <w:t xml:space="preserve"> </w:t>
      </w:r>
      <w:r w:rsidRPr="006A4DE4">
        <w:rPr>
          <w:rFonts w:ascii="Times New Roman" w:eastAsia="Times New Roman" w:hAnsi="Times New Roman" w:cs="Times New Roman"/>
          <w:color w:val="000000" w:themeColor="text1"/>
          <w:sz w:val="24"/>
          <w:szCs w:val="24"/>
        </w:rPr>
        <w:t>[</w:t>
      </w:r>
      <w:r w:rsidRPr="006A4DE4">
        <w:rPr>
          <w:rFonts w:ascii="Times New Roman" w:eastAsia="Times New Roman" w:hAnsi="Times New Roman" w:cs="Times New Roman"/>
          <w:color w:val="000000" w:themeColor="text1"/>
          <w:sz w:val="24"/>
          <w:szCs w:val="24"/>
          <w:highlight w:val="yellow"/>
        </w:rPr>
        <w:t>fill in section on DOT prior order</w:t>
      </w:r>
      <w:r w:rsidRPr="006A4DE4">
        <w:rPr>
          <w:rFonts w:ascii="Times New Roman" w:eastAsia="Times New Roman" w:hAnsi="Times New Roman" w:cs="Times New Roman"/>
          <w:color w:val="000000" w:themeColor="text1"/>
          <w:sz w:val="24"/>
          <w:szCs w:val="24"/>
        </w:rPr>
        <w:t xml:space="preserve">]. This will have disproportionate impacts on environmental justice communities. DOT’s policy provision governs what environmental impacts should be considered by agencies. 85 Fed. Reg., 74,640, 74,645 (Nov. 23, 2020). DOT’s erasure of policy language that directs agencies to consider impacts on “disadvantaged groups” weakens its current guidance. </w:t>
      </w:r>
      <w:r w:rsidRPr="006A4DE4">
        <w:rPr>
          <w:rFonts w:ascii="Times New Roman" w:eastAsia="Times New Roman" w:hAnsi="Times New Roman" w:cs="Times New Roman"/>
          <w:i/>
          <w:iCs/>
          <w:color w:val="000000" w:themeColor="text1"/>
          <w:sz w:val="24"/>
          <w:szCs w:val="24"/>
        </w:rPr>
        <w:t>Id.</w:t>
      </w:r>
      <w:r w:rsidRPr="006A4DE4">
        <w:rPr>
          <w:rFonts w:ascii="Times New Roman" w:eastAsia="Times New Roman" w:hAnsi="Times New Roman" w:cs="Times New Roman"/>
          <w:color w:val="000000" w:themeColor="text1"/>
          <w:sz w:val="24"/>
          <w:szCs w:val="24"/>
        </w:rPr>
        <w:t xml:space="preserve">  Through this omission, DOT implicitly authorizes its agencies to ignore these impacts. According to DOT’s sub-agency, the Federal Highway Administration, “transportation practitioners struggle with identifying and assessing environmental justice impacts as part of project reviews conducted under the National Environmental Policy Act (NEPA)” despite existing policy guidance. FHWA Report Environmental Justice and NEPA in the Transportation Arena: Project Highlights (2013).  Removing this explicit policy language does not lessen this “struggle.” Rather, this omission makes it even more difficult for DOT’s agencies to develop a consistent practice that incorporates environmental justice principles into NEPA review.</w:t>
      </w:r>
    </w:p>
    <w:p w14:paraId="508C5D81" w14:textId="4B21D041" w:rsidR="003125CC" w:rsidRPr="006A4DE4" w:rsidRDefault="0070329B" w:rsidP="0070329B">
      <w:pPr>
        <w:pStyle w:val="Heading4"/>
        <w:numPr>
          <w:ilvl w:val="0"/>
          <w:numId w:val="27"/>
        </w:numPr>
        <w:ind w:left="2160" w:hanging="720"/>
        <w:rPr>
          <w:rFonts w:ascii="Times New Roman" w:eastAsia="Times New Roman" w:hAnsi="Times New Roman" w:cs="Times New Roman"/>
          <w:b/>
          <w:bCs/>
          <w:i w:val="0"/>
          <w:iCs w:val="0"/>
          <w:color w:val="000000" w:themeColor="text1"/>
          <w:sz w:val="24"/>
          <w:szCs w:val="24"/>
        </w:rPr>
      </w:pPr>
      <w:r w:rsidRPr="006A4DE4">
        <w:rPr>
          <w:rFonts w:ascii="Times New Roman" w:eastAsia="Times New Roman" w:hAnsi="Times New Roman" w:cs="Times New Roman"/>
          <w:b/>
          <w:bCs/>
          <w:i w:val="0"/>
          <w:iCs w:val="0"/>
          <w:color w:val="000000" w:themeColor="text1"/>
          <w:sz w:val="24"/>
          <w:szCs w:val="24"/>
        </w:rPr>
        <w:t>The Proposed Rule will reduce opportunities for p</w:t>
      </w:r>
      <w:r w:rsidR="003125CC" w:rsidRPr="006A4DE4">
        <w:rPr>
          <w:rFonts w:ascii="Times New Roman" w:eastAsia="Times New Roman" w:hAnsi="Times New Roman" w:cs="Times New Roman"/>
          <w:b/>
          <w:bCs/>
          <w:i w:val="0"/>
          <w:iCs w:val="0"/>
          <w:color w:val="000000" w:themeColor="text1"/>
          <w:sz w:val="24"/>
          <w:szCs w:val="24"/>
        </w:rPr>
        <w:t xml:space="preserve">ublic </w:t>
      </w:r>
      <w:r w:rsidRPr="006A4DE4">
        <w:rPr>
          <w:rFonts w:ascii="Times New Roman" w:eastAsia="Times New Roman" w:hAnsi="Times New Roman" w:cs="Times New Roman"/>
          <w:b/>
          <w:bCs/>
          <w:i w:val="0"/>
          <w:iCs w:val="0"/>
          <w:color w:val="000000" w:themeColor="text1"/>
          <w:sz w:val="24"/>
          <w:szCs w:val="24"/>
        </w:rPr>
        <w:t>p</w:t>
      </w:r>
      <w:r w:rsidR="003125CC" w:rsidRPr="006A4DE4">
        <w:rPr>
          <w:rFonts w:ascii="Times New Roman" w:eastAsia="Times New Roman" w:hAnsi="Times New Roman" w:cs="Times New Roman"/>
          <w:b/>
          <w:bCs/>
          <w:i w:val="0"/>
          <w:iCs w:val="0"/>
          <w:color w:val="000000" w:themeColor="text1"/>
          <w:sz w:val="24"/>
          <w:szCs w:val="24"/>
        </w:rPr>
        <w:t>articipation</w:t>
      </w:r>
    </w:p>
    <w:p w14:paraId="33EBF18F" w14:textId="77777777" w:rsidR="003125CC" w:rsidRPr="006A4DE4" w:rsidRDefault="003125CC" w:rsidP="00D03E25">
      <w:pPr>
        <w:spacing w:after="0" w:line="240" w:lineRule="auto"/>
        <w:ind w:firstLine="36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 The DOT’s rule will reduce public participation limiting input from communities most affected by DOT’s decisions. NEPA proponents emphasize the importance of public involvement in the decision-making process as a tool to ensure environmental justice impacts are considered. As the Federal Highway Administration recognizes, “[e]</w:t>
      </w:r>
      <w:proofErr w:type="spellStart"/>
      <w:r w:rsidRPr="006A4DE4">
        <w:rPr>
          <w:rFonts w:ascii="Times New Roman" w:eastAsia="Times New Roman" w:hAnsi="Times New Roman" w:cs="Times New Roman"/>
          <w:color w:val="000000" w:themeColor="text1"/>
          <w:sz w:val="24"/>
          <w:szCs w:val="24"/>
        </w:rPr>
        <w:t>nhanced</w:t>
      </w:r>
      <w:proofErr w:type="spellEnd"/>
      <w:r w:rsidRPr="006A4DE4">
        <w:rPr>
          <w:rFonts w:ascii="Times New Roman" w:eastAsia="Times New Roman" w:hAnsi="Times New Roman" w:cs="Times New Roman"/>
          <w:color w:val="000000" w:themeColor="text1"/>
          <w:sz w:val="24"/>
          <w:szCs w:val="24"/>
        </w:rPr>
        <w:t xml:space="preserve"> public involvement to ensure meaningful participation of low-income and minority populations in the environmental review process informs every aspect of the environmental justice analysis, from identifying populations and understanding what is important to communities, to characterizing impacts and developing appropriate mitigation measures.” Fed. Highway Admin., Environmental Justice and NEPA in the Transportation Area: Project Highlights at 35, (2015) (effective practices from Fed. Highway Admin. case studies). Nothing in the proposed rule addresses the need to conduct targeted outreach to ensure these communities participate in the decision-making process.</w:t>
      </w:r>
    </w:p>
    <w:p w14:paraId="7D9ED0AA" w14:textId="77777777" w:rsidR="003125CC" w:rsidRPr="006A4DE4" w:rsidRDefault="003125CC" w:rsidP="00D03E25">
      <w:pPr>
        <w:spacing w:after="0" w:line="240" w:lineRule="auto"/>
        <w:ind w:firstLine="36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     The proposed rule’s emphasis on accelerating review timelines and abbreviating content in the environmental review process diminishes opportunities for meaningful participation. These measures reduce publicly available information regarding the project preventing the public from having crucial data it needs to effectively engage in the review process. The Proposed rule’s shortening of page limits for EAs, for example, will require agencies to omit relevant analysis in the public document that may aid communities in determining what the environmental impacts of a project are. Mechanisms to expedite the review process, such as the collapsing of the FEIS and ROD, will reduce the windows of opportunity for public input during the review process lessening opportunities for the public to engage and provide feedback. </w:t>
      </w:r>
      <w:proofErr w:type="gramStart"/>
      <w:r w:rsidRPr="006A4DE4">
        <w:rPr>
          <w:rFonts w:ascii="Times New Roman" w:eastAsia="Times New Roman" w:hAnsi="Times New Roman" w:cs="Times New Roman"/>
          <w:color w:val="000000" w:themeColor="text1"/>
          <w:sz w:val="24"/>
          <w:szCs w:val="24"/>
        </w:rPr>
        <w:t>As a consequence</w:t>
      </w:r>
      <w:proofErr w:type="gramEnd"/>
      <w:r w:rsidRPr="006A4DE4">
        <w:rPr>
          <w:rFonts w:ascii="Times New Roman" w:eastAsia="Times New Roman" w:hAnsi="Times New Roman" w:cs="Times New Roman"/>
          <w:color w:val="000000" w:themeColor="text1"/>
          <w:sz w:val="24"/>
          <w:szCs w:val="24"/>
        </w:rPr>
        <w:t xml:space="preserve">, the agency will not be as accountable to the needs of the community.  </w:t>
      </w:r>
    </w:p>
    <w:p w14:paraId="50B8022B" w14:textId="77777777" w:rsidR="003125CC" w:rsidRPr="006A4DE4" w:rsidRDefault="003125CC" w:rsidP="00D03E25">
      <w:pPr>
        <w:spacing w:after="0" w:line="240" w:lineRule="auto"/>
        <w:ind w:firstLine="360"/>
        <w:rPr>
          <w:rFonts w:ascii="Times New Roman" w:eastAsia="Times New Roman" w:hAnsi="Times New Roman" w:cs="Times New Roman"/>
          <w:color w:val="000000" w:themeColor="text1"/>
          <w:sz w:val="24"/>
          <w:szCs w:val="24"/>
          <w:u w:val="single"/>
        </w:rPr>
      </w:pPr>
      <w:r w:rsidRPr="006A4DE4">
        <w:rPr>
          <w:rFonts w:ascii="Times New Roman" w:eastAsia="Times New Roman" w:hAnsi="Times New Roman" w:cs="Times New Roman"/>
          <w:color w:val="000000" w:themeColor="text1"/>
          <w:sz w:val="24"/>
          <w:szCs w:val="24"/>
        </w:rPr>
        <w:t xml:space="preserve">      Denying these </w:t>
      </w:r>
      <w:proofErr w:type="gramStart"/>
      <w:r w:rsidRPr="006A4DE4">
        <w:rPr>
          <w:rFonts w:ascii="Times New Roman" w:eastAsia="Times New Roman" w:hAnsi="Times New Roman" w:cs="Times New Roman"/>
          <w:color w:val="000000" w:themeColor="text1"/>
          <w:sz w:val="24"/>
          <w:szCs w:val="24"/>
        </w:rPr>
        <w:t>communities</w:t>
      </w:r>
      <w:proofErr w:type="gramEnd"/>
      <w:r w:rsidRPr="006A4DE4">
        <w:rPr>
          <w:rFonts w:ascii="Times New Roman" w:eastAsia="Times New Roman" w:hAnsi="Times New Roman" w:cs="Times New Roman"/>
          <w:color w:val="000000" w:themeColor="text1"/>
          <w:sz w:val="24"/>
          <w:szCs w:val="24"/>
        </w:rPr>
        <w:t xml:space="preserve"> a seat at the table in their own home environment will lead to poorly informed decision-making that have disproportionate adverse effects on communities confronting environmental injustices. Without community involvement, DOT will not be able to adequately identify affected communities and their leaders nor be cognizant of culturally responsive outreach methods. DOT will not receive input on what is important to these communities. DOT will also not be able to successfully characterize impacts or propose effective mitigation. DOT’s NEPA analysis will be fundamentally flawed without an affirmative and rigorous approach to soliciting and incorporating feedback from communities that confront environmental injustice into the review process and final project selection. </w:t>
      </w:r>
    </w:p>
    <w:p w14:paraId="3E380190" w14:textId="4F5B6252" w:rsidR="003125CC" w:rsidRPr="006A4DE4" w:rsidRDefault="00C02BBB" w:rsidP="00D03E25">
      <w:pPr>
        <w:pStyle w:val="Heading4"/>
        <w:numPr>
          <w:ilvl w:val="0"/>
          <w:numId w:val="27"/>
        </w:numPr>
        <w:spacing w:before="120" w:after="120" w:line="240" w:lineRule="auto"/>
        <w:ind w:left="2160" w:hanging="720"/>
        <w:rPr>
          <w:rFonts w:ascii="Times New Roman" w:eastAsia="Times New Roman" w:hAnsi="Times New Roman" w:cs="Times New Roman"/>
          <w:b/>
          <w:bCs/>
          <w:i w:val="0"/>
          <w:iCs w:val="0"/>
          <w:color w:val="000000" w:themeColor="text1"/>
          <w:sz w:val="24"/>
          <w:szCs w:val="24"/>
        </w:rPr>
      </w:pPr>
      <w:r w:rsidRPr="006A4DE4">
        <w:rPr>
          <w:rFonts w:ascii="Times New Roman" w:eastAsia="Times New Roman" w:hAnsi="Times New Roman" w:cs="Times New Roman"/>
          <w:b/>
          <w:bCs/>
          <w:i w:val="0"/>
          <w:iCs w:val="0"/>
          <w:color w:val="000000" w:themeColor="text1"/>
          <w:sz w:val="24"/>
          <w:szCs w:val="24"/>
        </w:rPr>
        <w:t>The Proposed Rule imposed l</w:t>
      </w:r>
      <w:r w:rsidR="003125CC" w:rsidRPr="006A4DE4">
        <w:rPr>
          <w:rFonts w:ascii="Times New Roman" w:eastAsia="Times New Roman" w:hAnsi="Times New Roman" w:cs="Times New Roman"/>
          <w:b/>
          <w:bCs/>
          <w:i w:val="0"/>
          <w:iCs w:val="0"/>
          <w:color w:val="000000" w:themeColor="text1"/>
          <w:sz w:val="24"/>
          <w:szCs w:val="24"/>
        </w:rPr>
        <w:t xml:space="preserve">imitations on the </w:t>
      </w:r>
      <w:r w:rsidRPr="006A4DE4">
        <w:rPr>
          <w:rFonts w:ascii="Times New Roman" w:eastAsia="Times New Roman" w:hAnsi="Times New Roman" w:cs="Times New Roman"/>
          <w:b/>
          <w:bCs/>
          <w:i w:val="0"/>
          <w:iCs w:val="0"/>
          <w:color w:val="000000" w:themeColor="text1"/>
          <w:sz w:val="24"/>
          <w:szCs w:val="24"/>
        </w:rPr>
        <w:t>r</w:t>
      </w:r>
      <w:r w:rsidR="003125CC" w:rsidRPr="006A4DE4">
        <w:rPr>
          <w:rFonts w:ascii="Times New Roman" w:eastAsia="Times New Roman" w:hAnsi="Times New Roman" w:cs="Times New Roman"/>
          <w:b/>
          <w:bCs/>
          <w:i w:val="0"/>
          <w:iCs w:val="0"/>
          <w:color w:val="000000" w:themeColor="text1"/>
          <w:sz w:val="24"/>
          <w:szCs w:val="24"/>
        </w:rPr>
        <w:t xml:space="preserve">ange of </w:t>
      </w:r>
      <w:r w:rsidRPr="006A4DE4">
        <w:rPr>
          <w:rFonts w:ascii="Times New Roman" w:eastAsia="Times New Roman" w:hAnsi="Times New Roman" w:cs="Times New Roman"/>
          <w:b/>
          <w:bCs/>
          <w:i w:val="0"/>
          <w:iCs w:val="0"/>
          <w:color w:val="000000" w:themeColor="text1"/>
          <w:sz w:val="24"/>
          <w:szCs w:val="24"/>
        </w:rPr>
        <w:t>a</w:t>
      </w:r>
      <w:r w:rsidR="003125CC" w:rsidRPr="006A4DE4">
        <w:rPr>
          <w:rFonts w:ascii="Times New Roman" w:eastAsia="Times New Roman" w:hAnsi="Times New Roman" w:cs="Times New Roman"/>
          <w:b/>
          <w:bCs/>
          <w:i w:val="0"/>
          <w:iCs w:val="0"/>
          <w:color w:val="000000" w:themeColor="text1"/>
          <w:sz w:val="24"/>
          <w:szCs w:val="24"/>
        </w:rPr>
        <w:t>lternatives</w:t>
      </w:r>
    </w:p>
    <w:p w14:paraId="05A0D845" w14:textId="77777777" w:rsidR="003125CC" w:rsidRPr="006A4DE4" w:rsidRDefault="003125CC" w:rsidP="00D03E25">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DOT’s proposed rule limits the range of alternatives it will consider in an EA and lessens the agency’s burden to explain why other alternatives were rejected. The range of alternatives discussion is an opportunity for environmental justice communities to play a notable role in shaping project development. Limiting the range of alternatives effectively limits choice and information. Providing cursory explanations does not promote transparency in government decision-making nor does it empower residents to </w:t>
      </w:r>
      <w:proofErr w:type="gramStart"/>
      <w:r w:rsidRPr="006A4DE4">
        <w:rPr>
          <w:rFonts w:ascii="Times New Roman" w:eastAsia="Times New Roman" w:hAnsi="Times New Roman" w:cs="Times New Roman"/>
          <w:color w:val="000000" w:themeColor="text1"/>
          <w:sz w:val="24"/>
          <w:szCs w:val="24"/>
        </w:rPr>
        <w:t>actively and meaningfully participate in the decision-making process</w:t>
      </w:r>
      <w:proofErr w:type="gramEnd"/>
      <w:r w:rsidRPr="006A4DE4">
        <w:rPr>
          <w:rFonts w:ascii="Times New Roman" w:eastAsia="Times New Roman" w:hAnsi="Times New Roman" w:cs="Times New Roman"/>
          <w:color w:val="000000" w:themeColor="text1"/>
          <w:sz w:val="24"/>
          <w:szCs w:val="24"/>
        </w:rPr>
        <w:t xml:space="preserve">. By withholding information to the public, communities facing environmental injustices cannot effectively advocate for their preferred alternative. </w:t>
      </w:r>
    </w:p>
    <w:p w14:paraId="06957236" w14:textId="77777777" w:rsidR="003125CC" w:rsidRPr="006A4DE4" w:rsidRDefault="003125CC" w:rsidP="00D03E25">
      <w:pPr>
        <w:spacing w:after="0" w:line="240" w:lineRule="auto"/>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DOT’s proposed rule also fails to account for how the following regulatory changes impact communities facing environmental injustice.</w:t>
      </w:r>
    </w:p>
    <w:p w14:paraId="2E4B3C5D" w14:textId="54873DD3" w:rsidR="003125CC" w:rsidRPr="006A4DE4" w:rsidRDefault="00C02BBB" w:rsidP="00D03E25">
      <w:pPr>
        <w:pStyle w:val="Heading4"/>
        <w:numPr>
          <w:ilvl w:val="0"/>
          <w:numId w:val="27"/>
        </w:numPr>
        <w:spacing w:before="120" w:after="120" w:line="240" w:lineRule="auto"/>
        <w:ind w:left="2160" w:hanging="720"/>
        <w:rPr>
          <w:rFonts w:ascii="Times New Roman" w:eastAsia="Times New Roman" w:hAnsi="Times New Roman" w:cs="Times New Roman"/>
          <w:b/>
          <w:bCs/>
          <w:i w:val="0"/>
          <w:iCs w:val="0"/>
          <w:color w:val="000000" w:themeColor="text1"/>
          <w:sz w:val="24"/>
          <w:szCs w:val="24"/>
        </w:rPr>
      </w:pPr>
      <w:r w:rsidRPr="006A4DE4">
        <w:rPr>
          <w:rFonts w:ascii="Times New Roman" w:eastAsia="Times New Roman" w:hAnsi="Times New Roman" w:cs="Times New Roman"/>
          <w:b/>
          <w:bCs/>
          <w:i w:val="0"/>
          <w:iCs w:val="0"/>
          <w:color w:val="000000" w:themeColor="text1"/>
          <w:sz w:val="24"/>
          <w:szCs w:val="24"/>
        </w:rPr>
        <w:t>The Proposed Rule r</w:t>
      </w:r>
      <w:r w:rsidR="003125CC" w:rsidRPr="006A4DE4">
        <w:rPr>
          <w:rFonts w:ascii="Times New Roman" w:eastAsia="Times New Roman" w:hAnsi="Times New Roman" w:cs="Times New Roman"/>
          <w:b/>
          <w:bCs/>
          <w:i w:val="0"/>
          <w:iCs w:val="0"/>
          <w:color w:val="000000" w:themeColor="text1"/>
          <w:sz w:val="24"/>
          <w:szCs w:val="24"/>
        </w:rPr>
        <w:t>estri</w:t>
      </w:r>
      <w:r w:rsidRPr="006A4DE4">
        <w:rPr>
          <w:rFonts w:ascii="Times New Roman" w:eastAsia="Times New Roman" w:hAnsi="Times New Roman" w:cs="Times New Roman"/>
          <w:b/>
          <w:bCs/>
          <w:i w:val="0"/>
          <w:iCs w:val="0"/>
          <w:color w:val="000000" w:themeColor="text1"/>
          <w:sz w:val="24"/>
          <w:szCs w:val="24"/>
        </w:rPr>
        <w:t>ct</w:t>
      </w:r>
      <w:r w:rsidR="003125CC" w:rsidRPr="006A4DE4">
        <w:rPr>
          <w:rFonts w:ascii="Times New Roman" w:eastAsia="Times New Roman" w:hAnsi="Times New Roman" w:cs="Times New Roman"/>
          <w:b/>
          <w:bCs/>
          <w:i w:val="0"/>
          <w:iCs w:val="0"/>
          <w:color w:val="000000" w:themeColor="text1"/>
          <w:sz w:val="24"/>
          <w:szCs w:val="24"/>
        </w:rPr>
        <w:t xml:space="preserve">s </w:t>
      </w:r>
      <w:r w:rsidRPr="006A4DE4">
        <w:rPr>
          <w:rFonts w:ascii="Times New Roman" w:eastAsia="Times New Roman" w:hAnsi="Times New Roman" w:cs="Times New Roman"/>
          <w:b/>
          <w:bCs/>
          <w:i w:val="0"/>
          <w:iCs w:val="0"/>
          <w:color w:val="000000" w:themeColor="text1"/>
          <w:sz w:val="24"/>
          <w:szCs w:val="24"/>
        </w:rPr>
        <w:t xml:space="preserve">the </w:t>
      </w:r>
      <w:r w:rsidR="003125CC" w:rsidRPr="006A4DE4">
        <w:rPr>
          <w:rFonts w:ascii="Times New Roman" w:eastAsia="Times New Roman" w:hAnsi="Times New Roman" w:cs="Times New Roman"/>
          <w:b/>
          <w:bCs/>
          <w:i w:val="0"/>
          <w:iCs w:val="0"/>
          <w:color w:val="000000" w:themeColor="text1"/>
          <w:sz w:val="24"/>
          <w:szCs w:val="24"/>
        </w:rPr>
        <w:t>analysis of cumulative effects</w:t>
      </w:r>
    </w:p>
    <w:p w14:paraId="17577ED9" w14:textId="77777777" w:rsidR="003125CC" w:rsidRPr="006A4DE4" w:rsidRDefault="003125CC" w:rsidP="00D03E25">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Environmental justice addresses the disproportionate impact of pollution and environmental degradation on people of color and low-income communities. Cumulative impact analysis is essential to identifying whether and how low income and frontline communities of color may be overburdened by the additive environmental impacts of a proposed federal action, particularly actions that contribute air, land, and water pollution to the environment. By eliminating cumulative impact review, the Proposed Rule allows agencies to sidestep considering environmental justice impacts. </w:t>
      </w:r>
    </w:p>
    <w:p w14:paraId="12AA141D" w14:textId="5497C54A" w:rsidR="003125CC" w:rsidRPr="006A4DE4" w:rsidRDefault="003125CC" w:rsidP="00D03E25">
      <w:pPr>
        <w:pStyle w:val="Heading2"/>
        <w:numPr>
          <w:ilvl w:val="0"/>
          <w:numId w:val="26"/>
        </w:numPr>
        <w:spacing w:before="120" w:after="120" w:line="240" w:lineRule="auto"/>
        <w:ind w:left="1440" w:hanging="720"/>
        <w:rPr>
          <w:rFonts w:ascii="Times New Roman" w:eastAsia="Times New Roman" w:hAnsi="Times New Roman" w:cs="Times New Roman"/>
          <w:b/>
          <w:bCs/>
          <w:color w:val="000000" w:themeColor="text1"/>
          <w:sz w:val="24"/>
          <w:szCs w:val="24"/>
        </w:rPr>
      </w:pPr>
      <w:r w:rsidRPr="006A4DE4">
        <w:rPr>
          <w:rFonts w:ascii="Times New Roman" w:eastAsia="Times New Roman" w:hAnsi="Times New Roman" w:cs="Times New Roman"/>
          <w:b/>
          <w:bCs/>
          <w:color w:val="000000" w:themeColor="text1"/>
          <w:sz w:val="24"/>
          <w:szCs w:val="24"/>
        </w:rPr>
        <w:t xml:space="preserve">The Proposed </w:t>
      </w:r>
      <w:r w:rsidR="0017099F" w:rsidRPr="006A4DE4">
        <w:rPr>
          <w:rFonts w:ascii="Times New Roman" w:eastAsia="Times New Roman" w:hAnsi="Times New Roman" w:cs="Times New Roman"/>
          <w:b/>
          <w:bCs/>
          <w:color w:val="000000" w:themeColor="text1"/>
          <w:sz w:val="24"/>
          <w:szCs w:val="24"/>
        </w:rPr>
        <w:t>Rule m</w:t>
      </w:r>
      <w:r w:rsidRPr="006A4DE4">
        <w:rPr>
          <w:rFonts w:ascii="Times New Roman" w:eastAsia="Times New Roman" w:hAnsi="Times New Roman" w:cs="Times New Roman"/>
          <w:b/>
          <w:bCs/>
          <w:color w:val="000000" w:themeColor="text1"/>
          <w:sz w:val="24"/>
          <w:szCs w:val="24"/>
        </w:rPr>
        <w:t xml:space="preserve">ay </w:t>
      </w:r>
      <w:r w:rsidR="0017099F" w:rsidRPr="006A4DE4">
        <w:rPr>
          <w:rFonts w:ascii="Times New Roman" w:eastAsia="Times New Roman" w:hAnsi="Times New Roman" w:cs="Times New Roman"/>
          <w:b/>
          <w:bCs/>
          <w:color w:val="000000" w:themeColor="text1"/>
          <w:sz w:val="24"/>
          <w:szCs w:val="24"/>
        </w:rPr>
        <w:t>n</w:t>
      </w:r>
      <w:r w:rsidRPr="006A4DE4">
        <w:rPr>
          <w:rFonts w:ascii="Times New Roman" w:eastAsia="Times New Roman" w:hAnsi="Times New Roman" w:cs="Times New Roman"/>
          <w:b/>
          <w:bCs/>
          <w:color w:val="000000" w:themeColor="text1"/>
          <w:sz w:val="24"/>
          <w:szCs w:val="24"/>
        </w:rPr>
        <w:t xml:space="preserve">ot </w:t>
      </w:r>
      <w:r w:rsidR="0017099F" w:rsidRPr="006A4DE4">
        <w:rPr>
          <w:rFonts w:ascii="Times New Roman" w:eastAsia="Times New Roman" w:hAnsi="Times New Roman" w:cs="Times New Roman"/>
          <w:b/>
          <w:bCs/>
          <w:color w:val="000000" w:themeColor="text1"/>
          <w:sz w:val="24"/>
          <w:szCs w:val="24"/>
        </w:rPr>
        <w:t>i</w:t>
      </w:r>
      <w:r w:rsidRPr="006A4DE4">
        <w:rPr>
          <w:rFonts w:ascii="Times New Roman" w:eastAsia="Times New Roman" w:hAnsi="Times New Roman" w:cs="Times New Roman"/>
          <w:b/>
          <w:bCs/>
          <w:color w:val="000000" w:themeColor="text1"/>
          <w:sz w:val="24"/>
          <w:szCs w:val="24"/>
        </w:rPr>
        <w:t xml:space="preserve">ncorporate the </w:t>
      </w:r>
      <w:r w:rsidR="0017099F" w:rsidRPr="006A4DE4">
        <w:rPr>
          <w:rFonts w:ascii="Times New Roman" w:eastAsia="Times New Roman" w:hAnsi="Times New Roman" w:cs="Times New Roman"/>
          <w:b/>
          <w:bCs/>
          <w:color w:val="000000" w:themeColor="text1"/>
          <w:sz w:val="24"/>
          <w:szCs w:val="24"/>
        </w:rPr>
        <w:t>revised</w:t>
      </w:r>
      <w:r w:rsidRPr="006A4DE4">
        <w:rPr>
          <w:rFonts w:ascii="Times New Roman" w:eastAsia="Times New Roman" w:hAnsi="Times New Roman" w:cs="Times New Roman"/>
          <w:b/>
          <w:bCs/>
          <w:color w:val="000000" w:themeColor="text1"/>
          <w:sz w:val="24"/>
          <w:szCs w:val="24"/>
        </w:rPr>
        <w:t xml:space="preserve"> CEQ Regulations </w:t>
      </w:r>
      <w:r w:rsidR="0017099F" w:rsidRPr="006A4DE4">
        <w:rPr>
          <w:rFonts w:ascii="Times New Roman" w:eastAsia="Times New Roman" w:hAnsi="Times New Roman" w:cs="Times New Roman"/>
          <w:b/>
          <w:bCs/>
          <w:color w:val="000000" w:themeColor="text1"/>
          <w:sz w:val="24"/>
          <w:szCs w:val="24"/>
        </w:rPr>
        <w:t>b</w:t>
      </w:r>
      <w:r w:rsidRPr="006A4DE4">
        <w:rPr>
          <w:rFonts w:ascii="Times New Roman" w:eastAsia="Times New Roman" w:hAnsi="Times New Roman" w:cs="Times New Roman"/>
          <w:b/>
          <w:bCs/>
          <w:color w:val="000000" w:themeColor="text1"/>
          <w:sz w:val="24"/>
          <w:szCs w:val="24"/>
        </w:rPr>
        <w:t xml:space="preserve">ecause </w:t>
      </w:r>
      <w:r w:rsidR="0017099F" w:rsidRPr="006A4DE4">
        <w:rPr>
          <w:rFonts w:ascii="Times New Roman" w:eastAsia="Times New Roman" w:hAnsi="Times New Roman" w:cs="Times New Roman"/>
          <w:b/>
          <w:bCs/>
          <w:color w:val="000000" w:themeColor="text1"/>
          <w:sz w:val="24"/>
          <w:szCs w:val="24"/>
        </w:rPr>
        <w:t>t</w:t>
      </w:r>
      <w:r w:rsidRPr="006A4DE4">
        <w:rPr>
          <w:rFonts w:ascii="Times New Roman" w:eastAsia="Times New Roman" w:hAnsi="Times New Roman" w:cs="Times New Roman"/>
          <w:b/>
          <w:bCs/>
          <w:color w:val="000000" w:themeColor="text1"/>
          <w:sz w:val="24"/>
          <w:szCs w:val="24"/>
        </w:rPr>
        <w:t xml:space="preserve">hose </w:t>
      </w:r>
      <w:r w:rsidR="0017099F" w:rsidRPr="006A4DE4">
        <w:rPr>
          <w:rFonts w:ascii="Times New Roman" w:eastAsia="Times New Roman" w:hAnsi="Times New Roman" w:cs="Times New Roman"/>
          <w:b/>
          <w:bCs/>
          <w:color w:val="000000" w:themeColor="text1"/>
          <w:sz w:val="24"/>
          <w:szCs w:val="24"/>
        </w:rPr>
        <w:t>r</w:t>
      </w:r>
      <w:r w:rsidRPr="006A4DE4">
        <w:rPr>
          <w:rFonts w:ascii="Times New Roman" w:eastAsia="Times New Roman" w:hAnsi="Times New Roman" w:cs="Times New Roman"/>
          <w:b/>
          <w:bCs/>
          <w:color w:val="000000" w:themeColor="text1"/>
          <w:sz w:val="24"/>
          <w:szCs w:val="24"/>
        </w:rPr>
        <w:t xml:space="preserve">egulations </w:t>
      </w:r>
      <w:r w:rsidR="0017099F" w:rsidRPr="006A4DE4">
        <w:rPr>
          <w:rFonts w:ascii="Times New Roman" w:eastAsia="Times New Roman" w:hAnsi="Times New Roman" w:cs="Times New Roman"/>
          <w:b/>
          <w:bCs/>
          <w:color w:val="000000" w:themeColor="text1"/>
          <w:sz w:val="24"/>
          <w:szCs w:val="24"/>
        </w:rPr>
        <w:t>a</w:t>
      </w:r>
      <w:r w:rsidRPr="006A4DE4">
        <w:rPr>
          <w:rFonts w:ascii="Times New Roman" w:eastAsia="Times New Roman" w:hAnsi="Times New Roman" w:cs="Times New Roman"/>
          <w:b/>
          <w:bCs/>
          <w:color w:val="000000" w:themeColor="text1"/>
          <w:sz w:val="24"/>
          <w:szCs w:val="24"/>
        </w:rPr>
        <w:t xml:space="preserve">lso </w:t>
      </w:r>
      <w:r w:rsidR="0017099F" w:rsidRPr="006A4DE4">
        <w:rPr>
          <w:rFonts w:ascii="Times New Roman" w:eastAsia="Times New Roman" w:hAnsi="Times New Roman" w:cs="Times New Roman"/>
          <w:b/>
          <w:bCs/>
          <w:color w:val="000000" w:themeColor="text1"/>
          <w:sz w:val="24"/>
          <w:szCs w:val="24"/>
        </w:rPr>
        <w:t>fa</w:t>
      </w:r>
      <w:r w:rsidRPr="006A4DE4">
        <w:rPr>
          <w:rFonts w:ascii="Times New Roman" w:eastAsia="Times New Roman" w:hAnsi="Times New Roman" w:cs="Times New Roman"/>
          <w:b/>
          <w:bCs/>
          <w:color w:val="000000" w:themeColor="text1"/>
          <w:sz w:val="24"/>
          <w:szCs w:val="24"/>
        </w:rPr>
        <w:t xml:space="preserve">iled to </w:t>
      </w:r>
      <w:r w:rsidR="0017099F" w:rsidRPr="006A4DE4">
        <w:rPr>
          <w:rFonts w:ascii="Times New Roman" w:eastAsia="Times New Roman" w:hAnsi="Times New Roman" w:cs="Times New Roman"/>
          <w:b/>
          <w:bCs/>
          <w:color w:val="000000" w:themeColor="text1"/>
          <w:sz w:val="24"/>
          <w:szCs w:val="24"/>
        </w:rPr>
        <w:t>c</w:t>
      </w:r>
      <w:r w:rsidRPr="006A4DE4">
        <w:rPr>
          <w:rFonts w:ascii="Times New Roman" w:eastAsia="Times New Roman" w:hAnsi="Times New Roman" w:cs="Times New Roman"/>
          <w:b/>
          <w:bCs/>
          <w:color w:val="000000" w:themeColor="text1"/>
          <w:sz w:val="24"/>
          <w:szCs w:val="24"/>
        </w:rPr>
        <w:t>omply with Executive Order 12,898</w:t>
      </w:r>
    </w:p>
    <w:p w14:paraId="21D268BD" w14:textId="77777777" w:rsidR="003125CC" w:rsidRPr="006A4DE4" w:rsidRDefault="003125CC" w:rsidP="000808D7">
      <w:pPr>
        <w:spacing w:after="0" w:line="240" w:lineRule="auto"/>
        <w:ind w:left="720"/>
        <w:contextualSpacing/>
        <w:rPr>
          <w:rFonts w:ascii="Times New Roman" w:eastAsia="Times New Roman" w:hAnsi="Times New Roman" w:cs="Times New Roman"/>
          <w:b/>
          <w:bCs/>
          <w:color w:val="000000" w:themeColor="text1"/>
          <w:sz w:val="24"/>
          <w:szCs w:val="24"/>
        </w:rPr>
      </w:pPr>
    </w:p>
    <w:p w14:paraId="2008EA16" w14:textId="77777777" w:rsidR="003125CC" w:rsidRPr="006A4DE4" w:rsidRDefault="003125CC" w:rsidP="000808D7">
      <w:pPr>
        <w:autoSpaceDE w:val="0"/>
        <w:autoSpaceDN w:val="0"/>
        <w:spacing w:after="0" w:line="240" w:lineRule="auto"/>
        <w:ind w:firstLine="360"/>
        <w:rPr>
          <w:rFonts w:ascii="Times New Roman" w:eastAsia="Calibri"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Several organizations have sued the CEQ because it failed to comply with Executive Order 12,898 when finalizing the new NEPA regulations. 85 Fed. Reg. at 43,304 (July 16, 2020) (“Final CEQ Rule”); </w:t>
      </w:r>
      <w:r w:rsidRPr="006A4DE4">
        <w:rPr>
          <w:rFonts w:ascii="Times New Roman" w:eastAsia="Times New Roman" w:hAnsi="Times New Roman" w:cs="Times New Roman"/>
          <w:i/>
          <w:color w:val="000000" w:themeColor="text1"/>
          <w:sz w:val="24"/>
          <w:szCs w:val="24"/>
        </w:rPr>
        <w:t xml:space="preserve">see Alaska Comm. Action on Toxics v. Council on Environmental Quality, </w:t>
      </w:r>
      <w:r w:rsidRPr="006A4DE4">
        <w:rPr>
          <w:rFonts w:ascii="Times New Roman" w:eastAsia="Times New Roman" w:hAnsi="Times New Roman" w:cs="Times New Roman"/>
          <w:color w:val="000000" w:themeColor="text1"/>
          <w:sz w:val="24"/>
          <w:szCs w:val="24"/>
        </w:rPr>
        <w:t xml:space="preserve">3:20-cv-5199, N.D. Cal. </w:t>
      </w:r>
      <w:r w:rsidRPr="006A4DE4">
        <w:rPr>
          <w:rFonts w:ascii="Times New Roman" w:eastAsia="Times New Roman" w:hAnsi="Times New Roman" w:cs="Times New Roman"/>
          <w:i/>
          <w:color w:val="000000" w:themeColor="text1"/>
          <w:sz w:val="24"/>
          <w:szCs w:val="24"/>
        </w:rPr>
        <w:t xml:space="preserve"> </w:t>
      </w:r>
      <w:r w:rsidRPr="006A4DE4">
        <w:rPr>
          <w:rFonts w:ascii="Times New Roman" w:eastAsia="Calibri" w:hAnsi="Times New Roman" w:cs="Times New Roman"/>
          <w:color w:val="000000" w:themeColor="text1"/>
          <w:sz w:val="24"/>
          <w:szCs w:val="24"/>
        </w:rPr>
        <w:t xml:space="preserve">In the Final CEQ Rule, CEQ acknowledged that it was required to analyze the effect of its proposal on Executive Order </w:t>
      </w:r>
      <w:proofErr w:type="gramStart"/>
      <w:r w:rsidRPr="006A4DE4">
        <w:rPr>
          <w:rFonts w:ascii="Times New Roman" w:eastAsia="Calibri" w:hAnsi="Times New Roman" w:cs="Times New Roman"/>
          <w:color w:val="000000" w:themeColor="text1"/>
          <w:sz w:val="24"/>
          <w:szCs w:val="24"/>
        </w:rPr>
        <w:t>12898, and</w:t>
      </w:r>
      <w:proofErr w:type="gramEnd"/>
      <w:r w:rsidRPr="006A4DE4">
        <w:rPr>
          <w:rFonts w:ascii="Times New Roman" w:eastAsia="Calibri" w:hAnsi="Times New Roman" w:cs="Times New Roman"/>
          <w:color w:val="000000" w:themeColor="text1"/>
          <w:sz w:val="24"/>
          <w:szCs w:val="24"/>
        </w:rPr>
        <w:t xml:space="preserve"> asserted that it “analyzed this final rule and determined that it would not cause disproportionately high and adverse human health or environmental effects on minority populations and low-income populations.” 85 Fed. Reg. at 43,356. CEQ failed to provide factual support for this assertion.</w:t>
      </w:r>
    </w:p>
    <w:p w14:paraId="11091627" w14:textId="77777777" w:rsidR="003125CC" w:rsidRPr="006A4DE4" w:rsidRDefault="003125CC" w:rsidP="000808D7">
      <w:pPr>
        <w:autoSpaceDE w:val="0"/>
        <w:autoSpaceDN w:val="0"/>
        <w:spacing w:after="0" w:line="240" w:lineRule="auto"/>
        <w:ind w:firstLine="720"/>
        <w:rPr>
          <w:rFonts w:ascii="Times New Roman" w:eastAsia="Calibri" w:hAnsi="Times New Roman" w:cs="Times New Roman"/>
          <w:color w:val="000000" w:themeColor="text1"/>
          <w:sz w:val="24"/>
          <w:szCs w:val="24"/>
        </w:rPr>
      </w:pPr>
      <w:r w:rsidRPr="006A4DE4">
        <w:rPr>
          <w:rFonts w:ascii="Times New Roman" w:eastAsia="Calibri" w:hAnsi="Times New Roman" w:cs="Times New Roman"/>
          <w:color w:val="000000" w:themeColor="text1"/>
          <w:sz w:val="24"/>
          <w:szCs w:val="24"/>
        </w:rPr>
        <w:t>Nothing in the Final CEQ Rule provides rational reasons for departing from CEQ’s longstanding policy and practice of fully analyzing the environmental justice impacts of its actions through a NEPA review. Many provisions in the Final Rule will have a disparate and adverse impact on communities of color and low-income communities. These provisions include but are not limited to imposing arbitrary page limits, redefining “major federal action,” striking required cumulative impact analysis, authorizing the imposition of a bond requirement to participate in the NEPA process, and allowing collective responses to public comments.</w:t>
      </w:r>
    </w:p>
    <w:p w14:paraId="24A38693" w14:textId="77777777" w:rsidR="003125CC" w:rsidRPr="006A4DE4" w:rsidRDefault="003125CC" w:rsidP="000808D7">
      <w:pPr>
        <w:autoSpaceDE w:val="0"/>
        <w:autoSpaceDN w:val="0"/>
        <w:spacing w:after="0" w:line="240" w:lineRule="auto"/>
        <w:ind w:firstLine="720"/>
        <w:rPr>
          <w:rFonts w:ascii="Times New Roman" w:eastAsia="Calibri" w:hAnsi="Times New Roman" w:cs="Times New Roman"/>
          <w:color w:val="000000" w:themeColor="text1"/>
          <w:sz w:val="24"/>
          <w:szCs w:val="24"/>
        </w:rPr>
      </w:pPr>
      <w:r w:rsidRPr="006A4DE4">
        <w:rPr>
          <w:rFonts w:ascii="Times New Roman" w:eastAsia="Calibri" w:hAnsi="Times New Roman" w:cs="Times New Roman"/>
          <w:color w:val="000000" w:themeColor="text1"/>
          <w:sz w:val="24"/>
          <w:szCs w:val="24"/>
        </w:rPr>
        <w:t xml:space="preserve">NEPA has been an essential mechanism for ensuring that disenfranchised and underrepresented communities have voice in major federal actions. The sweeping changes in the Final CEQ Rule will fundamentally alter nearly every step of the NEPA review process, and yet because CEQ did not engage in a NEPA analysis of the Final CEQ Rule, there is no explanation or analysis of how the development and implementation of the Final CEQ Rule will affect implementation of Executive Order 12898; if the Final CEQ Rule is consistent with CEQ’s 1997 environmental justice guidance; or how the Final CEQ Rule will affect environmental justice communities themselves. CEQ acknowledged that commenters raised these issues, 85 Fed. Reg. at 43,356, but insisted that the Final CEQ Rule would not result in any adverse environmental impacts. </w:t>
      </w:r>
      <w:r w:rsidRPr="006A4DE4">
        <w:rPr>
          <w:rFonts w:ascii="Times New Roman" w:eastAsia="Calibri" w:hAnsi="Times New Roman" w:cs="Times New Roman"/>
          <w:i/>
          <w:iCs/>
          <w:color w:val="000000" w:themeColor="text1"/>
          <w:sz w:val="24"/>
          <w:szCs w:val="24"/>
        </w:rPr>
        <w:t xml:space="preserve">Final Rule Response to Comments </w:t>
      </w:r>
      <w:r w:rsidRPr="006A4DE4">
        <w:rPr>
          <w:rFonts w:ascii="Times New Roman" w:eastAsia="Calibri" w:hAnsi="Times New Roman" w:cs="Times New Roman"/>
          <w:color w:val="000000" w:themeColor="text1"/>
          <w:sz w:val="24"/>
          <w:szCs w:val="24"/>
        </w:rPr>
        <w:t xml:space="preserve">(June 30, 2020) at 34. CEQ’s decision to adopt the Final CEQ Rule without analyzing how the rule and its implementation would affect the environmental justice mandates in Executive Order 12898, how the Final CEQ Rule complies with CEQ’s 1997 environmental justice guidance, or how the Final CEQ Rule will affect environmental justice communities themselves is arbitrary, capricious, an abuse of discretion, and otherwise not in accordance with law, in violation of NEPA and the APA, 5 U.S.C. § 706(2). Because CEQ’s final rule is invalid, DOT may not </w:t>
      </w:r>
      <w:proofErr w:type="gramStart"/>
      <w:r w:rsidRPr="006A4DE4">
        <w:rPr>
          <w:rFonts w:ascii="Times New Roman" w:eastAsia="Calibri" w:hAnsi="Times New Roman" w:cs="Times New Roman"/>
          <w:color w:val="000000" w:themeColor="text1"/>
          <w:sz w:val="24"/>
          <w:szCs w:val="24"/>
        </w:rPr>
        <w:t>wholesale</w:t>
      </w:r>
      <w:proofErr w:type="gramEnd"/>
      <w:r w:rsidRPr="006A4DE4">
        <w:rPr>
          <w:rFonts w:ascii="Times New Roman" w:eastAsia="Calibri" w:hAnsi="Times New Roman" w:cs="Times New Roman"/>
          <w:color w:val="000000" w:themeColor="text1"/>
          <w:sz w:val="24"/>
          <w:szCs w:val="24"/>
        </w:rPr>
        <w:t xml:space="preserve"> adopt those regulations into its own without also violating the law. </w:t>
      </w:r>
    </w:p>
    <w:p w14:paraId="18AE7AE9" w14:textId="35B68199" w:rsidR="003125CC" w:rsidRPr="006A4DE4" w:rsidRDefault="003125CC" w:rsidP="000808D7">
      <w:pPr>
        <w:pStyle w:val="Heading2"/>
        <w:numPr>
          <w:ilvl w:val="0"/>
          <w:numId w:val="26"/>
        </w:numPr>
        <w:spacing w:before="120" w:after="120" w:line="240" w:lineRule="auto"/>
        <w:ind w:left="1440" w:hanging="720"/>
        <w:rPr>
          <w:rFonts w:ascii="Times New Roman" w:eastAsia="Times New Roman" w:hAnsi="Times New Roman" w:cs="Times New Roman"/>
          <w:b/>
          <w:bCs/>
          <w:color w:val="000000" w:themeColor="text1"/>
          <w:sz w:val="24"/>
          <w:szCs w:val="24"/>
        </w:rPr>
      </w:pPr>
      <w:r w:rsidRPr="006A4DE4">
        <w:rPr>
          <w:rFonts w:ascii="Times New Roman" w:eastAsia="Times New Roman" w:hAnsi="Times New Roman" w:cs="Times New Roman"/>
          <w:b/>
          <w:bCs/>
          <w:color w:val="000000" w:themeColor="text1"/>
          <w:sz w:val="24"/>
          <w:szCs w:val="24"/>
        </w:rPr>
        <w:t xml:space="preserve">DOT </w:t>
      </w:r>
      <w:r w:rsidR="0017099F" w:rsidRPr="006A4DE4">
        <w:rPr>
          <w:rFonts w:ascii="Times New Roman" w:eastAsia="Times New Roman" w:hAnsi="Times New Roman" w:cs="Times New Roman"/>
          <w:b/>
          <w:bCs/>
          <w:color w:val="000000" w:themeColor="text1"/>
          <w:sz w:val="24"/>
          <w:szCs w:val="24"/>
        </w:rPr>
        <w:t>s</w:t>
      </w:r>
      <w:r w:rsidRPr="006A4DE4">
        <w:rPr>
          <w:rFonts w:ascii="Times New Roman" w:eastAsia="Times New Roman" w:hAnsi="Times New Roman" w:cs="Times New Roman"/>
          <w:b/>
          <w:bCs/>
          <w:color w:val="000000" w:themeColor="text1"/>
          <w:sz w:val="24"/>
          <w:szCs w:val="24"/>
        </w:rPr>
        <w:t xml:space="preserve">hould </w:t>
      </w:r>
      <w:r w:rsidR="0017099F" w:rsidRPr="006A4DE4">
        <w:rPr>
          <w:rFonts w:ascii="Times New Roman" w:eastAsia="Times New Roman" w:hAnsi="Times New Roman" w:cs="Times New Roman"/>
          <w:b/>
          <w:bCs/>
          <w:color w:val="000000" w:themeColor="text1"/>
          <w:sz w:val="24"/>
          <w:szCs w:val="24"/>
        </w:rPr>
        <w:t>in</w:t>
      </w:r>
      <w:r w:rsidRPr="006A4DE4">
        <w:rPr>
          <w:rFonts w:ascii="Times New Roman" w:eastAsia="Times New Roman" w:hAnsi="Times New Roman" w:cs="Times New Roman"/>
          <w:b/>
          <w:bCs/>
          <w:color w:val="000000" w:themeColor="text1"/>
          <w:sz w:val="24"/>
          <w:szCs w:val="24"/>
        </w:rPr>
        <w:t>corporate E</w:t>
      </w:r>
      <w:r w:rsidR="0017099F" w:rsidRPr="006A4DE4">
        <w:rPr>
          <w:rFonts w:ascii="Times New Roman" w:eastAsia="Times New Roman" w:hAnsi="Times New Roman" w:cs="Times New Roman"/>
          <w:b/>
          <w:bCs/>
          <w:color w:val="000000" w:themeColor="text1"/>
          <w:sz w:val="24"/>
          <w:szCs w:val="24"/>
        </w:rPr>
        <w:t>xecutive Order</w:t>
      </w:r>
      <w:r w:rsidRPr="006A4DE4">
        <w:rPr>
          <w:rFonts w:ascii="Times New Roman" w:eastAsia="Times New Roman" w:hAnsi="Times New Roman" w:cs="Times New Roman"/>
          <w:b/>
          <w:bCs/>
          <w:color w:val="000000" w:themeColor="text1"/>
          <w:sz w:val="24"/>
          <w:szCs w:val="24"/>
        </w:rPr>
        <w:t xml:space="preserve"> 12,898 into the Proposed Rule to </w:t>
      </w:r>
      <w:r w:rsidR="0017099F" w:rsidRPr="006A4DE4">
        <w:rPr>
          <w:rFonts w:ascii="Times New Roman" w:eastAsia="Times New Roman" w:hAnsi="Times New Roman" w:cs="Times New Roman"/>
          <w:b/>
          <w:bCs/>
          <w:color w:val="000000" w:themeColor="text1"/>
          <w:sz w:val="24"/>
          <w:szCs w:val="24"/>
        </w:rPr>
        <w:t>d</w:t>
      </w:r>
      <w:r w:rsidRPr="006A4DE4">
        <w:rPr>
          <w:rFonts w:ascii="Times New Roman" w:eastAsia="Times New Roman" w:hAnsi="Times New Roman" w:cs="Times New Roman"/>
          <w:b/>
          <w:bCs/>
          <w:color w:val="000000" w:themeColor="text1"/>
          <w:sz w:val="24"/>
          <w:szCs w:val="24"/>
        </w:rPr>
        <w:t xml:space="preserve">emonstrate </w:t>
      </w:r>
      <w:r w:rsidR="0017099F" w:rsidRPr="006A4DE4">
        <w:rPr>
          <w:rFonts w:ascii="Times New Roman" w:eastAsia="Times New Roman" w:hAnsi="Times New Roman" w:cs="Times New Roman"/>
          <w:b/>
          <w:bCs/>
          <w:color w:val="000000" w:themeColor="text1"/>
          <w:sz w:val="24"/>
          <w:szCs w:val="24"/>
        </w:rPr>
        <w:t>i</w:t>
      </w:r>
      <w:r w:rsidRPr="006A4DE4">
        <w:rPr>
          <w:rFonts w:ascii="Times New Roman" w:eastAsia="Times New Roman" w:hAnsi="Times New Roman" w:cs="Times New Roman"/>
          <w:b/>
          <w:bCs/>
          <w:color w:val="000000" w:themeColor="text1"/>
          <w:sz w:val="24"/>
          <w:szCs w:val="24"/>
        </w:rPr>
        <w:t xml:space="preserve">ts </w:t>
      </w:r>
      <w:r w:rsidR="0017099F" w:rsidRPr="006A4DE4">
        <w:rPr>
          <w:rFonts w:ascii="Times New Roman" w:eastAsia="Times New Roman" w:hAnsi="Times New Roman" w:cs="Times New Roman"/>
          <w:b/>
          <w:bCs/>
          <w:color w:val="000000" w:themeColor="text1"/>
          <w:sz w:val="24"/>
          <w:szCs w:val="24"/>
        </w:rPr>
        <w:t>co</w:t>
      </w:r>
      <w:r w:rsidRPr="006A4DE4">
        <w:rPr>
          <w:rFonts w:ascii="Times New Roman" w:eastAsia="Times New Roman" w:hAnsi="Times New Roman" w:cs="Times New Roman"/>
          <w:b/>
          <w:bCs/>
          <w:color w:val="000000" w:themeColor="text1"/>
          <w:sz w:val="24"/>
          <w:szCs w:val="24"/>
        </w:rPr>
        <w:t xml:space="preserve">mmitment to </w:t>
      </w:r>
      <w:r w:rsidR="0017099F" w:rsidRPr="006A4DE4">
        <w:rPr>
          <w:rFonts w:ascii="Times New Roman" w:eastAsia="Times New Roman" w:hAnsi="Times New Roman" w:cs="Times New Roman"/>
          <w:b/>
          <w:bCs/>
          <w:color w:val="000000" w:themeColor="text1"/>
          <w:sz w:val="24"/>
          <w:szCs w:val="24"/>
        </w:rPr>
        <w:t>e</w:t>
      </w:r>
      <w:r w:rsidRPr="006A4DE4">
        <w:rPr>
          <w:rFonts w:ascii="Times New Roman" w:eastAsia="Times New Roman" w:hAnsi="Times New Roman" w:cs="Times New Roman"/>
          <w:b/>
          <w:bCs/>
          <w:color w:val="000000" w:themeColor="text1"/>
          <w:sz w:val="24"/>
          <w:szCs w:val="24"/>
        </w:rPr>
        <w:t xml:space="preserve">nvironmental </w:t>
      </w:r>
      <w:r w:rsidR="0017099F" w:rsidRPr="006A4DE4">
        <w:rPr>
          <w:rFonts w:ascii="Times New Roman" w:eastAsia="Times New Roman" w:hAnsi="Times New Roman" w:cs="Times New Roman"/>
          <w:b/>
          <w:bCs/>
          <w:color w:val="000000" w:themeColor="text1"/>
          <w:sz w:val="24"/>
          <w:szCs w:val="24"/>
        </w:rPr>
        <w:t>j</w:t>
      </w:r>
      <w:r w:rsidRPr="006A4DE4">
        <w:rPr>
          <w:rFonts w:ascii="Times New Roman" w:eastAsia="Times New Roman" w:hAnsi="Times New Roman" w:cs="Times New Roman"/>
          <w:b/>
          <w:bCs/>
          <w:color w:val="000000" w:themeColor="text1"/>
          <w:sz w:val="24"/>
          <w:szCs w:val="24"/>
        </w:rPr>
        <w:t>ustice</w:t>
      </w:r>
    </w:p>
    <w:p w14:paraId="78ADFB82" w14:textId="77777777" w:rsidR="003125CC" w:rsidRPr="006A4DE4" w:rsidRDefault="003125CC" w:rsidP="00D03E25">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To remedy its past misdeeds and prevent future harms to communities facing environmental injustice, DOT should explicitly incorporate E.O. 12,898 into the proposed rule. DOT in its own Order implementing the E.O. mandates that “future rulemaking activities undertaken pursuant to DOT Order 2100.5 …  that affect human health or the environment, shall address compliance with Executive Order 12898 and this Order, as appropriate.” DOT Order 5610.2(a)(5)(2)(b). </w:t>
      </w:r>
    </w:p>
    <w:p w14:paraId="45969347" w14:textId="5767D64D" w:rsidR="003125CC" w:rsidRPr="006A4DE4" w:rsidRDefault="003125CC" w:rsidP="00D03E25">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DOT is in a prime position to give this commitment the weight of the law. Along with the EPA, DOT served as co-chair on the committee of the Federal Interagency Working Group on Environmental Justice and NEPA. In 2016, the working group published “Promising Practices for EJ Methodologies in NEPA Reviews, a report analyzing and discussing the interaction of environmental justice and NEPA. </w:t>
      </w:r>
      <w:r w:rsidRPr="006A4DE4">
        <w:rPr>
          <w:rFonts w:ascii="Times New Roman" w:eastAsia="Times New Roman" w:hAnsi="Times New Roman" w:cs="Times New Roman"/>
          <w:i/>
          <w:iCs/>
          <w:color w:val="000000" w:themeColor="text1"/>
          <w:sz w:val="24"/>
          <w:szCs w:val="24"/>
        </w:rPr>
        <w:t xml:space="preserve">See </w:t>
      </w:r>
      <w:r w:rsidRPr="006A4DE4">
        <w:rPr>
          <w:rFonts w:ascii="Times New Roman" w:eastAsia="Times New Roman" w:hAnsi="Times New Roman" w:cs="Times New Roman"/>
          <w:color w:val="000000" w:themeColor="text1"/>
          <w:sz w:val="24"/>
          <w:szCs w:val="24"/>
        </w:rPr>
        <w:t>EPA Report: “Promising Practices for EJ Methodologies in NEPA Reviews” (2016) [</w:t>
      </w:r>
      <w:r w:rsidRPr="006A4DE4">
        <w:rPr>
          <w:rFonts w:ascii="Times New Roman" w:eastAsia="Times New Roman" w:hAnsi="Times New Roman" w:cs="Times New Roman"/>
          <w:color w:val="000000" w:themeColor="text1"/>
          <w:sz w:val="24"/>
          <w:szCs w:val="24"/>
          <w:highlight w:val="cyan"/>
        </w:rPr>
        <w:t xml:space="preserve">Attachment </w:t>
      </w:r>
      <w:r w:rsidR="008C0E50" w:rsidRPr="006A4DE4">
        <w:rPr>
          <w:rFonts w:ascii="Times New Roman" w:eastAsia="Times New Roman" w:hAnsi="Times New Roman" w:cs="Times New Roman"/>
          <w:color w:val="000000" w:themeColor="text1"/>
          <w:sz w:val="24"/>
          <w:szCs w:val="24"/>
          <w:highlight w:val="cyan"/>
        </w:rPr>
        <w:t>A</w:t>
      </w:r>
      <w:r w:rsidRPr="006A4DE4">
        <w:rPr>
          <w:rFonts w:ascii="Times New Roman" w:eastAsia="Times New Roman" w:hAnsi="Times New Roman" w:cs="Times New Roman"/>
          <w:color w:val="000000" w:themeColor="text1"/>
          <w:sz w:val="24"/>
          <w:szCs w:val="24"/>
        </w:rPr>
        <w:t xml:space="preserve">]. In 2019, the group issued an updated report. </w:t>
      </w:r>
      <w:r w:rsidRPr="006A4DE4">
        <w:rPr>
          <w:rFonts w:ascii="Times New Roman" w:eastAsia="Times New Roman" w:hAnsi="Times New Roman" w:cs="Times New Roman"/>
          <w:i/>
          <w:iCs/>
          <w:color w:val="000000" w:themeColor="text1"/>
          <w:sz w:val="24"/>
          <w:szCs w:val="24"/>
        </w:rPr>
        <w:t xml:space="preserve">See </w:t>
      </w:r>
      <w:r w:rsidRPr="006A4DE4">
        <w:rPr>
          <w:rFonts w:ascii="Times New Roman" w:eastAsia="Times New Roman" w:hAnsi="Times New Roman" w:cs="Times New Roman"/>
          <w:color w:val="000000" w:themeColor="text1"/>
          <w:sz w:val="24"/>
          <w:szCs w:val="24"/>
        </w:rPr>
        <w:t>Federal Interagency Working Group on Environmental Justice and NEPA Committee, “Community Guide to Environmental Justice and NEPA Methods” (2019) [</w:t>
      </w:r>
      <w:r w:rsidRPr="006A4DE4">
        <w:rPr>
          <w:rFonts w:ascii="Times New Roman" w:eastAsia="Times New Roman" w:hAnsi="Times New Roman" w:cs="Times New Roman"/>
          <w:color w:val="000000" w:themeColor="text1"/>
          <w:sz w:val="24"/>
          <w:szCs w:val="24"/>
          <w:highlight w:val="cyan"/>
        </w:rPr>
        <w:t>Attachment B</w:t>
      </w:r>
      <w:r w:rsidRPr="006A4DE4">
        <w:rPr>
          <w:rFonts w:ascii="Times New Roman" w:eastAsia="Times New Roman" w:hAnsi="Times New Roman" w:cs="Times New Roman"/>
          <w:color w:val="000000" w:themeColor="text1"/>
          <w:sz w:val="24"/>
          <w:szCs w:val="24"/>
        </w:rPr>
        <w:t xml:space="preserve">]. In addition, the Department and its agencies have individually produced numerous agency orders, policy guidance, and case studies identifying best practices for addressing environmental justice considerations in the review process. </w:t>
      </w:r>
      <w:r w:rsidRPr="006A4DE4">
        <w:rPr>
          <w:rFonts w:ascii="Times New Roman" w:eastAsia="Times New Roman" w:hAnsi="Times New Roman" w:cs="Times New Roman"/>
          <w:i/>
          <w:iCs/>
          <w:color w:val="000000" w:themeColor="text1"/>
          <w:sz w:val="24"/>
          <w:szCs w:val="24"/>
        </w:rPr>
        <w:t xml:space="preserve">See </w:t>
      </w:r>
      <w:r w:rsidRPr="006A4DE4">
        <w:rPr>
          <w:rFonts w:ascii="Times New Roman" w:eastAsia="Times New Roman" w:hAnsi="Times New Roman" w:cs="Times New Roman"/>
          <w:color w:val="000000" w:themeColor="text1"/>
          <w:sz w:val="24"/>
          <w:szCs w:val="24"/>
        </w:rPr>
        <w:t>Dep’t of Transp. 5610.2(a) (May 2, 2012); FHWA Order 6640.23A (June 14, 2012); FTA Circular 4703.1 (August 15, 2012); FAA Order 1050.1F (July 16, 2015); Dep’t of Transp., Env. Strategy (2016) [</w:t>
      </w:r>
      <w:r w:rsidRPr="006A4DE4">
        <w:rPr>
          <w:rFonts w:ascii="Times New Roman" w:eastAsia="Times New Roman" w:hAnsi="Times New Roman" w:cs="Times New Roman"/>
          <w:color w:val="000000" w:themeColor="text1"/>
          <w:sz w:val="24"/>
          <w:szCs w:val="24"/>
          <w:highlight w:val="cyan"/>
        </w:rPr>
        <w:t>Attachment C</w:t>
      </w:r>
      <w:r w:rsidRPr="006A4DE4">
        <w:rPr>
          <w:rFonts w:ascii="Times New Roman" w:eastAsia="Times New Roman" w:hAnsi="Times New Roman" w:cs="Times New Roman"/>
          <w:color w:val="000000" w:themeColor="text1"/>
          <w:sz w:val="24"/>
          <w:szCs w:val="24"/>
        </w:rPr>
        <w:t>]; FHWA Case Study: Freeways [</w:t>
      </w:r>
      <w:r w:rsidRPr="006A4DE4">
        <w:rPr>
          <w:rFonts w:ascii="Times New Roman" w:eastAsia="Times New Roman" w:hAnsi="Times New Roman" w:cs="Times New Roman"/>
          <w:color w:val="000000" w:themeColor="text1"/>
          <w:sz w:val="24"/>
          <w:szCs w:val="24"/>
          <w:highlight w:val="cyan"/>
        </w:rPr>
        <w:t>Attachment D</w:t>
      </w:r>
      <w:r w:rsidRPr="006A4DE4">
        <w:rPr>
          <w:rFonts w:ascii="Times New Roman" w:eastAsia="Times New Roman" w:hAnsi="Times New Roman" w:cs="Times New Roman"/>
          <w:color w:val="000000" w:themeColor="text1"/>
          <w:sz w:val="24"/>
          <w:szCs w:val="24"/>
        </w:rPr>
        <w:t>]; FHWA Case Study: Pedestrian Bridges [</w:t>
      </w:r>
      <w:r w:rsidRPr="006A4DE4">
        <w:rPr>
          <w:rFonts w:ascii="Times New Roman" w:eastAsia="Times New Roman" w:hAnsi="Times New Roman" w:cs="Times New Roman"/>
          <w:color w:val="000000" w:themeColor="text1"/>
          <w:sz w:val="24"/>
          <w:szCs w:val="24"/>
          <w:highlight w:val="cyan"/>
        </w:rPr>
        <w:t>Attachment E</w:t>
      </w:r>
      <w:r w:rsidRPr="006A4DE4">
        <w:rPr>
          <w:rFonts w:ascii="Times New Roman" w:eastAsia="Times New Roman" w:hAnsi="Times New Roman" w:cs="Times New Roman"/>
          <w:color w:val="000000" w:themeColor="text1"/>
          <w:sz w:val="24"/>
          <w:szCs w:val="24"/>
        </w:rPr>
        <w:t>]; FHWA Case Study: Highway Improvements [</w:t>
      </w:r>
      <w:r w:rsidRPr="006A4DE4">
        <w:rPr>
          <w:rFonts w:ascii="Times New Roman" w:eastAsia="Times New Roman" w:hAnsi="Times New Roman" w:cs="Times New Roman"/>
          <w:color w:val="000000" w:themeColor="text1"/>
          <w:sz w:val="24"/>
          <w:szCs w:val="24"/>
          <w:highlight w:val="cyan"/>
        </w:rPr>
        <w:t>Attachment F</w:t>
      </w:r>
      <w:r w:rsidRPr="006A4DE4">
        <w:rPr>
          <w:rFonts w:ascii="Times New Roman" w:eastAsia="Times New Roman" w:hAnsi="Times New Roman" w:cs="Times New Roman"/>
          <w:color w:val="000000" w:themeColor="text1"/>
          <w:sz w:val="24"/>
          <w:szCs w:val="24"/>
        </w:rPr>
        <w:t>]; FHWA Environmental Justice Reference Guide (2015) [</w:t>
      </w:r>
      <w:r w:rsidRPr="006A4DE4">
        <w:rPr>
          <w:rFonts w:ascii="Times New Roman" w:eastAsia="Times New Roman" w:hAnsi="Times New Roman" w:cs="Times New Roman"/>
          <w:color w:val="000000" w:themeColor="text1"/>
          <w:sz w:val="24"/>
          <w:szCs w:val="24"/>
          <w:highlight w:val="cyan"/>
        </w:rPr>
        <w:t>Attachment G</w:t>
      </w:r>
      <w:r w:rsidRPr="006A4DE4">
        <w:rPr>
          <w:rFonts w:ascii="Times New Roman" w:eastAsia="Times New Roman" w:hAnsi="Times New Roman" w:cs="Times New Roman"/>
          <w:color w:val="000000" w:themeColor="text1"/>
          <w:sz w:val="24"/>
          <w:szCs w:val="24"/>
        </w:rPr>
        <w:t xml:space="preserve">]. Enshrining E.O. 12,898 in DOT’s proposed rule is the logical next step to give this Order its full legal effect. </w:t>
      </w:r>
    </w:p>
    <w:p w14:paraId="680D82C4" w14:textId="6AEAD20F" w:rsidR="003125CC" w:rsidRPr="006A4DE4" w:rsidRDefault="003125CC" w:rsidP="00D03E25">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DOT’s supplemental Order already provides a </w:t>
      </w:r>
      <w:proofErr w:type="gramStart"/>
      <w:r w:rsidRPr="006A4DE4">
        <w:rPr>
          <w:rFonts w:ascii="Times New Roman" w:eastAsia="Times New Roman" w:hAnsi="Times New Roman" w:cs="Times New Roman"/>
          <w:color w:val="000000" w:themeColor="text1"/>
          <w:sz w:val="24"/>
          <w:szCs w:val="24"/>
        </w:rPr>
        <w:t>fairly robust</w:t>
      </w:r>
      <w:proofErr w:type="gramEnd"/>
      <w:r w:rsidRPr="006A4DE4">
        <w:rPr>
          <w:rFonts w:ascii="Times New Roman" w:eastAsia="Times New Roman" w:hAnsi="Times New Roman" w:cs="Times New Roman"/>
          <w:color w:val="000000" w:themeColor="text1"/>
          <w:sz w:val="24"/>
          <w:szCs w:val="24"/>
        </w:rPr>
        <w:t xml:space="preserve"> review process that can flesh out the exact procedures under the Executive Order. Dep’t of Transp. 5610.2(a)(5)(</w:t>
      </w:r>
      <w:proofErr w:type="gramStart"/>
      <w:r w:rsidRPr="006A4DE4">
        <w:rPr>
          <w:rFonts w:ascii="Times New Roman" w:eastAsia="Times New Roman" w:hAnsi="Times New Roman" w:cs="Times New Roman"/>
          <w:color w:val="000000" w:themeColor="text1"/>
          <w:sz w:val="24"/>
          <w:szCs w:val="24"/>
        </w:rPr>
        <w:t>b)(</w:t>
      </w:r>
      <w:proofErr w:type="gramEnd"/>
      <w:r w:rsidRPr="006A4DE4">
        <w:rPr>
          <w:rFonts w:ascii="Times New Roman" w:eastAsia="Times New Roman" w:hAnsi="Times New Roman" w:cs="Times New Roman"/>
          <w:color w:val="000000" w:themeColor="text1"/>
          <w:sz w:val="24"/>
          <w:szCs w:val="24"/>
        </w:rPr>
        <w:t xml:space="preserve">May 2, 2012). </w:t>
      </w:r>
      <w:r w:rsidRPr="006A4DE4">
        <w:rPr>
          <w:rFonts w:ascii="Times New Roman" w:eastAsia="Calibri" w:hAnsi="Times New Roman" w:cs="Times New Roman"/>
          <w:color w:val="000000" w:themeColor="text1"/>
          <w:sz w:val="24"/>
          <w:szCs w:val="24"/>
        </w:rPr>
        <w:t>To “assure… nondiscrimination” and to “</w:t>
      </w:r>
      <w:proofErr w:type="gramStart"/>
      <w:r w:rsidRPr="006A4DE4">
        <w:rPr>
          <w:rFonts w:ascii="Times New Roman" w:eastAsia="Calibri" w:hAnsi="Times New Roman" w:cs="Times New Roman"/>
          <w:color w:val="000000" w:themeColor="text1"/>
          <w:sz w:val="24"/>
          <w:szCs w:val="24"/>
        </w:rPr>
        <w:t>prevent[</w:t>
      </w:r>
      <w:proofErr w:type="gramEnd"/>
      <w:r w:rsidRPr="006A4DE4">
        <w:rPr>
          <w:rFonts w:ascii="Times New Roman" w:eastAsia="Calibri" w:hAnsi="Times New Roman" w:cs="Times New Roman"/>
          <w:color w:val="000000" w:themeColor="text1"/>
          <w:sz w:val="24"/>
          <w:szCs w:val="24"/>
        </w:rPr>
        <w:t>] disproportionately high and adverse effects,” the Department of Transportation commits to comply with NEPA in a way to “identify, early in the development of the… activity, the risk of discrimination and disproportionately high and adverse effects so that positive corrective action can be taken.” Dep’t of Transp. Order 5610.2(a)(7)(b).</w:t>
      </w:r>
    </w:p>
    <w:p w14:paraId="695E84DF" w14:textId="77777777" w:rsidR="003125CC" w:rsidRPr="006A4DE4" w:rsidRDefault="003125CC" w:rsidP="00D03E25">
      <w:pPr>
        <w:spacing w:line="240" w:lineRule="auto"/>
        <w:ind w:firstLine="720"/>
        <w:contextualSpacing/>
        <w:rPr>
          <w:rFonts w:ascii="Times New Roman" w:eastAsia="Calibri" w:hAnsi="Times New Roman" w:cs="Times New Roman"/>
          <w:color w:val="000000" w:themeColor="text1"/>
          <w:sz w:val="24"/>
          <w:szCs w:val="24"/>
        </w:rPr>
      </w:pPr>
      <w:r w:rsidRPr="006A4DE4">
        <w:rPr>
          <w:rFonts w:ascii="Times New Roman" w:eastAsia="Calibri" w:hAnsi="Times New Roman" w:cs="Times New Roman"/>
          <w:color w:val="000000" w:themeColor="text1"/>
          <w:sz w:val="24"/>
          <w:szCs w:val="24"/>
        </w:rPr>
        <w:t>Under the Order, the Department of Transportation commits to “identifying and evaluating environmental, public health, and interrelated social and economic effects of DOT…activities;” to “proposing measures to avoid, minimize and/or mitigate disproportionately high and adverse environmental and public health effects and interrelated social and economic effects, and providing offsetting benefits and opportunities to enhance communities, neighborhoods, and individuals affected by DOT…activities;” and to “considering alternatives” that “would result in avoiding and/or minimizing disproportionately high and adverse human health or environmental impacts.” Dep’t of Trans. Order 5610.2(a)(7)(c).</w:t>
      </w:r>
    </w:p>
    <w:p w14:paraId="6A1C5FE3" w14:textId="77777777" w:rsidR="003125CC" w:rsidRPr="006A4DE4" w:rsidRDefault="003125CC" w:rsidP="00D03E25">
      <w:pPr>
        <w:spacing w:line="240" w:lineRule="auto"/>
        <w:ind w:firstLine="720"/>
        <w:contextualSpacing/>
        <w:rPr>
          <w:rFonts w:ascii="Times New Roman" w:eastAsia="Calibri" w:hAnsi="Times New Roman" w:cs="Times New Roman"/>
          <w:color w:val="000000" w:themeColor="text1"/>
          <w:sz w:val="24"/>
          <w:szCs w:val="24"/>
        </w:rPr>
      </w:pPr>
      <w:r w:rsidRPr="006A4DE4">
        <w:rPr>
          <w:rFonts w:ascii="Times New Roman" w:eastAsia="Calibri" w:hAnsi="Times New Roman" w:cs="Times New Roman"/>
          <w:color w:val="000000" w:themeColor="text1"/>
          <w:sz w:val="24"/>
          <w:szCs w:val="24"/>
        </w:rPr>
        <w:t>DOT’s Federal Highway Administration’s Environmental Justice Order can deepen this framework to clarify the adverse effects the agency should consider for transportation projects.  Under the Administration’s implementing Order 6640.23A(6)(b), the agency defines “adverse effects” as “the totality of significant individual or cumulative human health or environmental effects, including interrelated social and economic effects.” These include “bodily impairment, … illness, or death; air, noise, and water pollution and soil contamination;” “destruction or disruption of community cohesion or a community’s economic vitality; destruction or disruption of the availability of public and private facilities and services;” and “</w:t>
      </w:r>
      <w:proofErr w:type="gramStart"/>
      <w:r w:rsidRPr="006A4DE4">
        <w:rPr>
          <w:rFonts w:ascii="Times New Roman" w:eastAsia="Calibri" w:hAnsi="Times New Roman" w:cs="Times New Roman"/>
          <w:color w:val="000000" w:themeColor="text1"/>
          <w:sz w:val="24"/>
          <w:szCs w:val="24"/>
        </w:rPr>
        <w:t>isolation,…</w:t>
      </w:r>
      <w:proofErr w:type="gramEnd"/>
      <w:r w:rsidRPr="006A4DE4">
        <w:rPr>
          <w:rFonts w:ascii="Times New Roman" w:eastAsia="Calibri" w:hAnsi="Times New Roman" w:cs="Times New Roman"/>
          <w:color w:val="000000" w:themeColor="text1"/>
          <w:sz w:val="24"/>
          <w:szCs w:val="24"/>
        </w:rPr>
        <w:t xml:space="preserve">exclusion or separation of minority or low-income individuals within a given community or from the broader community.” Fed. Highway Admin. Order 6640.23A(5)(f). These features will allow the DOT to address environmental justice impacts. </w:t>
      </w:r>
    </w:p>
    <w:p w14:paraId="5D97717D" w14:textId="77777777" w:rsidR="003125CC" w:rsidRPr="006A4DE4" w:rsidRDefault="003125CC" w:rsidP="00D03E25">
      <w:pPr>
        <w:spacing w:line="240" w:lineRule="auto"/>
        <w:ind w:firstLine="720"/>
        <w:contextualSpacing/>
        <w:rPr>
          <w:rFonts w:ascii="Times New Roman" w:eastAsia="Calibri" w:hAnsi="Times New Roman" w:cs="Times New Roman"/>
          <w:color w:val="000000" w:themeColor="text1"/>
          <w:sz w:val="24"/>
          <w:szCs w:val="24"/>
        </w:rPr>
      </w:pPr>
      <w:r w:rsidRPr="006A4DE4">
        <w:rPr>
          <w:rFonts w:ascii="Times New Roman" w:eastAsia="Calibri" w:hAnsi="Times New Roman" w:cs="Times New Roman"/>
          <w:color w:val="000000" w:themeColor="text1"/>
          <w:sz w:val="24"/>
          <w:szCs w:val="24"/>
        </w:rPr>
        <w:t xml:space="preserve">As part of this process, DOT should also solicit input from community and field experts. </w:t>
      </w:r>
      <w:r w:rsidRPr="006A4DE4">
        <w:rPr>
          <w:rFonts w:ascii="Times New Roman" w:eastAsia="Times New Roman" w:hAnsi="Times New Roman" w:cs="Times New Roman"/>
          <w:color w:val="000000" w:themeColor="text1"/>
          <w:sz w:val="24"/>
          <w:szCs w:val="24"/>
        </w:rPr>
        <w:t>the DOT should consult with EPA’s National Environmental Justice Advisory Council prior to adoption of this rule so that the advisory board can provide further expertise on this issue</w:t>
      </w:r>
      <w:r w:rsidRPr="006A4DE4">
        <w:rPr>
          <w:rFonts w:ascii="Times New Roman" w:eastAsia="Calibri" w:hAnsi="Times New Roman" w:cs="Times New Roman"/>
          <w:color w:val="000000" w:themeColor="text1"/>
          <w:sz w:val="24"/>
          <w:szCs w:val="24"/>
        </w:rPr>
        <w:t xml:space="preserve">. These resources will ensure that DOT’s practices are based on sound advice and information from those most equipped to address environmental justice considerations. </w:t>
      </w:r>
    </w:p>
    <w:p w14:paraId="10527674" w14:textId="35FB5CE4" w:rsidR="003125CC" w:rsidRPr="006A4DE4" w:rsidRDefault="003125CC" w:rsidP="00D03E25">
      <w:pPr>
        <w:spacing w:line="240" w:lineRule="auto"/>
        <w:ind w:firstLine="720"/>
        <w:contextualSpacing/>
        <w:rPr>
          <w:rFonts w:ascii="Times New Roman" w:eastAsia="Calibri"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Through the Executive Order’s adoption in the proposed rule, DOT will further the purpose of NEPA. Compliance with Order will compel the agencies to follow a consistent practice of collecting and evaluating information related to impacts on communities confronting environmental injustices thus ensuring agencies fully consider pertinent information. Its adoption will also facilitate NEPA’s secondary aim which is to promote informed and meaningful public participation in the decision-making process. 40 C.F.R. 1500.1(a).  The inclusion of the Executive Order into the proposed rule will be a significant achievement that allows DOT to fully realize its commitment to environmental justice.</w:t>
      </w:r>
    </w:p>
    <w:p w14:paraId="53A4DF6B" w14:textId="395D69CF" w:rsidR="00A74868" w:rsidRPr="006A4DE4" w:rsidRDefault="00E45D32" w:rsidP="00A74868">
      <w:pPr>
        <w:pStyle w:val="Heading1"/>
        <w:numPr>
          <w:ilvl w:val="0"/>
          <w:numId w:val="14"/>
        </w:numPr>
        <w:spacing w:before="120" w:after="120" w:line="240" w:lineRule="auto"/>
        <w:ind w:hanging="720"/>
        <w:rPr>
          <w:rFonts w:ascii="Times New Roman" w:hAnsi="Times New Roman" w:cs="Times New Roman"/>
          <w:b/>
          <w:bCs/>
          <w:color w:val="000000" w:themeColor="text1"/>
          <w:sz w:val="24"/>
          <w:szCs w:val="24"/>
        </w:rPr>
      </w:pPr>
      <w:r w:rsidRPr="006A4DE4">
        <w:rPr>
          <w:rFonts w:ascii="Times New Roman" w:hAnsi="Times New Roman" w:cs="Times New Roman"/>
          <w:b/>
          <w:bCs/>
          <w:color w:val="000000" w:themeColor="text1"/>
          <w:sz w:val="24"/>
          <w:szCs w:val="24"/>
        </w:rPr>
        <w:t xml:space="preserve">The </w:t>
      </w:r>
      <w:r w:rsidR="00A74868" w:rsidRPr="006A4DE4">
        <w:rPr>
          <w:rFonts w:ascii="Times New Roman" w:hAnsi="Times New Roman" w:cs="Times New Roman"/>
          <w:b/>
          <w:bCs/>
          <w:color w:val="000000" w:themeColor="text1"/>
          <w:sz w:val="24"/>
          <w:szCs w:val="24"/>
        </w:rPr>
        <w:t>P</w:t>
      </w:r>
      <w:r w:rsidRPr="006A4DE4">
        <w:rPr>
          <w:rFonts w:ascii="Times New Roman" w:hAnsi="Times New Roman" w:cs="Times New Roman"/>
          <w:b/>
          <w:bCs/>
          <w:color w:val="000000" w:themeColor="text1"/>
          <w:sz w:val="24"/>
          <w:szCs w:val="24"/>
        </w:rPr>
        <w:t xml:space="preserve">roposed </w:t>
      </w:r>
      <w:r w:rsidR="00A74868" w:rsidRPr="006A4DE4">
        <w:rPr>
          <w:rFonts w:ascii="Times New Roman" w:hAnsi="Times New Roman" w:cs="Times New Roman"/>
          <w:b/>
          <w:bCs/>
          <w:color w:val="000000" w:themeColor="text1"/>
          <w:sz w:val="24"/>
          <w:szCs w:val="24"/>
        </w:rPr>
        <w:t>R</w:t>
      </w:r>
      <w:r w:rsidRPr="006A4DE4">
        <w:rPr>
          <w:rFonts w:ascii="Times New Roman" w:hAnsi="Times New Roman" w:cs="Times New Roman"/>
          <w:b/>
          <w:bCs/>
          <w:color w:val="000000" w:themeColor="text1"/>
          <w:sz w:val="24"/>
          <w:szCs w:val="24"/>
        </w:rPr>
        <w:t xml:space="preserve">ule would encourage </w:t>
      </w:r>
      <w:r w:rsidR="00441C3C" w:rsidRPr="006A4DE4">
        <w:rPr>
          <w:rFonts w:ascii="Times New Roman" w:hAnsi="Times New Roman" w:cs="Times New Roman"/>
          <w:b/>
          <w:bCs/>
          <w:color w:val="000000" w:themeColor="text1"/>
          <w:sz w:val="24"/>
          <w:szCs w:val="24"/>
        </w:rPr>
        <w:t xml:space="preserve">fewer, </w:t>
      </w:r>
      <w:r w:rsidRPr="006A4DE4">
        <w:rPr>
          <w:rFonts w:ascii="Times New Roman" w:hAnsi="Times New Roman" w:cs="Times New Roman"/>
          <w:b/>
          <w:bCs/>
          <w:color w:val="000000" w:themeColor="text1"/>
          <w:sz w:val="24"/>
          <w:szCs w:val="24"/>
        </w:rPr>
        <w:t xml:space="preserve">less informative, less thorough, and unlawfully incomplete environmental analyses </w:t>
      </w:r>
    </w:p>
    <w:p w14:paraId="44A48821" w14:textId="424FC4BC" w:rsidR="00A74868" w:rsidRPr="006A4DE4" w:rsidRDefault="00A74868" w:rsidP="000808D7">
      <w:pPr>
        <w:spacing w:after="0" w:line="240" w:lineRule="auto"/>
        <w:ind w:firstLine="720"/>
        <w:rPr>
          <w:rFonts w:ascii="Times New Roman" w:eastAsia="MS Mincho" w:hAnsi="Times New Roman" w:cs="Times New Roman"/>
          <w:sz w:val="24"/>
          <w:szCs w:val="24"/>
        </w:rPr>
      </w:pPr>
      <w:r w:rsidRPr="006A4DE4">
        <w:rPr>
          <w:rFonts w:ascii="Times New Roman" w:eastAsia="MS Mincho" w:hAnsi="Times New Roman" w:cs="Times New Roman"/>
          <w:color w:val="000000" w:themeColor="text1"/>
          <w:sz w:val="24"/>
          <w:szCs w:val="24"/>
        </w:rPr>
        <w:t xml:space="preserve">“Congress’ aim” in enacting section 102(2)(C) of NEPA was “to force federal agencies to consider environmental concerns early in the </w:t>
      </w:r>
      <w:proofErr w:type="spellStart"/>
      <w:r w:rsidRPr="006A4DE4">
        <w:rPr>
          <w:rFonts w:ascii="Times New Roman" w:eastAsia="MS Mincho" w:hAnsi="Times New Roman" w:cs="Times New Roman"/>
          <w:color w:val="000000" w:themeColor="text1"/>
          <w:sz w:val="24"/>
          <w:szCs w:val="24"/>
        </w:rPr>
        <w:t>decisionmaking</w:t>
      </w:r>
      <w:proofErr w:type="spellEnd"/>
      <w:r w:rsidRPr="006A4DE4">
        <w:rPr>
          <w:rFonts w:ascii="Times New Roman" w:eastAsia="MS Mincho" w:hAnsi="Times New Roman" w:cs="Times New Roman"/>
          <w:color w:val="000000" w:themeColor="text1"/>
          <w:sz w:val="24"/>
          <w:szCs w:val="24"/>
        </w:rPr>
        <w:t xml:space="preserve"> process so as to prevent any unnecessary despoiling of the environment.”</w:t>
      </w:r>
      <w:r w:rsidRPr="006A4DE4">
        <w:rPr>
          <w:rFonts w:ascii="Times New Roman" w:eastAsia="MS Mincho" w:hAnsi="Times New Roman" w:cs="Times New Roman"/>
          <w:color w:val="000000" w:themeColor="text1"/>
          <w:sz w:val="24"/>
          <w:szCs w:val="24"/>
          <w:vertAlign w:val="superscript"/>
        </w:rPr>
        <w:footnoteReference w:id="27"/>
      </w:r>
      <w:r w:rsidRPr="006A4DE4">
        <w:rPr>
          <w:rFonts w:ascii="Times New Roman" w:eastAsia="MS Mincho" w:hAnsi="Times New Roman" w:cs="Times New Roman"/>
          <w:color w:val="000000" w:themeColor="text1"/>
          <w:sz w:val="24"/>
          <w:szCs w:val="24"/>
        </w:rPr>
        <w:t xml:space="preserve"> Congress therefore required each agency to prepare a “detailed statement by the responsible official”</w:t>
      </w:r>
      <w:r w:rsidRPr="006A4DE4">
        <w:rPr>
          <w:rFonts w:ascii="Times New Roman" w:eastAsia="MS Mincho" w:hAnsi="Times New Roman" w:cs="Times New Roman"/>
          <w:color w:val="000000" w:themeColor="text1"/>
          <w:sz w:val="24"/>
          <w:szCs w:val="24"/>
          <w:vertAlign w:val="superscript"/>
        </w:rPr>
        <w:footnoteReference w:id="28"/>
      </w:r>
      <w:r w:rsidRPr="006A4DE4">
        <w:rPr>
          <w:rFonts w:ascii="Times New Roman" w:eastAsia="MS Mincho" w:hAnsi="Times New Roman" w:cs="Times New Roman"/>
          <w:color w:val="000000" w:themeColor="text1"/>
          <w:sz w:val="24"/>
          <w:szCs w:val="24"/>
        </w:rPr>
        <w:t xml:space="preserve"> regarding the project’s environmental impacts, with the goal that each agency “reach a decision only upon which it is fully informed and only after the decision has been well-considered.”</w:t>
      </w:r>
      <w:r w:rsidRPr="006A4DE4">
        <w:rPr>
          <w:rFonts w:ascii="Times New Roman" w:eastAsia="MS Mincho" w:hAnsi="Times New Roman" w:cs="Times New Roman"/>
          <w:color w:val="000000" w:themeColor="text1"/>
          <w:sz w:val="24"/>
          <w:szCs w:val="24"/>
          <w:vertAlign w:val="superscript"/>
        </w:rPr>
        <w:footnoteReference w:id="29"/>
      </w:r>
      <w:r w:rsidRPr="006A4DE4">
        <w:rPr>
          <w:rFonts w:ascii="Times New Roman" w:eastAsia="MS Mincho" w:hAnsi="Times New Roman" w:cs="Times New Roman"/>
          <w:color w:val="000000" w:themeColor="text1"/>
          <w:sz w:val="24"/>
          <w:szCs w:val="24"/>
        </w:rPr>
        <w:t xml:space="preserve"> </w:t>
      </w:r>
      <w:r w:rsidRPr="006A4DE4">
        <w:rPr>
          <w:rFonts w:ascii="Times New Roman" w:eastAsia="MS Mincho" w:hAnsi="Times New Roman" w:cs="Times New Roman"/>
          <w:sz w:val="24"/>
          <w:szCs w:val="24"/>
        </w:rPr>
        <w:t>This “detailed statement” “helps a reviewing court to decide whether an agency has met that objective,” and serves “as an environmental full disclosure law so that the public can weigh a project’s benefits against its environmental costs.”</w:t>
      </w:r>
      <w:r w:rsidRPr="006A4DE4">
        <w:rPr>
          <w:rFonts w:ascii="Times New Roman" w:eastAsia="MS Mincho" w:hAnsi="Times New Roman" w:cs="Times New Roman"/>
          <w:sz w:val="24"/>
          <w:szCs w:val="24"/>
          <w:vertAlign w:val="superscript"/>
        </w:rPr>
        <w:footnoteReference w:id="30"/>
      </w:r>
      <w:r w:rsidRPr="006A4DE4">
        <w:rPr>
          <w:rFonts w:ascii="Times New Roman" w:eastAsia="MS Mincho" w:hAnsi="Times New Roman" w:cs="Times New Roman"/>
          <w:sz w:val="24"/>
          <w:szCs w:val="24"/>
        </w:rPr>
        <w:t xml:space="preserve"> And, “[p]</w:t>
      </w:r>
      <w:proofErr w:type="spellStart"/>
      <w:r w:rsidRPr="006A4DE4">
        <w:rPr>
          <w:rFonts w:ascii="Times New Roman" w:eastAsia="MS Mincho" w:hAnsi="Times New Roman" w:cs="Times New Roman"/>
          <w:sz w:val="24"/>
          <w:szCs w:val="24"/>
        </w:rPr>
        <w:t>erhaps</w:t>
      </w:r>
      <w:proofErr w:type="spellEnd"/>
      <w:r w:rsidRPr="006A4DE4">
        <w:rPr>
          <w:rFonts w:ascii="Times New Roman" w:eastAsia="MS Mincho" w:hAnsi="Times New Roman" w:cs="Times New Roman"/>
          <w:sz w:val="24"/>
          <w:szCs w:val="24"/>
        </w:rPr>
        <w:t xml:space="preserve"> most important, the detailed statement insures the integrity of the agency process by forcing it to face those stubborn, difficult-to-answer objections without ignoring them or sweeping them under the rug.”</w:t>
      </w:r>
      <w:r w:rsidRPr="006A4DE4">
        <w:rPr>
          <w:rFonts w:ascii="Times New Roman" w:eastAsia="MS Mincho" w:hAnsi="Times New Roman" w:cs="Times New Roman"/>
          <w:sz w:val="24"/>
          <w:szCs w:val="24"/>
          <w:vertAlign w:val="superscript"/>
        </w:rPr>
        <w:footnoteReference w:id="31"/>
      </w:r>
    </w:p>
    <w:p w14:paraId="093B2E87" w14:textId="77777777" w:rsidR="000808D7" w:rsidRPr="006A4DE4" w:rsidRDefault="000808D7" w:rsidP="000808D7">
      <w:pPr>
        <w:spacing w:after="0" w:line="240" w:lineRule="auto"/>
        <w:ind w:firstLine="720"/>
        <w:rPr>
          <w:rFonts w:ascii="Times New Roman" w:eastAsia="MS Mincho" w:hAnsi="Times New Roman" w:cs="Times New Roman"/>
          <w:sz w:val="24"/>
          <w:szCs w:val="24"/>
        </w:rPr>
      </w:pPr>
    </w:p>
    <w:p w14:paraId="58CF0BCA" w14:textId="517218F1" w:rsidR="000B09D8" w:rsidRPr="006A4DE4" w:rsidRDefault="00A74868" w:rsidP="00934DEB">
      <w:pPr>
        <w:spacing w:after="0" w:line="240" w:lineRule="auto"/>
        <w:ind w:firstLine="720"/>
        <w:rPr>
          <w:rFonts w:ascii="Times New Roman" w:eastAsia="MS Mincho" w:hAnsi="Times New Roman" w:cs="Times New Roman"/>
          <w:color w:val="000000" w:themeColor="text1"/>
          <w:sz w:val="24"/>
          <w:szCs w:val="24"/>
        </w:rPr>
      </w:pPr>
      <w:r w:rsidRPr="006A4DE4">
        <w:rPr>
          <w:rFonts w:ascii="Times New Roman" w:eastAsia="MS Mincho" w:hAnsi="Times New Roman" w:cs="Times New Roman"/>
          <w:sz w:val="24"/>
          <w:szCs w:val="24"/>
        </w:rPr>
        <w:t xml:space="preserve">The changes </w:t>
      </w:r>
      <w:r w:rsidR="00332258" w:rsidRPr="006A4DE4">
        <w:rPr>
          <w:rFonts w:ascii="Times New Roman" w:eastAsia="MS Mincho" w:hAnsi="Times New Roman" w:cs="Times New Roman"/>
          <w:sz w:val="24"/>
          <w:szCs w:val="24"/>
        </w:rPr>
        <w:t xml:space="preserve">that </w:t>
      </w:r>
      <w:r w:rsidR="000B09D8" w:rsidRPr="006A4DE4">
        <w:rPr>
          <w:rFonts w:ascii="Times New Roman" w:eastAsia="MS Mincho" w:hAnsi="Times New Roman" w:cs="Times New Roman"/>
          <w:sz w:val="24"/>
          <w:szCs w:val="24"/>
        </w:rPr>
        <w:t>DOT proposes</w:t>
      </w:r>
      <w:r w:rsidRPr="006A4DE4">
        <w:rPr>
          <w:rFonts w:ascii="Times New Roman" w:eastAsia="MS Mincho" w:hAnsi="Times New Roman" w:cs="Times New Roman"/>
          <w:sz w:val="24"/>
          <w:szCs w:val="24"/>
        </w:rPr>
        <w:t xml:space="preserve"> to the scope and substantive content of environmental documentation conflict with these congressional goals </w:t>
      </w:r>
      <w:proofErr w:type="gramStart"/>
      <w:r w:rsidRPr="006A4DE4">
        <w:rPr>
          <w:rFonts w:ascii="Times New Roman" w:eastAsia="MS Mincho" w:hAnsi="Times New Roman" w:cs="Times New Roman"/>
          <w:sz w:val="24"/>
          <w:szCs w:val="24"/>
        </w:rPr>
        <w:t>and,</w:t>
      </w:r>
      <w:proofErr w:type="gramEnd"/>
      <w:r w:rsidRPr="006A4DE4">
        <w:rPr>
          <w:rFonts w:ascii="Times New Roman" w:eastAsia="MS Mincho" w:hAnsi="Times New Roman" w:cs="Times New Roman"/>
          <w:sz w:val="24"/>
          <w:szCs w:val="24"/>
        </w:rPr>
        <w:t xml:space="preserve"> as elaborated below, </w:t>
      </w:r>
      <w:r w:rsidRPr="006A4DE4">
        <w:rPr>
          <w:rFonts w:ascii="Times New Roman" w:eastAsia="MS Mincho" w:hAnsi="Times New Roman" w:cs="Times New Roman"/>
          <w:color w:val="000000" w:themeColor="text1"/>
          <w:sz w:val="24"/>
          <w:szCs w:val="24"/>
        </w:rPr>
        <w:t>are arbitrary, capricious, and otherwise unlawful.</w:t>
      </w:r>
    </w:p>
    <w:p w14:paraId="6AE1F511" w14:textId="5D852EAB" w:rsidR="00561DF0" w:rsidRPr="006A4DE4" w:rsidRDefault="00934DEB" w:rsidP="00934DEB">
      <w:pPr>
        <w:pStyle w:val="Heading2"/>
        <w:numPr>
          <w:ilvl w:val="0"/>
          <w:numId w:val="31"/>
        </w:numPr>
        <w:spacing w:before="120" w:after="120" w:line="240" w:lineRule="auto"/>
        <w:ind w:left="1440" w:hanging="720"/>
        <w:rPr>
          <w:rFonts w:ascii="Times New Roman" w:hAnsi="Times New Roman" w:cs="Times New Roman"/>
          <w:b/>
          <w:bCs/>
          <w:color w:val="000000" w:themeColor="text1"/>
          <w:sz w:val="24"/>
          <w:szCs w:val="24"/>
        </w:rPr>
      </w:pPr>
      <w:r w:rsidRPr="006A4DE4">
        <w:rPr>
          <w:rFonts w:ascii="Times New Roman" w:hAnsi="Times New Roman" w:cs="Times New Roman"/>
          <w:b/>
          <w:bCs/>
          <w:color w:val="000000" w:themeColor="text1"/>
          <w:sz w:val="24"/>
          <w:szCs w:val="24"/>
        </w:rPr>
        <w:t>The Pr</w:t>
      </w:r>
      <w:r w:rsidR="00561DF0" w:rsidRPr="006A4DE4">
        <w:rPr>
          <w:rFonts w:ascii="Times New Roman" w:hAnsi="Times New Roman" w:cs="Times New Roman"/>
          <w:b/>
          <w:bCs/>
          <w:color w:val="000000" w:themeColor="text1"/>
          <w:sz w:val="24"/>
          <w:szCs w:val="24"/>
        </w:rPr>
        <w:t xml:space="preserve">oposed Rule </w:t>
      </w:r>
      <w:r w:rsidR="00E45D32" w:rsidRPr="006A4DE4">
        <w:rPr>
          <w:rFonts w:ascii="Times New Roman" w:hAnsi="Times New Roman" w:cs="Times New Roman"/>
          <w:b/>
          <w:bCs/>
          <w:color w:val="000000" w:themeColor="text1"/>
          <w:sz w:val="24"/>
          <w:szCs w:val="24"/>
        </w:rPr>
        <w:t>would unlawfully exclude analysis of cumulative and indirect effects </w:t>
      </w:r>
    </w:p>
    <w:p w14:paraId="1BC52073" w14:textId="77777777" w:rsidR="00AE5C4A" w:rsidRPr="006A4DE4" w:rsidRDefault="00E96C26" w:rsidP="00AC2CD5">
      <w:pPr>
        <w:ind w:firstLine="720"/>
        <w:rPr>
          <w:rFonts w:ascii="Times New Roman" w:hAnsi="Times New Roman" w:cs="Times New Roman"/>
          <w:sz w:val="24"/>
          <w:szCs w:val="24"/>
        </w:rPr>
      </w:pPr>
      <w:bookmarkStart w:id="1" w:name="_Hlk59119342"/>
      <w:r w:rsidRPr="006A4DE4">
        <w:rPr>
          <w:rFonts w:ascii="Times New Roman" w:eastAsia="Times New Roman" w:hAnsi="Times New Roman" w:cs="Times New Roman"/>
          <w:color w:val="000000" w:themeColor="text1"/>
          <w:sz w:val="24"/>
          <w:szCs w:val="24"/>
        </w:rPr>
        <w:t xml:space="preserve">The Proposed Rule makes clear that, if the Rule goes into effect, DOT </w:t>
      </w:r>
      <w:proofErr w:type="gramStart"/>
      <w:r w:rsidRPr="006A4DE4">
        <w:rPr>
          <w:rFonts w:ascii="Times New Roman" w:eastAsia="Times New Roman" w:hAnsi="Times New Roman" w:cs="Times New Roman"/>
          <w:color w:val="000000" w:themeColor="text1"/>
          <w:sz w:val="24"/>
          <w:szCs w:val="24"/>
        </w:rPr>
        <w:t>would</w:t>
      </w:r>
      <w:proofErr w:type="gramEnd"/>
      <w:r w:rsidRPr="006A4DE4">
        <w:rPr>
          <w:rFonts w:ascii="Times New Roman" w:eastAsia="Times New Roman" w:hAnsi="Times New Roman" w:cs="Times New Roman"/>
          <w:color w:val="000000" w:themeColor="text1"/>
          <w:sz w:val="24"/>
          <w:szCs w:val="24"/>
        </w:rPr>
        <w:t xml:space="preserve"> apply the </w:t>
      </w:r>
      <w:r w:rsidR="00E2697E" w:rsidRPr="006A4DE4">
        <w:rPr>
          <w:rFonts w:ascii="Times New Roman" w:eastAsia="Times New Roman" w:hAnsi="Times New Roman" w:cs="Times New Roman"/>
          <w:color w:val="000000" w:themeColor="text1"/>
          <w:sz w:val="24"/>
          <w:szCs w:val="24"/>
        </w:rPr>
        <w:t>definitions</w:t>
      </w:r>
      <w:r w:rsidRPr="006A4DE4">
        <w:rPr>
          <w:rFonts w:ascii="Times New Roman" w:eastAsia="Times New Roman" w:hAnsi="Times New Roman" w:cs="Times New Roman"/>
          <w:color w:val="000000" w:themeColor="text1"/>
          <w:sz w:val="24"/>
          <w:szCs w:val="24"/>
        </w:rPr>
        <w:t xml:space="preserve"> set forth in the CEQ regulations, including the</w:t>
      </w:r>
      <w:r w:rsidR="00E2697E" w:rsidRPr="006A4DE4">
        <w:rPr>
          <w:rFonts w:ascii="Times New Roman" w:eastAsia="Times New Roman" w:hAnsi="Times New Roman" w:cs="Times New Roman"/>
          <w:color w:val="000000" w:themeColor="text1"/>
          <w:sz w:val="24"/>
          <w:szCs w:val="24"/>
        </w:rPr>
        <w:t xml:space="preserve"> CEQ regulation’s</w:t>
      </w:r>
      <w:r w:rsidRPr="006A4DE4">
        <w:rPr>
          <w:rFonts w:ascii="Times New Roman" w:eastAsia="Times New Roman" w:hAnsi="Times New Roman" w:cs="Times New Roman"/>
          <w:color w:val="000000" w:themeColor="text1"/>
          <w:sz w:val="24"/>
          <w:szCs w:val="24"/>
        </w:rPr>
        <w:t xml:space="preserve"> revised definition of “effects</w:t>
      </w:r>
      <w:r w:rsidR="00E2697E" w:rsidRPr="006A4DE4">
        <w:rPr>
          <w:rFonts w:ascii="Times New Roman" w:eastAsia="Times New Roman" w:hAnsi="Times New Roman" w:cs="Times New Roman"/>
          <w:color w:val="000000" w:themeColor="text1"/>
          <w:sz w:val="24"/>
          <w:szCs w:val="24"/>
        </w:rPr>
        <w:t>.”</w:t>
      </w:r>
      <w:r w:rsidR="001D6A1C" w:rsidRPr="006A4DE4">
        <w:rPr>
          <w:rFonts w:ascii="Times New Roman" w:eastAsia="Times New Roman" w:hAnsi="Times New Roman" w:cs="Times New Roman"/>
          <w:color w:val="000000" w:themeColor="text1"/>
          <w:sz w:val="24"/>
          <w:szCs w:val="24"/>
          <w:shd w:val="clear" w:color="auto" w:fill="FFFFFF"/>
        </w:rPr>
        <w:t xml:space="preserve"> </w:t>
      </w:r>
      <w:r w:rsidR="007E3D6E" w:rsidRPr="006A4DE4">
        <w:rPr>
          <w:rFonts w:ascii="Times New Roman" w:eastAsia="Times New Roman" w:hAnsi="Times New Roman" w:cs="Times New Roman"/>
          <w:i/>
          <w:iCs/>
          <w:color w:val="000000" w:themeColor="text1"/>
          <w:sz w:val="24"/>
          <w:szCs w:val="24"/>
          <w:shd w:val="clear" w:color="auto" w:fill="FFFFFF"/>
        </w:rPr>
        <w:t>See</w:t>
      </w:r>
      <w:r w:rsidR="007E3D6E" w:rsidRPr="006A4DE4">
        <w:rPr>
          <w:rFonts w:ascii="Times New Roman" w:eastAsia="Times New Roman" w:hAnsi="Times New Roman" w:cs="Times New Roman"/>
          <w:color w:val="000000" w:themeColor="text1"/>
          <w:sz w:val="24"/>
          <w:szCs w:val="24"/>
          <w:shd w:val="clear" w:color="auto" w:fill="FFFFFF"/>
        </w:rPr>
        <w:t xml:space="preserve"> </w:t>
      </w:r>
      <w:r w:rsidR="001D6A1C" w:rsidRPr="006A4DE4">
        <w:rPr>
          <w:rFonts w:ascii="Times New Roman" w:eastAsia="Times New Roman" w:hAnsi="Times New Roman" w:cs="Times New Roman"/>
          <w:color w:val="000000" w:themeColor="text1"/>
          <w:sz w:val="24"/>
          <w:szCs w:val="24"/>
        </w:rPr>
        <w:t xml:space="preserve">85 </w:t>
      </w:r>
      <w:r w:rsidR="001D6A1C" w:rsidRPr="006A4DE4">
        <w:rPr>
          <w:rFonts w:ascii="Times New Roman" w:eastAsia="Times New Roman" w:hAnsi="Times New Roman" w:cs="Times New Roman"/>
          <w:color w:val="000000"/>
          <w:sz w:val="24"/>
          <w:szCs w:val="24"/>
        </w:rPr>
        <w:t>Fed. Reg. 74640, 74644</w:t>
      </w:r>
      <w:r w:rsidR="00AC2CD5" w:rsidRPr="006A4DE4">
        <w:rPr>
          <w:rFonts w:ascii="Times New Roman" w:eastAsia="Times New Roman" w:hAnsi="Times New Roman" w:cs="Times New Roman"/>
          <w:color w:val="000000"/>
          <w:sz w:val="24"/>
          <w:szCs w:val="24"/>
        </w:rPr>
        <w:t xml:space="preserve">. </w:t>
      </w:r>
      <w:r w:rsidR="00AC2CD5" w:rsidRPr="006A4DE4">
        <w:rPr>
          <w:rFonts w:ascii="Times New Roman" w:hAnsi="Times New Roman" w:cs="Times New Roman"/>
          <w:sz w:val="24"/>
          <w:szCs w:val="24"/>
        </w:rPr>
        <w:t xml:space="preserve">Importantly, the CEQ regulations eliminate the words “cumulative” and “indirect” from the definition of “effects.”  </w:t>
      </w:r>
    </w:p>
    <w:bookmarkEnd w:id="1"/>
    <w:p w14:paraId="50C4F17E" w14:textId="5784C6A2" w:rsidR="00AC2CD5" w:rsidRPr="006A4DE4" w:rsidRDefault="00AC2CD5" w:rsidP="00AC2CD5">
      <w:pPr>
        <w:ind w:firstLine="720"/>
        <w:rPr>
          <w:rFonts w:ascii="Times New Roman" w:hAnsi="Times New Roman" w:cs="Times New Roman"/>
          <w:color w:val="000000" w:themeColor="text1"/>
          <w:sz w:val="24"/>
          <w:szCs w:val="24"/>
        </w:rPr>
      </w:pPr>
      <w:r w:rsidRPr="006A4DE4">
        <w:rPr>
          <w:rFonts w:ascii="Times New Roman" w:hAnsi="Times New Roman" w:cs="Times New Roman"/>
          <w:sz w:val="24"/>
          <w:szCs w:val="24"/>
        </w:rPr>
        <w:t>NEPA requires “in every recommendation or report on . . . major Federal actions significantly affecting the quality of the human environment,” that the responsible agency provide a detailed statement that discusses a number of elements including the “environmental impact of the proposed action,” “[a]</w:t>
      </w:r>
      <w:proofErr w:type="spellStart"/>
      <w:r w:rsidRPr="006A4DE4">
        <w:rPr>
          <w:rFonts w:ascii="Times New Roman" w:hAnsi="Times New Roman" w:cs="Times New Roman"/>
          <w:sz w:val="24"/>
          <w:szCs w:val="24"/>
        </w:rPr>
        <w:t>ny</w:t>
      </w:r>
      <w:proofErr w:type="spellEnd"/>
      <w:r w:rsidRPr="006A4DE4">
        <w:rPr>
          <w:rFonts w:ascii="Times New Roman" w:hAnsi="Times New Roman" w:cs="Times New Roman"/>
          <w:sz w:val="24"/>
          <w:szCs w:val="24"/>
        </w:rPr>
        <w:t xml:space="preserve"> adverse environmental effects which cannot be avoided should the proposal be implemented,” and “the relationship between local short-term uses of man’s environment and the maintenance and enhancement of long-term productivity.”</w:t>
      </w:r>
      <w:r w:rsidRPr="006A4DE4">
        <w:rPr>
          <w:rStyle w:val="FootnoteReference"/>
          <w:rFonts w:ascii="Times New Roman" w:hAnsi="Times New Roman" w:cs="Times New Roman"/>
          <w:sz w:val="24"/>
          <w:szCs w:val="24"/>
        </w:rPr>
        <w:footnoteReference w:id="32"/>
      </w:r>
      <w:r w:rsidRPr="006A4DE4">
        <w:rPr>
          <w:rFonts w:ascii="Times New Roman" w:hAnsi="Times New Roman" w:cs="Times New Roman"/>
          <w:sz w:val="24"/>
          <w:szCs w:val="24"/>
        </w:rPr>
        <w:t xml:space="preserve">  Agencies cannot satisfy these statutory </w:t>
      </w:r>
      <w:r w:rsidRPr="006A4DE4">
        <w:rPr>
          <w:rFonts w:ascii="Times New Roman" w:hAnsi="Times New Roman" w:cs="Times New Roman"/>
          <w:color w:val="000000" w:themeColor="text1"/>
          <w:sz w:val="24"/>
          <w:szCs w:val="24"/>
        </w:rPr>
        <w:t xml:space="preserve">requirements without considering cumulative and indirect effects.  </w:t>
      </w:r>
    </w:p>
    <w:p w14:paraId="5A3943D1" w14:textId="747AAF52" w:rsidR="00561DF0" w:rsidRPr="006A4DE4" w:rsidRDefault="00561DF0" w:rsidP="001027E6">
      <w:pPr>
        <w:pStyle w:val="Heading3"/>
        <w:numPr>
          <w:ilvl w:val="0"/>
          <w:numId w:val="41"/>
        </w:numPr>
        <w:spacing w:before="120" w:after="120" w:line="240" w:lineRule="auto"/>
        <w:ind w:left="1440" w:hanging="720"/>
        <w:rPr>
          <w:rFonts w:ascii="Times New Roman" w:eastAsia="Times New Roman" w:hAnsi="Times New Roman" w:cs="Times New Roman"/>
          <w:b/>
          <w:bCs/>
          <w:color w:val="000000" w:themeColor="text1"/>
        </w:rPr>
      </w:pPr>
      <w:r w:rsidRPr="006A4DE4">
        <w:rPr>
          <w:rFonts w:ascii="Times New Roman" w:eastAsia="Times New Roman" w:hAnsi="Times New Roman" w:cs="Times New Roman"/>
          <w:b/>
          <w:bCs/>
          <w:color w:val="000000" w:themeColor="text1"/>
        </w:rPr>
        <w:t>The legislative history of NEPA makes clear that Congress intended for agencies to analyze and disclose the full effects of their actions</w:t>
      </w:r>
    </w:p>
    <w:p w14:paraId="61EB85E9" w14:textId="77777777" w:rsidR="00561DF0" w:rsidRPr="006A4DE4" w:rsidRDefault="00561DF0" w:rsidP="00AE5C4A">
      <w:pPr>
        <w:ind w:firstLine="720"/>
        <w:rPr>
          <w:rFonts w:ascii="Times New Roman" w:eastAsia="Times New Roman" w:hAnsi="Times New Roman" w:cs="Times New Roman"/>
          <w:sz w:val="24"/>
          <w:szCs w:val="24"/>
        </w:rPr>
      </w:pPr>
      <w:r w:rsidRPr="006A4DE4">
        <w:rPr>
          <w:rFonts w:ascii="Times New Roman" w:eastAsia="Times New Roman" w:hAnsi="Times New Roman" w:cs="Times New Roman"/>
          <w:color w:val="000000" w:themeColor="text1"/>
          <w:sz w:val="24"/>
          <w:szCs w:val="24"/>
        </w:rPr>
        <w:t xml:space="preserve">NEPA’s legislative history demonstrates that Congress intended the detailed statement mandated in section 102(2)(C) to require agencies to analyze and disclose to the public the wide-ranging consequences of their actions on the environment, including direct, indirect, and </w:t>
      </w:r>
      <w:r w:rsidRPr="006A4DE4">
        <w:rPr>
          <w:rFonts w:ascii="Times New Roman" w:eastAsia="Times New Roman" w:hAnsi="Times New Roman" w:cs="Times New Roman"/>
          <w:sz w:val="24"/>
          <w:szCs w:val="24"/>
        </w:rPr>
        <w:t xml:space="preserve">cumulative effects.  The Senate Report framed the problem this way: </w:t>
      </w:r>
    </w:p>
    <w:p w14:paraId="237D2572" w14:textId="77777777" w:rsidR="00561DF0" w:rsidRPr="006A4DE4" w:rsidRDefault="00561DF0" w:rsidP="00F8732D">
      <w:pPr>
        <w:ind w:left="720" w:right="1080"/>
        <w:jc w:val="both"/>
        <w:rPr>
          <w:rFonts w:ascii="Times New Roman" w:eastAsia="Times New Roman" w:hAnsi="Times New Roman" w:cs="Times New Roman"/>
          <w:sz w:val="24"/>
          <w:szCs w:val="24"/>
        </w:rPr>
      </w:pPr>
      <w:r w:rsidRPr="006A4DE4">
        <w:rPr>
          <w:rFonts w:ascii="Times New Roman" w:eastAsia="Times New Roman" w:hAnsi="Times New Roman" w:cs="Times New Roman"/>
          <w:sz w:val="24"/>
          <w:szCs w:val="24"/>
        </w:rPr>
        <w:t xml:space="preserve">As a result of </w:t>
      </w:r>
      <w:proofErr w:type="spellStart"/>
      <w:r w:rsidRPr="006A4DE4">
        <w:rPr>
          <w:rFonts w:ascii="Times New Roman" w:eastAsia="Times New Roman" w:hAnsi="Times New Roman" w:cs="Times New Roman"/>
          <w:sz w:val="24"/>
          <w:szCs w:val="24"/>
        </w:rPr>
        <w:t>th</w:t>
      </w:r>
      <w:proofErr w:type="spellEnd"/>
      <w:r w:rsidRPr="006A4DE4">
        <w:rPr>
          <w:rFonts w:ascii="Times New Roman" w:eastAsia="Times New Roman" w:hAnsi="Times New Roman" w:cs="Times New Roman"/>
          <w:sz w:val="24"/>
          <w:szCs w:val="24"/>
        </w:rPr>
        <w:t xml:space="preserve">[e] failure to formulate a comprehensive national policy, environmental </w:t>
      </w:r>
      <w:proofErr w:type="spellStart"/>
      <w:r w:rsidRPr="006A4DE4">
        <w:rPr>
          <w:rFonts w:ascii="Times New Roman" w:eastAsia="Times New Roman" w:hAnsi="Times New Roman" w:cs="Times New Roman"/>
          <w:sz w:val="24"/>
          <w:szCs w:val="24"/>
        </w:rPr>
        <w:t>decisionmaking</w:t>
      </w:r>
      <w:proofErr w:type="spellEnd"/>
      <w:r w:rsidRPr="006A4DE4">
        <w:rPr>
          <w:rFonts w:ascii="Times New Roman" w:eastAsia="Times New Roman" w:hAnsi="Times New Roman" w:cs="Times New Roman"/>
          <w:sz w:val="24"/>
          <w:szCs w:val="24"/>
        </w:rPr>
        <w:t xml:space="preserve"> largely continues to proceed as it has in the past. Policy is established by default and inaction. Environmental problems are only dealt with when they reach crisis proportions. Public desires and aspirations are seldom consulted. Important decisions concerning the use and the shape of man’s future environment continue to be made in small but steady increments which perpetuate rather than avoid the recognized mistakes of previous decades.  </w:t>
      </w:r>
    </w:p>
    <w:p w14:paraId="400111F2" w14:textId="152C61AE" w:rsidR="00561DF0" w:rsidRPr="006A4DE4" w:rsidRDefault="00561DF0" w:rsidP="00561DF0">
      <w:pPr>
        <w:rPr>
          <w:rFonts w:ascii="Times New Roman" w:eastAsia="Times New Roman" w:hAnsi="Times New Roman" w:cs="Times New Roman"/>
          <w:sz w:val="24"/>
          <w:szCs w:val="24"/>
        </w:rPr>
      </w:pPr>
      <w:proofErr w:type="gramStart"/>
      <w:r w:rsidRPr="006A4DE4">
        <w:rPr>
          <w:rFonts w:ascii="Times New Roman" w:eastAsia="Times New Roman" w:hAnsi="Times New Roman" w:cs="Times New Roman"/>
          <w:sz w:val="24"/>
          <w:szCs w:val="24"/>
        </w:rPr>
        <w:t>The  Senate</w:t>
      </w:r>
      <w:proofErr w:type="gramEnd"/>
      <w:r w:rsidRPr="006A4DE4">
        <w:rPr>
          <w:rFonts w:ascii="Times New Roman" w:eastAsia="Times New Roman" w:hAnsi="Times New Roman" w:cs="Times New Roman"/>
          <w:sz w:val="24"/>
          <w:szCs w:val="24"/>
        </w:rPr>
        <w:t xml:space="preserve"> Report describes the unintended environmental consequences of prior federal policies and actions, including the “proliferation of pesticides and other chemicals”; “indiscriminate siting” of heavy industry; “pollution of the Nation’s rivers, bays, lakes, and estuaries”; loss of public lands; and “rising levels of air pollution.”  NEPA is “designed to deal with the long-range implications of many of the[se] critical environmental problems,” in part by ensuring that federal agencies undertake actions with “adequate consideration of, or knowledge about, their impact on the environment.” This goal is unattainable if federal agencies do not analyze and disclose to decisionmakers and the public the full suite of the effects of their actions on the environment, including indirect and cumulative effects. </w:t>
      </w:r>
    </w:p>
    <w:p w14:paraId="3EBB4F79" w14:textId="28DD056E" w:rsidR="00E96C26" w:rsidRPr="006A4DE4" w:rsidRDefault="00561DF0" w:rsidP="00E96C26">
      <w:pPr>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sz w:val="24"/>
          <w:szCs w:val="24"/>
        </w:rPr>
        <w:t xml:space="preserve">The House Report makes clear that the federal government </w:t>
      </w:r>
      <w:r w:rsidR="00862F07" w:rsidRPr="006A4DE4">
        <w:rPr>
          <w:rFonts w:ascii="Times New Roman" w:eastAsia="Times New Roman" w:hAnsi="Times New Roman" w:cs="Times New Roman"/>
          <w:sz w:val="24"/>
          <w:szCs w:val="24"/>
        </w:rPr>
        <w:t xml:space="preserve">must </w:t>
      </w:r>
      <w:r w:rsidRPr="006A4DE4">
        <w:rPr>
          <w:rFonts w:ascii="Times New Roman" w:eastAsia="Times New Roman" w:hAnsi="Times New Roman" w:cs="Times New Roman"/>
          <w:sz w:val="24"/>
          <w:szCs w:val="24"/>
        </w:rPr>
        <w:t xml:space="preserve">properly analyze long-term environmental consequences. The Report acknowledges that the country faces “two types of [environmental] issues”: short-term, local “brushfire crises,” and “long-term methodical concerns about the environment.”  “The latter is by far the most difficult. It is the least spectacular, yet by far the most significant.”  According to the House Report, “[a]n independent review of the interrelated problems associated with </w:t>
      </w:r>
      <w:r w:rsidRPr="006A4DE4">
        <w:rPr>
          <w:rFonts w:ascii="Times New Roman" w:eastAsia="Times New Roman" w:hAnsi="Times New Roman" w:cs="Times New Roman"/>
          <w:color w:val="000000" w:themeColor="text1"/>
          <w:sz w:val="24"/>
          <w:szCs w:val="24"/>
        </w:rPr>
        <w:t xml:space="preserve">environmental quality is of critical importance if we are to reverse what seems to be a clear and intensifying trend toward environmental degradation.” </w:t>
      </w:r>
    </w:p>
    <w:p w14:paraId="42261E43" w14:textId="0EE46404" w:rsidR="00B71BEB" w:rsidRPr="006A4DE4" w:rsidRDefault="00B71BEB" w:rsidP="007B4ABE">
      <w:pPr>
        <w:pStyle w:val="Heading3"/>
        <w:numPr>
          <w:ilvl w:val="0"/>
          <w:numId w:val="41"/>
        </w:numPr>
        <w:spacing w:before="120" w:after="120" w:line="240" w:lineRule="auto"/>
        <w:ind w:left="1440" w:hanging="720"/>
        <w:rPr>
          <w:rFonts w:ascii="Times New Roman" w:eastAsia="Times New Roman" w:hAnsi="Times New Roman" w:cs="Times New Roman"/>
          <w:b/>
          <w:bCs/>
          <w:color w:val="000000" w:themeColor="text1"/>
        </w:rPr>
      </w:pPr>
      <w:r w:rsidRPr="006A4DE4">
        <w:rPr>
          <w:rFonts w:ascii="Times New Roman" w:eastAsia="Times New Roman" w:hAnsi="Times New Roman" w:cs="Times New Roman"/>
          <w:b/>
          <w:bCs/>
          <w:color w:val="000000" w:themeColor="text1"/>
        </w:rPr>
        <w:t xml:space="preserve">Judicial precedent makes clear that NEPA requires agencies to consider indirect and cumulative effects </w:t>
      </w:r>
    </w:p>
    <w:p w14:paraId="746A7EA8" w14:textId="4A2426B4" w:rsidR="00B71BEB" w:rsidRPr="006A4DE4" w:rsidRDefault="00B71BEB" w:rsidP="00B71BEB">
      <w:pPr>
        <w:spacing w:after="0" w:line="240" w:lineRule="auto"/>
        <w:ind w:firstLine="720"/>
        <w:rPr>
          <w:rFonts w:ascii="Times New Roman" w:eastAsia="MS Mincho" w:hAnsi="Times New Roman" w:cs="Times New Roman"/>
          <w:sz w:val="24"/>
          <w:szCs w:val="24"/>
        </w:rPr>
      </w:pPr>
      <w:r w:rsidRPr="006A4DE4">
        <w:rPr>
          <w:rFonts w:ascii="Times New Roman" w:eastAsia="MS Mincho" w:hAnsi="Times New Roman" w:cs="Times New Roman"/>
          <w:color w:val="000000" w:themeColor="text1"/>
          <w:sz w:val="24"/>
          <w:szCs w:val="24"/>
        </w:rPr>
        <w:t>In the years following NEPA’s passage</w:t>
      </w:r>
      <w:r w:rsidR="007B4ABE" w:rsidRPr="006A4DE4">
        <w:rPr>
          <w:rFonts w:ascii="Times New Roman" w:eastAsia="MS Mincho" w:hAnsi="Times New Roman" w:cs="Times New Roman"/>
          <w:color w:val="000000" w:themeColor="text1"/>
          <w:sz w:val="24"/>
          <w:szCs w:val="24"/>
        </w:rPr>
        <w:t xml:space="preserve">, </w:t>
      </w:r>
      <w:r w:rsidRPr="006A4DE4">
        <w:rPr>
          <w:rFonts w:ascii="Times New Roman" w:eastAsia="MS Mincho" w:hAnsi="Times New Roman" w:cs="Times New Roman"/>
          <w:color w:val="000000" w:themeColor="text1"/>
          <w:sz w:val="24"/>
          <w:szCs w:val="24"/>
        </w:rPr>
        <w:t xml:space="preserve">courts interpreted </w:t>
      </w:r>
      <w:r w:rsidRPr="006A4DE4">
        <w:rPr>
          <w:rFonts w:ascii="Times New Roman" w:eastAsia="MS Mincho" w:hAnsi="Times New Roman" w:cs="Times New Roman"/>
          <w:sz w:val="24"/>
          <w:szCs w:val="24"/>
        </w:rPr>
        <w:t xml:space="preserve">NEPA to require federal agencies to include in their environmental analyses the indirect and cumulative effects of their proposed actions.  </w:t>
      </w:r>
    </w:p>
    <w:p w14:paraId="3489DA22" w14:textId="77777777" w:rsidR="00B71BEB" w:rsidRPr="006A4DE4" w:rsidRDefault="00B71BEB" w:rsidP="00B71BEB">
      <w:pPr>
        <w:spacing w:after="0" w:line="240" w:lineRule="auto"/>
        <w:ind w:firstLine="720"/>
        <w:rPr>
          <w:rFonts w:ascii="Times New Roman" w:eastAsia="MS Mincho" w:hAnsi="Times New Roman" w:cs="Times New Roman"/>
          <w:sz w:val="24"/>
          <w:szCs w:val="24"/>
        </w:rPr>
      </w:pPr>
    </w:p>
    <w:p w14:paraId="278221CB" w14:textId="77777777" w:rsidR="00B71BEB" w:rsidRPr="006A4DE4" w:rsidRDefault="00B71BEB" w:rsidP="00B71BEB">
      <w:pPr>
        <w:spacing w:after="0" w:line="240" w:lineRule="auto"/>
        <w:ind w:firstLine="720"/>
        <w:rPr>
          <w:rFonts w:ascii="Times New Roman" w:eastAsia="MS Mincho" w:hAnsi="Times New Roman" w:cs="Times New Roman"/>
          <w:sz w:val="24"/>
          <w:szCs w:val="24"/>
        </w:rPr>
      </w:pPr>
      <w:r w:rsidRPr="006A4DE4">
        <w:rPr>
          <w:rFonts w:ascii="Times New Roman" w:eastAsia="MS Mincho" w:hAnsi="Times New Roman" w:cs="Times New Roman"/>
          <w:sz w:val="24"/>
          <w:szCs w:val="24"/>
        </w:rPr>
        <w:t xml:space="preserve">For instance, in </w:t>
      </w:r>
      <w:r w:rsidRPr="006A4DE4">
        <w:rPr>
          <w:rFonts w:ascii="Times New Roman" w:eastAsia="MS Mincho" w:hAnsi="Times New Roman" w:cs="Times New Roman"/>
          <w:i/>
          <w:sz w:val="24"/>
          <w:szCs w:val="24"/>
        </w:rPr>
        <w:t>City of Davis v. Coleman</w:t>
      </w:r>
      <w:r w:rsidRPr="006A4DE4">
        <w:rPr>
          <w:rFonts w:ascii="Times New Roman" w:eastAsia="MS Mincho" w:hAnsi="Times New Roman" w:cs="Times New Roman"/>
          <w:sz w:val="24"/>
          <w:szCs w:val="24"/>
        </w:rPr>
        <w:t>, the court of appeals held that the Federal Highway Administration and its California counterpart were required to prepare an environmental impact statement under NEPA for construction of a portion of a federal highway because of the significant “secondary” or indirect environmental effects that could result from the project.</w:t>
      </w:r>
      <w:r w:rsidRPr="006A4DE4">
        <w:rPr>
          <w:rFonts w:ascii="Times New Roman" w:eastAsia="MS Mincho" w:hAnsi="Times New Roman" w:cs="Times New Roman"/>
          <w:sz w:val="24"/>
          <w:szCs w:val="24"/>
          <w:vertAlign w:val="superscript"/>
        </w:rPr>
        <w:footnoteReference w:id="33"/>
      </w:r>
      <w:r w:rsidRPr="006A4DE4">
        <w:rPr>
          <w:rFonts w:ascii="Times New Roman" w:eastAsia="MS Mincho" w:hAnsi="Times New Roman" w:cs="Times New Roman"/>
          <w:sz w:val="24"/>
          <w:szCs w:val="24"/>
        </w:rPr>
        <w:t xml:space="preserve">  The court explained that the “growth-inducing effects” of the highway construction “are its </w:t>
      </w:r>
      <w:r w:rsidRPr="006A4DE4">
        <w:rPr>
          <w:rFonts w:ascii="Times New Roman" w:eastAsia="MS Mincho" w:hAnsi="Times New Roman" w:cs="Times New Roman"/>
          <w:i/>
          <w:sz w:val="24"/>
          <w:szCs w:val="24"/>
        </w:rPr>
        <w:t xml:space="preserve">raison </w:t>
      </w:r>
      <w:proofErr w:type="spellStart"/>
      <w:r w:rsidRPr="006A4DE4">
        <w:rPr>
          <w:rFonts w:ascii="Times New Roman" w:eastAsia="MS Mincho" w:hAnsi="Times New Roman" w:cs="Times New Roman"/>
          <w:i/>
          <w:sz w:val="24"/>
          <w:szCs w:val="24"/>
        </w:rPr>
        <w:t>d’etre</w:t>
      </w:r>
      <w:proofErr w:type="spellEnd"/>
      <w:r w:rsidRPr="006A4DE4">
        <w:rPr>
          <w:rFonts w:ascii="Times New Roman" w:eastAsia="MS Mincho" w:hAnsi="Times New Roman" w:cs="Times New Roman"/>
          <w:sz w:val="24"/>
          <w:szCs w:val="24"/>
        </w:rPr>
        <w:t>,” and “with growth will come growth’s problems: increased population, increased traffic, increased pollution, and increased demand for services such as utilities, education, police and fire protection, and recreational facilities.”</w:t>
      </w:r>
      <w:r w:rsidRPr="006A4DE4">
        <w:rPr>
          <w:rFonts w:ascii="Times New Roman" w:eastAsia="MS Mincho" w:hAnsi="Times New Roman" w:cs="Times New Roman"/>
          <w:sz w:val="24"/>
          <w:szCs w:val="24"/>
          <w:vertAlign w:val="superscript"/>
        </w:rPr>
        <w:footnoteReference w:id="34"/>
      </w:r>
      <w:r w:rsidRPr="006A4DE4">
        <w:rPr>
          <w:rFonts w:ascii="Times New Roman" w:eastAsia="MS Mincho" w:hAnsi="Times New Roman" w:cs="Times New Roman"/>
          <w:sz w:val="24"/>
          <w:szCs w:val="24"/>
        </w:rPr>
        <w:t xml:space="preserve"> The agencies argued that these effects did not need to be considered under NEPA because they were “‘secondary’ environmental effects.”</w:t>
      </w:r>
      <w:r w:rsidRPr="006A4DE4">
        <w:rPr>
          <w:rFonts w:ascii="Times New Roman" w:eastAsia="MS Mincho" w:hAnsi="Times New Roman" w:cs="Times New Roman"/>
          <w:sz w:val="24"/>
          <w:szCs w:val="24"/>
          <w:vertAlign w:val="superscript"/>
        </w:rPr>
        <w:footnoteReference w:id="35"/>
      </w:r>
      <w:r w:rsidRPr="006A4DE4">
        <w:rPr>
          <w:rFonts w:ascii="Times New Roman" w:eastAsia="MS Mincho" w:hAnsi="Times New Roman" w:cs="Times New Roman"/>
          <w:sz w:val="24"/>
          <w:szCs w:val="24"/>
        </w:rPr>
        <w:t xml:space="preserve"> The court disagreed, explaining that “this is precisely the kind of situation Congress had in mind when it enacted NEPA: substantial questions have been raised about the environmental consequences of federal action, and the responsible agencies should not be allowed to proceed with the proposed action in ignorance of what those consequences will be.”</w:t>
      </w:r>
      <w:r w:rsidRPr="006A4DE4">
        <w:rPr>
          <w:rFonts w:ascii="Times New Roman" w:eastAsia="MS Mincho" w:hAnsi="Times New Roman" w:cs="Times New Roman"/>
          <w:sz w:val="24"/>
          <w:szCs w:val="24"/>
          <w:vertAlign w:val="superscript"/>
        </w:rPr>
        <w:footnoteReference w:id="36"/>
      </w:r>
      <w:r w:rsidRPr="006A4DE4">
        <w:rPr>
          <w:rFonts w:ascii="Times New Roman" w:eastAsia="MS Mincho" w:hAnsi="Times New Roman" w:cs="Times New Roman"/>
          <w:sz w:val="24"/>
          <w:szCs w:val="24"/>
        </w:rPr>
        <w:t xml:space="preserve"> </w:t>
      </w:r>
    </w:p>
    <w:p w14:paraId="4657419C" w14:textId="77777777" w:rsidR="00B71BEB" w:rsidRPr="006A4DE4" w:rsidRDefault="00B71BEB" w:rsidP="00B71BEB">
      <w:pPr>
        <w:spacing w:after="0" w:line="240" w:lineRule="auto"/>
        <w:ind w:firstLine="720"/>
        <w:rPr>
          <w:rFonts w:ascii="Times New Roman" w:eastAsia="MS Mincho" w:hAnsi="Times New Roman" w:cs="Times New Roman"/>
          <w:sz w:val="24"/>
          <w:szCs w:val="24"/>
        </w:rPr>
      </w:pPr>
    </w:p>
    <w:p w14:paraId="1C7CE7D9" w14:textId="77777777" w:rsidR="00B71BEB" w:rsidRPr="006A4DE4" w:rsidRDefault="00B71BEB" w:rsidP="00B71BEB">
      <w:pPr>
        <w:spacing w:after="0" w:line="240" w:lineRule="auto"/>
        <w:ind w:firstLine="720"/>
        <w:rPr>
          <w:rFonts w:ascii="Times New Roman" w:eastAsia="MS Mincho" w:hAnsi="Times New Roman" w:cs="Times New Roman"/>
          <w:sz w:val="24"/>
          <w:szCs w:val="24"/>
        </w:rPr>
      </w:pPr>
      <w:r w:rsidRPr="006A4DE4">
        <w:rPr>
          <w:rFonts w:ascii="Times New Roman" w:eastAsia="MS Mincho" w:hAnsi="Times New Roman" w:cs="Times New Roman"/>
          <w:sz w:val="24"/>
          <w:szCs w:val="24"/>
        </w:rPr>
        <w:t>Similarly, in</w:t>
      </w:r>
      <w:r w:rsidRPr="006A4DE4">
        <w:rPr>
          <w:rFonts w:ascii="Times New Roman" w:eastAsia="MS Gothic" w:hAnsi="Times New Roman" w:cs="Times New Roman"/>
          <w:color w:val="365F91"/>
          <w:sz w:val="24"/>
          <w:szCs w:val="24"/>
        </w:rPr>
        <w:t xml:space="preserve"> </w:t>
      </w:r>
      <w:r w:rsidRPr="006A4DE4">
        <w:rPr>
          <w:rFonts w:ascii="Times New Roman" w:eastAsia="MS Mincho" w:hAnsi="Times New Roman" w:cs="Times New Roman"/>
          <w:i/>
          <w:sz w:val="24"/>
          <w:szCs w:val="24"/>
        </w:rPr>
        <w:t xml:space="preserve">Minnesota Public Interest Research Group v. </w:t>
      </w:r>
      <w:proofErr w:type="spellStart"/>
      <w:r w:rsidRPr="006A4DE4">
        <w:rPr>
          <w:rFonts w:ascii="Times New Roman" w:eastAsia="MS Mincho" w:hAnsi="Times New Roman" w:cs="Times New Roman"/>
          <w:i/>
          <w:sz w:val="24"/>
          <w:szCs w:val="24"/>
        </w:rPr>
        <w:t>Butz</w:t>
      </w:r>
      <w:proofErr w:type="spellEnd"/>
      <w:r w:rsidRPr="006A4DE4">
        <w:rPr>
          <w:rFonts w:ascii="Times New Roman" w:eastAsia="MS Mincho" w:hAnsi="Times New Roman" w:cs="Times New Roman"/>
          <w:sz w:val="24"/>
          <w:szCs w:val="24"/>
        </w:rPr>
        <w:t>, the Eighth Circuit held that the U.S. Forest Service was required to complete an environmental impact statement for proposed additional logging activity in the Boundary Waters Canoe Area to assess the indirect effects associated with the logging permits.</w:t>
      </w:r>
      <w:r w:rsidRPr="006A4DE4">
        <w:rPr>
          <w:rFonts w:ascii="Times New Roman" w:eastAsia="MS Mincho" w:hAnsi="Times New Roman" w:cs="Times New Roman"/>
          <w:sz w:val="24"/>
          <w:szCs w:val="24"/>
          <w:vertAlign w:val="superscript"/>
        </w:rPr>
        <w:footnoteReference w:id="37"/>
      </w:r>
      <w:r w:rsidRPr="006A4DE4">
        <w:rPr>
          <w:rFonts w:ascii="Times New Roman" w:eastAsia="MS Mincho" w:hAnsi="Times New Roman" w:cs="Times New Roman"/>
          <w:sz w:val="24"/>
          <w:szCs w:val="24"/>
        </w:rPr>
        <w:t xml:space="preserve"> The court observed that “[l]</w:t>
      </w:r>
      <w:proofErr w:type="spellStart"/>
      <w:r w:rsidRPr="006A4DE4">
        <w:rPr>
          <w:rFonts w:ascii="Times New Roman" w:eastAsia="MS Mincho" w:hAnsi="Times New Roman" w:cs="Times New Roman"/>
          <w:sz w:val="24"/>
          <w:szCs w:val="24"/>
        </w:rPr>
        <w:t>ogging</w:t>
      </w:r>
      <w:proofErr w:type="spellEnd"/>
      <w:r w:rsidRPr="006A4DE4">
        <w:rPr>
          <w:rFonts w:ascii="Times New Roman" w:eastAsia="MS Mincho" w:hAnsi="Times New Roman" w:cs="Times New Roman"/>
          <w:sz w:val="24"/>
          <w:szCs w:val="24"/>
        </w:rPr>
        <w:t xml:space="preserve"> creates excess nutrient run-off which causes algal growth in the lakes and streams, affecting water purity. Logging roads may cause erosion and water pollution and remain visible for as long as 100 years; this affects the rustic, natural beauty of the BWCA, recognized as unique by the Forest Service itself. Logging destroys virgin forest, not only for recreational use, but for scientific and educational purposes as well. All these are significant impacts on the human environment.”</w:t>
      </w:r>
      <w:r w:rsidRPr="006A4DE4">
        <w:rPr>
          <w:rFonts w:ascii="Times New Roman" w:eastAsia="MS Mincho" w:hAnsi="Times New Roman" w:cs="Times New Roman"/>
          <w:sz w:val="24"/>
          <w:szCs w:val="24"/>
          <w:vertAlign w:val="superscript"/>
        </w:rPr>
        <w:footnoteReference w:id="38"/>
      </w:r>
      <w:r w:rsidRPr="006A4DE4">
        <w:rPr>
          <w:rFonts w:ascii="Times New Roman" w:eastAsia="MS Mincho" w:hAnsi="Times New Roman" w:cs="Times New Roman"/>
          <w:sz w:val="24"/>
          <w:szCs w:val="24"/>
        </w:rPr>
        <w:t xml:space="preserve"> Again, the court of appeals rejected the agencies’ argument that these and other effects were too remote to be considered under NEPA: “We think NEPA is concerned with indirect effects as well as direct effects. There has been increasing recognition that man and all other life on this earth may be significantly affected by actions which on the surface appear insignificant.”</w:t>
      </w:r>
      <w:r w:rsidRPr="006A4DE4">
        <w:rPr>
          <w:rFonts w:ascii="Times New Roman" w:eastAsia="MS Mincho" w:hAnsi="Times New Roman" w:cs="Times New Roman"/>
          <w:sz w:val="24"/>
          <w:szCs w:val="24"/>
          <w:vertAlign w:val="superscript"/>
        </w:rPr>
        <w:footnoteReference w:id="39"/>
      </w:r>
    </w:p>
    <w:p w14:paraId="7ED73211" w14:textId="77777777" w:rsidR="00B71BEB" w:rsidRPr="006A4DE4" w:rsidRDefault="00B71BEB" w:rsidP="00B71BEB">
      <w:pPr>
        <w:spacing w:after="0" w:line="240" w:lineRule="auto"/>
        <w:ind w:firstLine="720"/>
        <w:rPr>
          <w:rFonts w:ascii="Times New Roman" w:eastAsia="MS Mincho" w:hAnsi="Times New Roman" w:cs="Times New Roman"/>
          <w:sz w:val="24"/>
          <w:szCs w:val="24"/>
        </w:rPr>
      </w:pPr>
    </w:p>
    <w:p w14:paraId="20A8A5E5" w14:textId="77777777" w:rsidR="00B71BEB" w:rsidRPr="006A4DE4" w:rsidRDefault="00B71BEB" w:rsidP="00B71BEB">
      <w:pPr>
        <w:spacing w:after="0" w:line="240" w:lineRule="auto"/>
        <w:ind w:firstLine="720"/>
        <w:rPr>
          <w:rFonts w:ascii="Times New Roman" w:eastAsia="MS Mincho" w:hAnsi="Times New Roman" w:cs="Times New Roman"/>
          <w:sz w:val="24"/>
          <w:szCs w:val="24"/>
        </w:rPr>
      </w:pPr>
      <w:r w:rsidRPr="006A4DE4">
        <w:rPr>
          <w:rFonts w:ascii="Times New Roman" w:eastAsia="MS Mincho" w:hAnsi="Times New Roman" w:cs="Times New Roman"/>
          <w:sz w:val="24"/>
          <w:szCs w:val="24"/>
        </w:rPr>
        <w:t xml:space="preserve">During this same period, courts also held that NEPA required agencies to consider the cumulative effects of their actions in environmental analyses. For instance, in </w:t>
      </w:r>
      <w:r w:rsidRPr="006A4DE4">
        <w:rPr>
          <w:rFonts w:ascii="Times New Roman" w:eastAsia="MS Mincho" w:hAnsi="Times New Roman" w:cs="Times New Roman"/>
          <w:i/>
          <w:sz w:val="24"/>
          <w:szCs w:val="24"/>
        </w:rPr>
        <w:t>Kleppe v. Sierra Club</w:t>
      </w:r>
      <w:r w:rsidRPr="006A4DE4">
        <w:rPr>
          <w:rFonts w:ascii="Times New Roman" w:eastAsia="MS Mincho" w:hAnsi="Times New Roman" w:cs="Times New Roman"/>
          <w:sz w:val="24"/>
          <w:szCs w:val="24"/>
        </w:rPr>
        <w:t>, the Supreme Court interpreted section 102(2)(C) of NEPA to require that when multiple proposals for related actions “that will have cumulative or synergistic environmental impact upon a region are pending concurrently before an agency, their environmental consequences must be considered together.”</w:t>
      </w:r>
      <w:r w:rsidRPr="006A4DE4">
        <w:rPr>
          <w:rFonts w:ascii="Times New Roman" w:eastAsia="MS Mincho" w:hAnsi="Times New Roman" w:cs="Times New Roman"/>
          <w:sz w:val="24"/>
          <w:szCs w:val="24"/>
          <w:vertAlign w:val="superscript"/>
        </w:rPr>
        <w:footnoteReference w:id="40"/>
      </w:r>
      <w:r w:rsidRPr="006A4DE4">
        <w:rPr>
          <w:rFonts w:ascii="Times New Roman" w:eastAsia="MS Mincho" w:hAnsi="Times New Roman" w:cs="Times New Roman"/>
          <w:sz w:val="24"/>
          <w:szCs w:val="24"/>
        </w:rPr>
        <w:t xml:space="preserve"> “Only through comprehensive consideration of pending proposals can the agency evaluate different courses of action.”</w:t>
      </w:r>
      <w:r w:rsidRPr="006A4DE4">
        <w:rPr>
          <w:rFonts w:ascii="Times New Roman" w:eastAsia="MS Mincho" w:hAnsi="Times New Roman" w:cs="Times New Roman"/>
          <w:sz w:val="24"/>
          <w:szCs w:val="24"/>
          <w:vertAlign w:val="superscript"/>
        </w:rPr>
        <w:footnoteReference w:id="41"/>
      </w:r>
      <w:r w:rsidRPr="006A4DE4">
        <w:rPr>
          <w:rFonts w:ascii="Times New Roman" w:eastAsia="MS Mincho" w:hAnsi="Times New Roman" w:cs="Times New Roman"/>
          <w:sz w:val="24"/>
          <w:szCs w:val="24"/>
        </w:rPr>
        <w:t xml:space="preserve"> The Supreme Court has subsequently reiterated this understanding of the statute: “NEPA requires an EIS to disclose the significant health, socioeconomic and </w:t>
      </w:r>
      <w:r w:rsidRPr="006A4DE4">
        <w:rPr>
          <w:rFonts w:ascii="Times New Roman" w:eastAsia="MS Mincho" w:hAnsi="Times New Roman" w:cs="Times New Roman"/>
          <w:i/>
          <w:iCs/>
          <w:sz w:val="24"/>
          <w:szCs w:val="24"/>
        </w:rPr>
        <w:t>cumulative consequences</w:t>
      </w:r>
      <w:r w:rsidRPr="006A4DE4">
        <w:rPr>
          <w:rFonts w:ascii="Times New Roman" w:eastAsia="MS Mincho" w:hAnsi="Times New Roman" w:cs="Times New Roman"/>
          <w:sz w:val="24"/>
          <w:szCs w:val="24"/>
        </w:rPr>
        <w:t xml:space="preserve"> of the environmental impact of a proposed action.”</w:t>
      </w:r>
      <w:r w:rsidRPr="006A4DE4">
        <w:rPr>
          <w:rFonts w:ascii="Times New Roman" w:eastAsia="MS Mincho" w:hAnsi="Times New Roman" w:cs="Times New Roman"/>
          <w:sz w:val="24"/>
          <w:szCs w:val="24"/>
          <w:vertAlign w:val="superscript"/>
        </w:rPr>
        <w:footnoteReference w:id="42"/>
      </w:r>
    </w:p>
    <w:p w14:paraId="00F11571" w14:textId="77777777" w:rsidR="00B71BEB" w:rsidRPr="006A4DE4" w:rsidRDefault="00B71BEB" w:rsidP="00B71BEB">
      <w:pPr>
        <w:spacing w:after="0" w:line="240" w:lineRule="auto"/>
        <w:ind w:firstLine="720"/>
        <w:rPr>
          <w:rFonts w:ascii="Times New Roman" w:eastAsia="MS Mincho" w:hAnsi="Times New Roman" w:cs="Times New Roman"/>
          <w:sz w:val="24"/>
          <w:szCs w:val="24"/>
        </w:rPr>
      </w:pPr>
    </w:p>
    <w:p w14:paraId="3BD03BF6" w14:textId="77777777" w:rsidR="00B71BEB" w:rsidRPr="006A4DE4" w:rsidRDefault="00B71BEB" w:rsidP="00B71BEB">
      <w:pPr>
        <w:spacing w:after="0" w:line="240" w:lineRule="auto"/>
        <w:ind w:firstLine="720"/>
        <w:rPr>
          <w:rFonts w:ascii="Times New Roman" w:eastAsia="MS Mincho" w:hAnsi="Times New Roman" w:cs="Times New Roman"/>
          <w:sz w:val="24"/>
          <w:szCs w:val="24"/>
        </w:rPr>
      </w:pPr>
      <w:r w:rsidRPr="006A4DE4">
        <w:rPr>
          <w:rFonts w:ascii="Times New Roman" w:eastAsia="MS Mincho" w:hAnsi="Times New Roman" w:cs="Times New Roman"/>
          <w:sz w:val="24"/>
          <w:szCs w:val="24"/>
        </w:rPr>
        <w:t xml:space="preserve">Consistent with this binding authority, the Second Circuit has repeatedly found agency environmental analyses insufficient under NEPA for their failures to consider cumulative impacts. For instance, in </w:t>
      </w:r>
      <w:r w:rsidRPr="006A4DE4">
        <w:rPr>
          <w:rFonts w:ascii="Times New Roman" w:eastAsia="MS Mincho" w:hAnsi="Times New Roman" w:cs="Times New Roman"/>
          <w:i/>
          <w:sz w:val="24"/>
          <w:szCs w:val="24"/>
        </w:rPr>
        <w:t>Natural Resources Defense Council v. Callaway</w:t>
      </w:r>
      <w:r w:rsidRPr="006A4DE4">
        <w:rPr>
          <w:rFonts w:ascii="Times New Roman" w:eastAsia="MS Mincho" w:hAnsi="Times New Roman" w:cs="Times New Roman"/>
          <w:sz w:val="24"/>
          <w:szCs w:val="24"/>
        </w:rPr>
        <w:t>, the court held that an EIS prepared by the Navy for the proposed dumping of polluted soil at a containment site was inadequate because it failed to consider the cumulative impact of additional dumping at the site from other future similar actions.</w:t>
      </w:r>
      <w:r w:rsidRPr="006A4DE4">
        <w:rPr>
          <w:rFonts w:ascii="Times New Roman" w:eastAsia="MS Mincho" w:hAnsi="Times New Roman" w:cs="Times New Roman"/>
          <w:sz w:val="24"/>
          <w:szCs w:val="24"/>
          <w:vertAlign w:val="superscript"/>
        </w:rPr>
        <w:footnoteReference w:id="43"/>
      </w:r>
      <w:r w:rsidRPr="006A4DE4">
        <w:rPr>
          <w:rFonts w:ascii="Times New Roman" w:eastAsia="MS Mincho" w:hAnsi="Times New Roman" w:cs="Times New Roman"/>
          <w:sz w:val="24"/>
          <w:szCs w:val="24"/>
        </w:rPr>
        <w:t xml:space="preserve"> The court rejected the Navy’s treatment of the project “as an isolated ‘single-shot’ venture in the face of persuasive evidence that it is but one of several substantially similar operations, each of which will have the same polluting effect in the same area.”</w:t>
      </w:r>
      <w:r w:rsidRPr="006A4DE4">
        <w:rPr>
          <w:rFonts w:ascii="Times New Roman" w:eastAsia="MS Mincho" w:hAnsi="Times New Roman" w:cs="Times New Roman"/>
          <w:sz w:val="24"/>
          <w:szCs w:val="24"/>
          <w:vertAlign w:val="superscript"/>
        </w:rPr>
        <w:footnoteReference w:id="44"/>
      </w:r>
      <w:r w:rsidRPr="006A4DE4">
        <w:rPr>
          <w:rFonts w:ascii="Times New Roman" w:eastAsia="MS Mincho" w:hAnsi="Times New Roman" w:cs="Times New Roman"/>
          <w:sz w:val="24"/>
          <w:szCs w:val="24"/>
        </w:rPr>
        <w:t xml:space="preserve"> The </w:t>
      </w:r>
      <w:r w:rsidRPr="006A4DE4">
        <w:rPr>
          <w:rFonts w:ascii="Times New Roman" w:eastAsia="MS Mincho" w:hAnsi="Times New Roman" w:cs="Times New Roman"/>
          <w:i/>
          <w:sz w:val="24"/>
          <w:szCs w:val="24"/>
        </w:rPr>
        <w:t>Callaway</w:t>
      </w:r>
      <w:r w:rsidRPr="006A4DE4">
        <w:rPr>
          <w:rFonts w:ascii="Times New Roman" w:eastAsia="MS Mincho" w:hAnsi="Times New Roman" w:cs="Times New Roman"/>
          <w:sz w:val="24"/>
          <w:szCs w:val="24"/>
        </w:rPr>
        <w:t xml:space="preserve"> court explained that Congress plainly intended such impacts to be considered: </w:t>
      </w:r>
    </w:p>
    <w:p w14:paraId="3E9910C7" w14:textId="77777777" w:rsidR="00B71BEB" w:rsidRPr="006A4DE4" w:rsidRDefault="00B71BEB" w:rsidP="00B71BEB">
      <w:pPr>
        <w:spacing w:before="200" w:line="240" w:lineRule="auto"/>
        <w:ind w:left="864" w:right="864"/>
        <w:rPr>
          <w:rFonts w:ascii="Times New Roman" w:eastAsia="MS Mincho" w:hAnsi="Times New Roman" w:cs="Times New Roman"/>
          <w:iCs/>
          <w:sz w:val="24"/>
          <w:szCs w:val="24"/>
        </w:rPr>
      </w:pPr>
      <w:r w:rsidRPr="006A4DE4">
        <w:rPr>
          <w:rFonts w:ascii="Times New Roman" w:eastAsia="MS Mincho" w:hAnsi="Times New Roman" w:cs="Times New Roman"/>
          <w:iCs/>
          <w:sz w:val="24"/>
          <w:szCs w:val="24"/>
        </w:rPr>
        <w:t xml:space="preserve">As was recognized by Congress at the time of passage of NEPA, a good deal of our present air and water pollution has resulted from the accumulation of small amounts of pollutants added to the air and water by a great number of </w:t>
      </w:r>
      <w:proofErr w:type="gramStart"/>
      <w:r w:rsidRPr="006A4DE4">
        <w:rPr>
          <w:rFonts w:ascii="Times New Roman" w:eastAsia="MS Mincho" w:hAnsi="Times New Roman" w:cs="Times New Roman"/>
          <w:iCs/>
          <w:sz w:val="24"/>
          <w:szCs w:val="24"/>
        </w:rPr>
        <w:t>individual</w:t>
      </w:r>
      <w:proofErr w:type="gramEnd"/>
      <w:r w:rsidRPr="006A4DE4">
        <w:rPr>
          <w:rFonts w:ascii="Times New Roman" w:eastAsia="MS Mincho" w:hAnsi="Times New Roman" w:cs="Times New Roman"/>
          <w:iCs/>
          <w:sz w:val="24"/>
          <w:szCs w:val="24"/>
        </w:rPr>
        <w:t xml:space="preserve">, unrelated sources. “Important decisions concerning the use and the shape of man’s future environment continue to be made in small but steady increments which perpetuate rather than avoid the recognized mistakes of previous decades.” S. Rep. No. 91-296, 91 Cong., 1st Sess. 5 (1969). NEPA was, in large measure, an attempt by Congress to instill in the environmental </w:t>
      </w:r>
      <w:proofErr w:type="spellStart"/>
      <w:r w:rsidRPr="006A4DE4">
        <w:rPr>
          <w:rFonts w:ascii="Times New Roman" w:eastAsia="MS Mincho" w:hAnsi="Times New Roman" w:cs="Times New Roman"/>
          <w:iCs/>
          <w:sz w:val="24"/>
          <w:szCs w:val="24"/>
        </w:rPr>
        <w:t>decisionmaking</w:t>
      </w:r>
      <w:proofErr w:type="spellEnd"/>
      <w:r w:rsidRPr="006A4DE4">
        <w:rPr>
          <w:rFonts w:ascii="Times New Roman" w:eastAsia="MS Mincho" w:hAnsi="Times New Roman" w:cs="Times New Roman"/>
          <w:iCs/>
          <w:sz w:val="24"/>
          <w:szCs w:val="24"/>
        </w:rPr>
        <w:t xml:space="preserve"> process a more comprehensive approach so that long term and cumulative effects of small and unrelated decisions could be recognized, evaluated and either avoided, mitigated, or accepted as the price to be paid for the major federal action under consideration.</w:t>
      </w:r>
      <w:r w:rsidRPr="006A4DE4">
        <w:rPr>
          <w:rFonts w:ascii="Times New Roman" w:eastAsia="MS Mincho" w:hAnsi="Times New Roman" w:cs="Times New Roman"/>
          <w:iCs/>
          <w:sz w:val="24"/>
          <w:szCs w:val="24"/>
          <w:vertAlign w:val="superscript"/>
        </w:rPr>
        <w:footnoteReference w:id="45"/>
      </w:r>
    </w:p>
    <w:p w14:paraId="11258161" w14:textId="77777777" w:rsidR="00B71BEB" w:rsidRPr="006A4DE4" w:rsidRDefault="00B71BEB" w:rsidP="00B71BEB">
      <w:pPr>
        <w:spacing w:after="0" w:line="240" w:lineRule="auto"/>
        <w:ind w:firstLine="720"/>
        <w:rPr>
          <w:rFonts w:ascii="Times New Roman" w:eastAsia="MS Mincho" w:hAnsi="Times New Roman" w:cs="Times New Roman"/>
          <w:sz w:val="24"/>
          <w:szCs w:val="24"/>
        </w:rPr>
      </w:pPr>
      <w:r w:rsidRPr="006A4DE4">
        <w:rPr>
          <w:rFonts w:ascii="Times New Roman" w:eastAsia="MS Mincho" w:hAnsi="Times New Roman" w:cs="Times New Roman"/>
          <w:sz w:val="24"/>
          <w:szCs w:val="24"/>
        </w:rPr>
        <w:t xml:space="preserve">Similarly, in </w:t>
      </w:r>
      <w:proofErr w:type="spellStart"/>
      <w:r w:rsidRPr="006A4DE4">
        <w:rPr>
          <w:rFonts w:ascii="Times New Roman" w:eastAsia="MS Mincho" w:hAnsi="Times New Roman" w:cs="Times New Roman"/>
          <w:i/>
          <w:sz w:val="24"/>
          <w:szCs w:val="24"/>
        </w:rPr>
        <w:t>Hanly</w:t>
      </w:r>
      <w:proofErr w:type="spellEnd"/>
      <w:r w:rsidRPr="006A4DE4">
        <w:rPr>
          <w:rFonts w:ascii="Times New Roman" w:eastAsia="MS Mincho" w:hAnsi="Times New Roman" w:cs="Times New Roman"/>
          <w:i/>
          <w:sz w:val="24"/>
          <w:szCs w:val="24"/>
        </w:rPr>
        <w:t xml:space="preserve"> v. Kleindienst</w:t>
      </w:r>
      <w:r w:rsidRPr="006A4DE4">
        <w:rPr>
          <w:rFonts w:ascii="Times New Roman" w:eastAsia="MS Mincho" w:hAnsi="Times New Roman" w:cs="Times New Roman"/>
          <w:sz w:val="24"/>
          <w:szCs w:val="24"/>
        </w:rPr>
        <w:t>, the Second Circuit remanded an EA</w:t>
      </w:r>
      <w:r w:rsidRPr="006A4DE4">
        <w:rPr>
          <w:rFonts w:ascii="Times New Roman" w:eastAsia="MS Mincho" w:hAnsi="Times New Roman" w:cs="Times New Roman"/>
          <w:i/>
          <w:sz w:val="24"/>
          <w:szCs w:val="24"/>
        </w:rPr>
        <w:t xml:space="preserve"> </w:t>
      </w:r>
      <w:r w:rsidRPr="006A4DE4">
        <w:rPr>
          <w:rFonts w:ascii="Times New Roman" w:eastAsia="MS Mincho" w:hAnsi="Times New Roman" w:cs="Times New Roman"/>
          <w:sz w:val="24"/>
          <w:szCs w:val="24"/>
        </w:rPr>
        <w:t>for reconsideration of the project’s environmental effects on the basis that section 102(2)(C) of NEPA requires agencies to consider “the absolute quantitative adverse environmental effects of the action itself, including the cumulative harm that results from its contribution to existing adverse conditions or uses in the affected area.”</w:t>
      </w:r>
      <w:r w:rsidRPr="006A4DE4">
        <w:rPr>
          <w:rFonts w:ascii="Times New Roman" w:eastAsia="MS Mincho" w:hAnsi="Times New Roman" w:cs="Times New Roman"/>
          <w:sz w:val="24"/>
          <w:szCs w:val="24"/>
          <w:vertAlign w:val="superscript"/>
        </w:rPr>
        <w:t xml:space="preserve"> </w:t>
      </w:r>
      <w:r w:rsidRPr="006A4DE4">
        <w:rPr>
          <w:rFonts w:ascii="Times New Roman" w:eastAsia="MS Mincho" w:hAnsi="Times New Roman" w:cs="Times New Roman"/>
          <w:sz w:val="24"/>
          <w:szCs w:val="24"/>
          <w:vertAlign w:val="superscript"/>
        </w:rPr>
        <w:footnoteReference w:id="46"/>
      </w:r>
      <w:r w:rsidRPr="006A4DE4">
        <w:rPr>
          <w:rFonts w:ascii="Times New Roman" w:eastAsia="MS Mincho" w:hAnsi="Times New Roman" w:cs="Times New Roman"/>
          <w:sz w:val="24"/>
          <w:szCs w:val="24"/>
        </w:rPr>
        <w:t xml:space="preserve"> In </w:t>
      </w:r>
      <w:r w:rsidRPr="006A4DE4">
        <w:rPr>
          <w:rFonts w:ascii="Times New Roman" w:eastAsia="MS Mincho" w:hAnsi="Times New Roman" w:cs="Times New Roman"/>
          <w:i/>
          <w:sz w:val="24"/>
          <w:szCs w:val="24"/>
        </w:rPr>
        <w:t>Conservation Society of Southern Vermont, Inc. v. Secretary of Transportation</w:t>
      </w:r>
      <w:r w:rsidRPr="006A4DE4">
        <w:rPr>
          <w:rFonts w:ascii="Times New Roman" w:eastAsia="MS Mincho" w:hAnsi="Times New Roman" w:cs="Times New Roman"/>
          <w:sz w:val="24"/>
          <w:szCs w:val="24"/>
        </w:rPr>
        <w:t>, the Second Circuit affirmed a district court’s finding that an EIS for the proposed construction of a segment of a federal highway had to assess the “cumulative environmental impact” that would result from the construction of the entire highway.</w:t>
      </w:r>
      <w:r w:rsidRPr="006A4DE4">
        <w:rPr>
          <w:rFonts w:ascii="Times New Roman" w:eastAsia="MS Mincho" w:hAnsi="Times New Roman" w:cs="Times New Roman"/>
          <w:sz w:val="24"/>
          <w:szCs w:val="24"/>
          <w:vertAlign w:val="superscript"/>
        </w:rPr>
        <w:footnoteReference w:id="47"/>
      </w:r>
      <w:r w:rsidRPr="006A4DE4">
        <w:rPr>
          <w:rFonts w:ascii="Times New Roman" w:eastAsia="MS Mincho" w:hAnsi="Times New Roman" w:cs="Times New Roman"/>
          <w:i/>
          <w:sz w:val="24"/>
          <w:szCs w:val="24"/>
        </w:rPr>
        <w:t xml:space="preserve"> </w:t>
      </w:r>
      <w:r w:rsidRPr="006A4DE4">
        <w:rPr>
          <w:rFonts w:ascii="Times New Roman" w:eastAsia="MS Mincho" w:hAnsi="Times New Roman" w:cs="Times New Roman"/>
          <w:sz w:val="24"/>
          <w:szCs w:val="24"/>
        </w:rPr>
        <w:t xml:space="preserve">And in </w:t>
      </w:r>
      <w:r w:rsidRPr="006A4DE4">
        <w:rPr>
          <w:rFonts w:ascii="Times New Roman" w:eastAsia="MS Mincho" w:hAnsi="Times New Roman" w:cs="Times New Roman"/>
          <w:i/>
          <w:sz w:val="24"/>
          <w:szCs w:val="24"/>
        </w:rPr>
        <w:t>City of Rochester v. U.S. Postal Service</w:t>
      </w:r>
      <w:r w:rsidRPr="006A4DE4">
        <w:rPr>
          <w:rFonts w:ascii="Times New Roman" w:eastAsia="MS Mincho" w:hAnsi="Times New Roman" w:cs="Times New Roman"/>
          <w:sz w:val="24"/>
          <w:szCs w:val="24"/>
        </w:rPr>
        <w:t xml:space="preserve">, the Second Circuit explained that “[t]he cases in this circuit and elsewhere have consistently held that NEPA mandates comprehensive consideration of the effects of all federal actions. . . . To permit noncomprehensive consideration of the effects of all federal actions into smaller parts, each of which taken alone does not have a significant </w:t>
      </w:r>
      <w:proofErr w:type="gramStart"/>
      <w:r w:rsidRPr="006A4DE4">
        <w:rPr>
          <w:rFonts w:ascii="Times New Roman" w:eastAsia="MS Mincho" w:hAnsi="Times New Roman" w:cs="Times New Roman"/>
          <w:sz w:val="24"/>
          <w:szCs w:val="24"/>
        </w:rPr>
        <w:t>impact</w:t>
      </w:r>
      <w:proofErr w:type="gramEnd"/>
      <w:r w:rsidRPr="006A4DE4">
        <w:rPr>
          <w:rFonts w:ascii="Times New Roman" w:eastAsia="MS Mincho" w:hAnsi="Times New Roman" w:cs="Times New Roman"/>
          <w:sz w:val="24"/>
          <w:szCs w:val="24"/>
        </w:rPr>
        <w:t xml:space="preserve"> but which taken as a whole has cumulative significant impact would provide a clear loophole in NEPA.”</w:t>
      </w:r>
      <w:r w:rsidRPr="006A4DE4">
        <w:rPr>
          <w:rFonts w:ascii="Times New Roman" w:eastAsia="MS Mincho" w:hAnsi="Times New Roman" w:cs="Times New Roman"/>
          <w:sz w:val="24"/>
          <w:szCs w:val="24"/>
          <w:vertAlign w:val="superscript"/>
        </w:rPr>
        <w:footnoteReference w:id="48"/>
      </w:r>
    </w:p>
    <w:p w14:paraId="66E12CF8" w14:textId="77777777" w:rsidR="00B71BEB" w:rsidRPr="006A4DE4" w:rsidRDefault="00B71BEB" w:rsidP="00B71BEB">
      <w:pPr>
        <w:spacing w:after="0" w:line="240" w:lineRule="auto"/>
        <w:ind w:firstLine="720"/>
        <w:rPr>
          <w:rFonts w:ascii="Times New Roman" w:eastAsia="MS Mincho" w:hAnsi="Times New Roman" w:cs="Times New Roman"/>
          <w:sz w:val="24"/>
          <w:szCs w:val="24"/>
        </w:rPr>
      </w:pPr>
    </w:p>
    <w:p w14:paraId="73BD2A9F" w14:textId="1E501429" w:rsidR="000A78F3" w:rsidRPr="006A4DE4" w:rsidRDefault="003E7844" w:rsidP="000A78F3">
      <w:pPr>
        <w:pStyle w:val="Heading3"/>
        <w:numPr>
          <w:ilvl w:val="0"/>
          <w:numId w:val="41"/>
        </w:numPr>
        <w:ind w:left="1440" w:hanging="720"/>
        <w:rPr>
          <w:rFonts w:ascii="Times New Roman" w:hAnsi="Times New Roman" w:cs="Times New Roman"/>
          <w:b/>
          <w:bCs/>
          <w:color w:val="000000" w:themeColor="text1"/>
        </w:rPr>
      </w:pPr>
      <w:r w:rsidRPr="006A4DE4">
        <w:rPr>
          <w:rFonts w:ascii="Times New Roman" w:eastAsia="Times New Roman" w:hAnsi="Times New Roman" w:cs="Times New Roman"/>
          <w:b/>
          <w:bCs/>
          <w:color w:val="000000" w:themeColor="text1"/>
        </w:rPr>
        <w:t>Agency</w:t>
      </w:r>
      <w:r w:rsidR="000A78F3" w:rsidRPr="006A4DE4">
        <w:rPr>
          <w:rFonts w:ascii="Times New Roman" w:eastAsia="Times New Roman" w:hAnsi="Times New Roman" w:cs="Times New Roman"/>
          <w:b/>
          <w:bCs/>
          <w:color w:val="000000" w:themeColor="text1"/>
        </w:rPr>
        <w:t xml:space="preserve"> precedent confirms that analysis of indirect and cumulative effects is required by NEPA</w:t>
      </w:r>
    </w:p>
    <w:p w14:paraId="3B1916DD" w14:textId="452831F1" w:rsidR="000A78F3" w:rsidRPr="006A4DE4" w:rsidRDefault="000A78F3" w:rsidP="000A78F3">
      <w:pPr>
        <w:spacing w:before="240" w:after="24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CEQ’s guidance and regulations have consistently and repeatedly said that agencies must consider the indirect and cumulative effects of their actions, dating back to CEQ’s proposed guidelines published in 1971, the year after NEPA was passed. A review of these guidelines and regulations makes clear that:  (1) the environmental effects of projects can be individually insignificant but cumulatively significant;  (2) analysis of the indirect and cumulative impacts of an agency action is necessary to determine whether significant effects exist under NEPA;  (3) indirect and cumulative impacts must be considered as part of a scientifically based effects analysis;  (4) indirect and cumulative impacts must be considered at multiple stages of the NEPA process, including when determining whether a category of projects is likely to be categorically exempt from NEPA, during scoping, and before developing a reasonable range of alternatives and mitigation measures; and (5) analysis and disclosure of both indirect and cumulative impacts are necessary to inform the public and decisionmakers.   </w:t>
      </w:r>
    </w:p>
    <w:p w14:paraId="2356FD5E" w14:textId="77777777" w:rsidR="000A78F3" w:rsidRPr="006A4DE4" w:rsidRDefault="000A78F3" w:rsidP="000A78F3">
      <w:pPr>
        <w:spacing w:before="240" w:after="24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For instance, in its first publication in the Federal Register in 1971, CEQ acknowledged that section 102(2)(C) of NEPA requires agencies to include the following information in their environmental statements: </w:t>
      </w:r>
    </w:p>
    <w:p w14:paraId="5B42CDBF" w14:textId="77777777" w:rsidR="000A78F3" w:rsidRPr="006A4DE4" w:rsidRDefault="000A78F3" w:rsidP="000A78F3">
      <w:pPr>
        <w:spacing w:before="240" w:after="24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[t]he probable impact of the proposed action on the environment, including impact on ecological systems such as wildlife, fish, and marine life. Both primary and secondary significant consequences for the environment should be included in the analysis. For example, the implications, if any, of the action for population distribution or concentration should be estimated and an assessment made of the effect of any possible change in population patterns upon the resource base, including land use, water, and public services, of the area in </w:t>
      </w:r>
      <w:proofErr w:type="gramStart"/>
      <w:r w:rsidRPr="006A4DE4">
        <w:rPr>
          <w:rFonts w:ascii="Times New Roman" w:eastAsia="Times New Roman" w:hAnsi="Times New Roman" w:cs="Times New Roman"/>
          <w:color w:val="000000" w:themeColor="text1"/>
          <w:sz w:val="24"/>
          <w:szCs w:val="24"/>
        </w:rPr>
        <w:t>question;</w:t>
      </w:r>
      <w:proofErr w:type="gramEnd"/>
      <w:r w:rsidRPr="006A4DE4">
        <w:rPr>
          <w:rFonts w:ascii="Times New Roman" w:eastAsia="Times New Roman" w:hAnsi="Times New Roman" w:cs="Times New Roman"/>
          <w:color w:val="000000" w:themeColor="text1"/>
          <w:sz w:val="24"/>
          <w:szCs w:val="24"/>
        </w:rPr>
        <w:t xml:space="preserve"> </w:t>
      </w:r>
    </w:p>
    <w:p w14:paraId="2CDC06FB" w14:textId="77777777" w:rsidR="000A78F3" w:rsidRPr="006A4DE4" w:rsidRDefault="000A78F3" w:rsidP="000A78F3">
      <w:pPr>
        <w:spacing w:before="240" w:after="24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and:</w:t>
      </w:r>
    </w:p>
    <w:p w14:paraId="1004A8EC" w14:textId="77777777" w:rsidR="000A78F3" w:rsidRPr="006A4DE4" w:rsidRDefault="000A78F3" w:rsidP="000A78F3">
      <w:pPr>
        <w:spacing w:before="240" w:after="24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[t]he relationship between local short-term uses of man’s environment and the maintenance and enhancement of long-term productivity. This in essence requires the agency to assess the action for cumulative and long-term effects from the perspective that each generation is trustee of the environment for succeeding generations. </w:t>
      </w:r>
    </w:p>
    <w:p w14:paraId="7B170EE5" w14:textId="1E43CAD0" w:rsidR="000A78F3" w:rsidRPr="006A4DE4" w:rsidRDefault="000A78F3" w:rsidP="000A78F3">
      <w:pPr>
        <w:spacing w:before="240" w:after="24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Two years later, CEQ reiterated its determination that section 102(2)(C) “is to be construed by agencies with a view to the overall, cumulative impact of the action proposed, related Federal actions and projects in the area, and further actions contemplated.”  “[A]</w:t>
      </w:r>
      <w:proofErr w:type="spellStart"/>
      <w:r w:rsidRPr="006A4DE4">
        <w:rPr>
          <w:rFonts w:ascii="Times New Roman" w:eastAsia="Times New Roman" w:hAnsi="Times New Roman" w:cs="Times New Roman"/>
          <w:color w:val="000000" w:themeColor="text1"/>
          <w:sz w:val="24"/>
          <w:szCs w:val="24"/>
        </w:rPr>
        <w:t>gencies</w:t>
      </w:r>
      <w:proofErr w:type="spellEnd"/>
      <w:r w:rsidRPr="006A4DE4">
        <w:rPr>
          <w:rFonts w:ascii="Times New Roman" w:eastAsia="Times New Roman" w:hAnsi="Times New Roman" w:cs="Times New Roman"/>
          <w:color w:val="000000" w:themeColor="text1"/>
          <w:sz w:val="24"/>
          <w:szCs w:val="24"/>
        </w:rPr>
        <w:t xml:space="preserve"> should bear in mind that the effect of many Federal decisions about a project or complex of projects can be individually limited but cumulatively considerable. This can occur when one or more agencies over a period of years puts into a project individually minor but collectively major resources, when one decision involving a limited amount of money is a precedent for action in much larger cases or represents a decision in principle about a future major course of action, or when several Government agencies individually make decisions about partial aspects of a major action.”  </w:t>
      </w:r>
    </w:p>
    <w:p w14:paraId="1EF031C9" w14:textId="57DE0ED6" w:rsidR="000A78F3" w:rsidRPr="006A4DE4" w:rsidRDefault="000A78F3" w:rsidP="000A78F3">
      <w:pPr>
        <w:spacing w:before="240" w:after="24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Consistent with this understanding, CEQ’s 1973 guidelines required agencies to include in their environmental statements “[s]</w:t>
      </w:r>
      <w:proofErr w:type="spellStart"/>
      <w:r w:rsidRPr="006A4DE4">
        <w:rPr>
          <w:rFonts w:ascii="Times New Roman" w:eastAsia="Times New Roman" w:hAnsi="Times New Roman" w:cs="Times New Roman"/>
          <w:color w:val="000000" w:themeColor="text1"/>
          <w:sz w:val="24"/>
          <w:szCs w:val="24"/>
        </w:rPr>
        <w:t>econdary</w:t>
      </w:r>
      <w:proofErr w:type="spellEnd"/>
      <w:r w:rsidRPr="006A4DE4">
        <w:rPr>
          <w:rFonts w:ascii="Times New Roman" w:eastAsia="Times New Roman" w:hAnsi="Times New Roman" w:cs="Times New Roman"/>
          <w:color w:val="000000" w:themeColor="text1"/>
          <w:sz w:val="24"/>
          <w:szCs w:val="24"/>
        </w:rPr>
        <w:t xml:space="preserve"> or indirect, as well as primary or direct, consequences for the environment” from their actions, alongside the “interrelationships and cumulative environmental impacts of the proposed action and other related Federal projects.” </w:t>
      </w:r>
    </w:p>
    <w:p w14:paraId="06B10DDE" w14:textId="2EEC72BE" w:rsidR="000A78F3" w:rsidRPr="006A4DE4" w:rsidRDefault="000A78F3" w:rsidP="000A78F3">
      <w:pPr>
        <w:spacing w:before="240" w:after="24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 When CEQ issued its first regulations in 1978, it made indirect and cumulative effects the organizing principle behind NEPA reviews. CEQ stated that section 102(2)(C) of NEPA requires agencies to consider the environmental consequences of their actions, including direct, indirect, and cumulative effects.  It separately defined “indirect effects” to include those effects that are “caused by the action and are later in time or farther removed in distance, but are still reasonably foreseeable,” and “cumulative impacts” to include those impacts “which </w:t>
      </w:r>
      <w:proofErr w:type="gramStart"/>
      <w:r w:rsidRPr="006A4DE4">
        <w:rPr>
          <w:rFonts w:ascii="Times New Roman" w:eastAsia="Times New Roman" w:hAnsi="Times New Roman" w:cs="Times New Roman"/>
          <w:color w:val="000000" w:themeColor="text1"/>
          <w:sz w:val="24"/>
          <w:szCs w:val="24"/>
        </w:rPr>
        <w:t>result[</w:t>
      </w:r>
      <w:proofErr w:type="gramEnd"/>
      <w:r w:rsidRPr="006A4DE4">
        <w:rPr>
          <w:rFonts w:ascii="Times New Roman" w:eastAsia="Times New Roman" w:hAnsi="Times New Roman" w:cs="Times New Roman"/>
          <w:color w:val="000000" w:themeColor="text1"/>
          <w:sz w:val="24"/>
          <w:szCs w:val="24"/>
        </w:rPr>
        <w:t xml:space="preserve">] from the incremental impact of the action when added to other past, present, and reasonably foreseeable future actions regardless of what agency (Federal or non-Federal) or person undertakes such other actions.”  It further specified that an action cannot qualify for a categorical exclusion if it has a cumulatively significant effect on the environment.  Finally, CEQ emphasized that the significance of an effect, as stated in section 102(2)(C), depends on whether “the action is related to other actions with individually insignificant but cumulatively significant impacts.”  </w:t>
      </w:r>
    </w:p>
    <w:p w14:paraId="782B2A8D" w14:textId="5CAC89B0" w:rsidR="000A78F3" w:rsidRPr="006A4DE4" w:rsidRDefault="000A78F3" w:rsidP="006359E8">
      <w:pPr>
        <w:spacing w:before="240" w:after="24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Over the next few decades, CEQ issued guidance both clarifying and emphasizing the importance of indirect and cumulative effects analyses to NEPA. In 1981, CEQ reiterated that the “environmental consequences” section of an EIS “should be devoted largely to a scientific analysis of the direct and indirect environmental effects of the proposed action and of each of the alternatives.”  Agencies cannot avoid this analysis by claiming a lack of information: “The EIS must identify all the indirect effects that are </w:t>
      </w:r>
      <w:proofErr w:type="gramStart"/>
      <w:r w:rsidRPr="006A4DE4">
        <w:rPr>
          <w:rFonts w:ascii="Times New Roman" w:eastAsia="Times New Roman" w:hAnsi="Times New Roman" w:cs="Times New Roman"/>
          <w:color w:val="000000" w:themeColor="text1"/>
          <w:sz w:val="24"/>
          <w:szCs w:val="24"/>
        </w:rPr>
        <w:t>known, and</w:t>
      </w:r>
      <w:proofErr w:type="gramEnd"/>
      <w:r w:rsidRPr="006A4DE4">
        <w:rPr>
          <w:rFonts w:ascii="Times New Roman" w:eastAsia="Times New Roman" w:hAnsi="Times New Roman" w:cs="Times New Roman"/>
          <w:color w:val="000000" w:themeColor="text1"/>
          <w:sz w:val="24"/>
          <w:szCs w:val="24"/>
        </w:rPr>
        <w:t xml:space="preserve"> make a good faith effort to explain the effects that are not known but are ‘reasonably foreseeable.’” </w:t>
      </w:r>
    </w:p>
    <w:p w14:paraId="167A10E6" w14:textId="4A6070D9" w:rsidR="000A78F3" w:rsidRPr="006A4DE4" w:rsidRDefault="000A78F3" w:rsidP="006359E8">
      <w:pPr>
        <w:spacing w:before="240" w:after="24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In 1993, CEQ chastised agencies for failing to properly consider the cumulative impacts of their actions, resulting in a threat to biodiversity inconsistent with NEPA’s aims.  CEQ explained that many EISs and environmental assessments improperly addressed “only with project-specific considerations.”  Important environmental considerations like biodiversity can only be adequately assessed “on an ecosystem or regional scale, taking into account cumulative effects.”  “Avoidance or mitigation of impacts at the project level . . . has been, and will continue to be, critically important in minimizing biodiversity losses. Yet, in the absence of protection at the larger scale, ecosystem patterns and processes so important to biodiversity will not be sustained over the long term.”  CEQ instructed agencies that “[e]</w:t>
      </w:r>
      <w:proofErr w:type="spellStart"/>
      <w:r w:rsidRPr="006A4DE4">
        <w:rPr>
          <w:rFonts w:ascii="Times New Roman" w:eastAsia="Times New Roman" w:hAnsi="Times New Roman" w:cs="Times New Roman"/>
          <w:color w:val="000000" w:themeColor="text1"/>
          <w:sz w:val="24"/>
          <w:szCs w:val="24"/>
        </w:rPr>
        <w:t>ven</w:t>
      </w:r>
      <w:proofErr w:type="spellEnd"/>
      <w:r w:rsidRPr="006A4DE4">
        <w:rPr>
          <w:rFonts w:ascii="Times New Roman" w:eastAsia="Times New Roman" w:hAnsi="Times New Roman" w:cs="Times New Roman"/>
          <w:color w:val="000000" w:themeColor="text1"/>
          <w:sz w:val="24"/>
          <w:szCs w:val="24"/>
        </w:rPr>
        <w:t xml:space="preserve"> for small projects, it should always be the objective of the environmental document to analyze impacts at the largest relevant scale, based on the affected resources and expected impacts.” </w:t>
      </w:r>
    </w:p>
    <w:p w14:paraId="63E6FAF4" w14:textId="77777777" w:rsidR="000A78F3" w:rsidRPr="006A4DE4" w:rsidRDefault="000A78F3" w:rsidP="000A78F3">
      <w:pPr>
        <w:spacing w:before="240" w:after="24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In 1997, CEQ issued an entire guidance document emphasizing the importance of considering cumulative effects under NEPA.  CEQ explained that “[e]</w:t>
      </w:r>
      <w:proofErr w:type="spellStart"/>
      <w:r w:rsidRPr="006A4DE4">
        <w:rPr>
          <w:rFonts w:ascii="Times New Roman" w:eastAsia="Times New Roman" w:hAnsi="Times New Roman" w:cs="Times New Roman"/>
          <w:color w:val="000000" w:themeColor="text1"/>
          <w:sz w:val="24"/>
          <w:szCs w:val="24"/>
        </w:rPr>
        <w:t>vidence</w:t>
      </w:r>
      <w:proofErr w:type="spellEnd"/>
      <w:r w:rsidRPr="006A4DE4">
        <w:rPr>
          <w:rFonts w:ascii="Times New Roman" w:eastAsia="Times New Roman" w:hAnsi="Times New Roman" w:cs="Times New Roman"/>
          <w:color w:val="000000" w:themeColor="text1"/>
          <w:sz w:val="24"/>
          <w:szCs w:val="24"/>
        </w:rPr>
        <w:t xml:space="preserve"> is increasing that the most devastating environmental effects may result not from the direct effects of a particular action, but from the combination of individually minor effects of multiple actions over time.”  This includes widespread and severe environmental effects like deforestation; exposure to carcinogens; polluted waterways; acid rain; pesticide pollution; global climate change; stratospheric ozone depletion; and even degradation of local communities.  “The passage of time has only increased the conviction that cumulative effects analysis is essential to effectively managing the consequences of human activities on the environment.”  </w:t>
      </w:r>
    </w:p>
    <w:p w14:paraId="2F3653B5" w14:textId="77777777" w:rsidR="000A78F3" w:rsidRPr="006A4DE4" w:rsidRDefault="000A78F3" w:rsidP="000A78F3">
      <w:pPr>
        <w:spacing w:before="240" w:after="240" w:line="240" w:lineRule="auto"/>
        <w:ind w:firstLine="720"/>
        <w:rPr>
          <w:rFonts w:ascii="Times New Roman" w:eastAsia="Times New Roman" w:hAnsi="Times New Roman" w:cs="Times New Roman"/>
          <w:color w:val="000000" w:themeColor="text1"/>
          <w:sz w:val="24"/>
          <w:szCs w:val="24"/>
        </w:rPr>
      </w:pPr>
    </w:p>
    <w:p w14:paraId="021A128F" w14:textId="709A3ED2" w:rsidR="000A78F3" w:rsidRPr="006A4DE4" w:rsidRDefault="000A78F3" w:rsidP="006359E8">
      <w:pPr>
        <w:spacing w:before="240" w:after="24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To that end, CEQ explained in detail how a cumulative impacts analysis should be incorporated into agencies’ NEPA reviews at all stages of the process.  CEQ emphasized that a cumulative impacts analysis must anchor agencies’ NEPA reviews to ensure that agencies’ environmental statements are scientifically accurate; that agencies are reviewing the impacts of their projects over the long-term; that agencies are adequately informing the public and decisionmakers; that agencies are giving necessary detail to the formulation and consideration of alternatives and mitigation measures; and that agencies are conducting a proper significance determination, all of which are required by NEPA. </w:t>
      </w:r>
    </w:p>
    <w:p w14:paraId="5995F881" w14:textId="4C18C305" w:rsidR="000A78F3" w:rsidRPr="006A4DE4" w:rsidRDefault="000A78F3" w:rsidP="006359E8">
      <w:pPr>
        <w:spacing w:before="240" w:after="24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Most recently, CEQ reiterated the importance of both indirect and cumulative impacts analyses in determining the contribution of federal agency actions to climate change. In its Final Guidance for Federal Departments and Agencies on Consideration of Greenhouse Gas Emissions and the Effects of Climate Change in National Environmental Policy Act Reviews, CEQ “recommend[ed] that agencies quantify a proposed agency action’s projected direct and indirect GHG emissions.”  </w:t>
      </w:r>
      <w:proofErr w:type="gramStart"/>
      <w:r w:rsidRPr="006A4DE4">
        <w:rPr>
          <w:rFonts w:ascii="Times New Roman" w:eastAsia="Times New Roman" w:hAnsi="Times New Roman" w:cs="Times New Roman"/>
          <w:color w:val="000000" w:themeColor="text1"/>
          <w:sz w:val="24"/>
          <w:szCs w:val="24"/>
        </w:rPr>
        <w:t>CEQ  provided</w:t>
      </w:r>
      <w:proofErr w:type="gramEnd"/>
      <w:r w:rsidRPr="006A4DE4">
        <w:rPr>
          <w:rFonts w:ascii="Times New Roman" w:eastAsia="Times New Roman" w:hAnsi="Times New Roman" w:cs="Times New Roman"/>
          <w:color w:val="000000" w:themeColor="text1"/>
          <w:sz w:val="24"/>
          <w:szCs w:val="24"/>
        </w:rPr>
        <w:t xml:space="preserve"> examples on the types of indirect effects that must be considered.  </w:t>
      </w:r>
      <w:proofErr w:type="gramStart"/>
      <w:r w:rsidRPr="006A4DE4">
        <w:rPr>
          <w:rFonts w:ascii="Times New Roman" w:eastAsia="Times New Roman" w:hAnsi="Times New Roman" w:cs="Times New Roman"/>
          <w:color w:val="000000" w:themeColor="text1"/>
          <w:sz w:val="24"/>
          <w:szCs w:val="24"/>
        </w:rPr>
        <w:t>CEQ  explained</w:t>
      </w:r>
      <w:proofErr w:type="gramEnd"/>
      <w:r w:rsidRPr="006A4DE4">
        <w:rPr>
          <w:rFonts w:ascii="Times New Roman" w:eastAsia="Times New Roman" w:hAnsi="Times New Roman" w:cs="Times New Roman"/>
          <w:color w:val="000000" w:themeColor="text1"/>
          <w:sz w:val="24"/>
          <w:szCs w:val="24"/>
        </w:rPr>
        <w:t xml:space="preserve"> the need for agencies to analyze both indirect and cumulative  GHG emissions and their impacts on climate change, recommending that an agency discuss “methods to appropriately analyze reasonably foreseeable direct, indirect, and cumulative GHG emissions and climate effects.”  An evaluation of both direct and indirect impacts is necessary because, as CEQ has acknowledged, “[b]</w:t>
      </w:r>
      <w:proofErr w:type="spellStart"/>
      <w:r w:rsidRPr="006A4DE4">
        <w:rPr>
          <w:rFonts w:ascii="Times New Roman" w:eastAsia="Times New Roman" w:hAnsi="Times New Roman" w:cs="Times New Roman"/>
          <w:color w:val="000000" w:themeColor="text1"/>
          <w:sz w:val="24"/>
          <w:szCs w:val="24"/>
        </w:rPr>
        <w:t>ased</w:t>
      </w:r>
      <w:proofErr w:type="spellEnd"/>
      <w:r w:rsidRPr="006A4DE4">
        <w:rPr>
          <w:rFonts w:ascii="Times New Roman" w:eastAsia="Times New Roman" w:hAnsi="Times New Roman" w:cs="Times New Roman"/>
          <w:color w:val="000000" w:themeColor="text1"/>
          <w:sz w:val="24"/>
          <w:szCs w:val="24"/>
        </w:rPr>
        <w:t xml:space="preserve"> on the agency identification and analysis of the direct and indirect effects of its proposed action, NEPA requires an agency to consider the cumulative impacts of its proposed action and reasonable alternatives.”  </w:t>
      </w:r>
    </w:p>
    <w:p w14:paraId="6B222933" w14:textId="4E475A60" w:rsidR="00E96C26" w:rsidRPr="006A4DE4" w:rsidRDefault="006359E8" w:rsidP="000A78F3">
      <w:pPr>
        <w:spacing w:before="240" w:after="24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The federal government n</w:t>
      </w:r>
      <w:r w:rsidR="000A78F3" w:rsidRPr="006A4DE4">
        <w:rPr>
          <w:rFonts w:ascii="Times New Roman" w:eastAsia="Times New Roman" w:hAnsi="Times New Roman" w:cs="Times New Roman"/>
          <w:color w:val="000000" w:themeColor="text1"/>
          <w:sz w:val="24"/>
          <w:szCs w:val="24"/>
        </w:rPr>
        <w:t xml:space="preserve">ow proposes to reverse course from the interpretation and guidance </w:t>
      </w:r>
      <w:r w:rsidRPr="006A4DE4">
        <w:rPr>
          <w:rFonts w:ascii="Times New Roman" w:eastAsia="Times New Roman" w:hAnsi="Times New Roman" w:cs="Times New Roman"/>
          <w:color w:val="000000" w:themeColor="text1"/>
          <w:sz w:val="24"/>
          <w:szCs w:val="24"/>
        </w:rPr>
        <w:t>CEQ</w:t>
      </w:r>
      <w:r w:rsidR="000A78F3" w:rsidRPr="006A4DE4">
        <w:rPr>
          <w:rFonts w:ascii="Times New Roman" w:eastAsia="Times New Roman" w:hAnsi="Times New Roman" w:cs="Times New Roman"/>
          <w:color w:val="000000" w:themeColor="text1"/>
          <w:sz w:val="24"/>
          <w:szCs w:val="24"/>
        </w:rPr>
        <w:t xml:space="preserve"> has provided for the past four decades—and apparently intends to try to overrule settled judicial precedent on these issues.  Although CEQ has repeatedly described indirect and cumulative effects as examples of the types of effect that agencies must consider under NEPA, </w:t>
      </w:r>
      <w:r w:rsidRPr="006A4DE4">
        <w:rPr>
          <w:rFonts w:ascii="Times New Roman" w:eastAsia="Times New Roman" w:hAnsi="Times New Roman" w:cs="Times New Roman"/>
          <w:color w:val="000000" w:themeColor="text1"/>
          <w:sz w:val="24"/>
          <w:szCs w:val="24"/>
        </w:rPr>
        <w:t>DOT’s Proposed R</w:t>
      </w:r>
      <w:r w:rsidR="000A78F3" w:rsidRPr="006A4DE4">
        <w:rPr>
          <w:rFonts w:ascii="Times New Roman" w:eastAsia="Times New Roman" w:hAnsi="Times New Roman" w:cs="Times New Roman"/>
          <w:color w:val="000000" w:themeColor="text1"/>
          <w:sz w:val="24"/>
          <w:szCs w:val="24"/>
        </w:rPr>
        <w:t xml:space="preserve">ule would take the opposite position. </w:t>
      </w:r>
      <w:r w:rsidR="00EE2536" w:rsidRPr="006A4DE4">
        <w:rPr>
          <w:rFonts w:ascii="Times New Roman" w:eastAsia="Times New Roman" w:hAnsi="Times New Roman" w:cs="Times New Roman"/>
          <w:color w:val="000000" w:themeColor="text1"/>
          <w:sz w:val="24"/>
          <w:szCs w:val="24"/>
        </w:rPr>
        <w:t>DOT</w:t>
      </w:r>
      <w:r w:rsidR="000A78F3" w:rsidRPr="006A4DE4">
        <w:rPr>
          <w:rFonts w:ascii="Times New Roman" w:eastAsia="Times New Roman" w:hAnsi="Times New Roman" w:cs="Times New Roman"/>
          <w:color w:val="000000" w:themeColor="text1"/>
          <w:sz w:val="24"/>
          <w:szCs w:val="24"/>
        </w:rPr>
        <w:t xml:space="preserve"> offers no evidence or persuasive justification for this change in position. Reasoned, non-arbitrary decision making requires more.</w:t>
      </w:r>
    </w:p>
    <w:p w14:paraId="00BB3DBE" w14:textId="509DA426" w:rsidR="00577CD8" w:rsidRPr="006A4DE4" w:rsidRDefault="00DF7186" w:rsidP="00577CD8">
      <w:pPr>
        <w:pStyle w:val="Heading2"/>
        <w:numPr>
          <w:ilvl w:val="0"/>
          <w:numId w:val="31"/>
        </w:numPr>
        <w:ind w:left="1440" w:hanging="720"/>
        <w:rPr>
          <w:rFonts w:ascii="Times New Roman" w:hAnsi="Times New Roman" w:cs="Times New Roman"/>
          <w:b/>
          <w:bCs/>
          <w:color w:val="000000" w:themeColor="text1"/>
          <w:sz w:val="24"/>
          <w:szCs w:val="24"/>
        </w:rPr>
      </w:pPr>
      <w:r w:rsidRPr="006A4DE4">
        <w:rPr>
          <w:rFonts w:ascii="Times New Roman" w:hAnsi="Times New Roman" w:cs="Times New Roman"/>
          <w:b/>
          <w:bCs/>
          <w:color w:val="000000" w:themeColor="text1"/>
          <w:sz w:val="24"/>
          <w:szCs w:val="24"/>
        </w:rPr>
        <w:t>Th</w:t>
      </w:r>
      <w:r w:rsidR="00577CD8" w:rsidRPr="006A4DE4">
        <w:rPr>
          <w:rFonts w:ascii="Times New Roman" w:hAnsi="Times New Roman" w:cs="Times New Roman"/>
          <w:b/>
          <w:bCs/>
          <w:color w:val="000000" w:themeColor="text1"/>
          <w:sz w:val="24"/>
          <w:szCs w:val="24"/>
        </w:rPr>
        <w:t>e Proposed Rule’s redefinition of “</w:t>
      </w:r>
      <w:r w:rsidR="00441C3C" w:rsidRPr="006A4DE4">
        <w:rPr>
          <w:rFonts w:ascii="Times New Roman" w:hAnsi="Times New Roman" w:cs="Times New Roman"/>
          <w:b/>
          <w:bCs/>
          <w:color w:val="000000" w:themeColor="text1"/>
          <w:sz w:val="24"/>
          <w:szCs w:val="24"/>
        </w:rPr>
        <w:t>major federal action” is contrary to longstanding judicial precedent and a commonsense interpretation of NEPA</w:t>
      </w:r>
    </w:p>
    <w:p w14:paraId="650A6207" w14:textId="67C97FC3" w:rsidR="00441C3C" w:rsidRPr="006A4DE4" w:rsidRDefault="00562482" w:rsidP="00562482">
      <w:pPr>
        <w:ind w:firstLine="720"/>
        <w:rPr>
          <w:rFonts w:ascii="Times New Roman" w:hAnsi="Times New Roman" w:cs="Times New Roman"/>
          <w:sz w:val="24"/>
          <w:szCs w:val="24"/>
        </w:rPr>
      </w:pPr>
      <w:r w:rsidRPr="006A4DE4">
        <w:rPr>
          <w:rFonts w:ascii="Times New Roman" w:hAnsi="Times New Roman" w:cs="Times New Roman"/>
          <w:color w:val="000000" w:themeColor="text1"/>
          <w:sz w:val="24"/>
          <w:szCs w:val="24"/>
        </w:rPr>
        <w:t xml:space="preserve">The Proposed Rule makes clear that, if the Rule goes into effect, DOT </w:t>
      </w:r>
      <w:proofErr w:type="gramStart"/>
      <w:r w:rsidRPr="006A4DE4">
        <w:rPr>
          <w:rFonts w:ascii="Times New Roman" w:hAnsi="Times New Roman" w:cs="Times New Roman"/>
          <w:color w:val="000000" w:themeColor="text1"/>
          <w:sz w:val="24"/>
          <w:szCs w:val="24"/>
        </w:rPr>
        <w:t>would</w:t>
      </w:r>
      <w:proofErr w:type="gramEnd"/>
      <w:r w:rsidRPr="006A4DE4">
        <w:rPr>
          <w:rFonts w:ascii="Times New Roman" w:hAnsi="Times New Roman" w:cs="Times New Roman"/>
          <w:color w:val="000000" w:themeColor="text1"/>
          <w:sz w:val="24"/>
          <w:szCs w:val="24"/>
        </w:rPr>
        <w:t xml:space="preserve"> apply the definitions set forth in the CEQ regulations, including the CEQ regulation’s redefinition of “major federal action.” See 85 Fed. Reg. 74640, 74644. </w:t>
      </w:r>
      <w:r w:rsidR="00E9667A" w:rsidRPr="006A4DE4">
        <w:rPr>
          <w:rFonts w:ascii="Times New Roman" w:hAnsi="Times New Roman" w:cs="Times New Roman"/>
          <w:color w:val="000000" w:themeColor="text1"/>
          <w:sz w:val="24"/>
          <w:szCs w:val="24"/>
        </w:rPr>
        <w:t xml:space="preserve">Until recently, </w:t>
      </w:r>
      <w:r w:rsidR="00DF7186" w:rsidRPr="006A4DE4">
        <w:rPr>
          <w:rFonts w:ascii="Times New Roman" w:hAnsi="Times New Roman" w:cs="Times New Roman"/>
          <w:color w:val="000000" w:themeColor="text1"/>
          <w:sz w:val="24"/>
          <w:szCs w:val="24"/>
        </w:rPr>
        <w:t xml:space="preserve">the definition of </w:t>
      </w:r>
      <w:r w:rsidR="00441C3C" w:rsidRPr="006A4DE4">
        <w:rPr>
          <w:rFonts w:ascii="Times New Roman" w:hAnsi="Times New Roman" w:cs="Times New Roman"/>
          <w:color w:val="000000" w:themeColor="text1"/>
          <w:sz w:val="24"/>
          <w:szCs w:val="24"/>
        </w:rPr>
        <w:t xml:space="preserve">the statutory term “major Federal action” </w:t>
      </w:r>
      <w:r w:rsidR="00DF7186" w:rsidRPr="006A4DE4">
        <w:rPr>
          <w:rFonts w:ascii="Times New Roman" w:hAnsi="Times New Roman" w:cs="Times New Roman"/>
          <w:color w:val="000000" w:themeColor="text1"/>
          <w:sz w:val="24"/>
          <w:szCs w:val="24"/>
        </w:rPr>
        <w:t xml:space="preserve">has </w:t>
      </w:r>
      <w:r w:rsidRPr="006A4DE4">
        <w:rPr>
          <w:rFonts w:ascii="Times New Roman" w:hAnsi="Times New Roman" w:cs="Times New Roman"/>
          <w:color w:val="000000" w:themeColor="text1"/>
          <w:sz w:val="24"/>
          <w:szCs w:val="24"/>
        </w:rPr>
        <w:t xml:space="preserve">unequivocally </w:t>
      </w:r>
      <w:r w:rsidR="00DF7186" w:rsidRPr="006A4DE4">
        <w:rPr>
          <w:rFonts w:ascii="Times New Roman" w:hAnsi="Times New Roman" w:cs="Times New Roman"/>
          <w:color w:val="000000" w:themeColor="text1"/>
          <w:sz w:val="24"/>
          <w:szCs w:val="24"/>
        </w:rPr>
        <w:t>included</w:t>
      </w:r>
      <w:r w:rsidR="00441C3C" w:rsidRPr="006A4DE4">
        <w:rPr>
          <w:rFonts w:ascii="Times New Roman" w:hAnsi="Times New Roman" w:cs="Times New Roman"/>
          <w:color w:val="000000" w:themeColor="text1"/>
          <w:sz w:val="24"/>
          <w:szCs w:val="24"/>
        </w:rPr>
        <w:t xml:space="preserve"> </w:t>
      </w:r>
      <w:r w:rsidR="00441C3C" w:rsidRPr="006A4DE4">
        <w:rPr>
          <w:rFonts w:ascii="Times New Roman" w:hAnsi="Times New Roman" w:cs="Times New Roman"/>
          <w:sz w:val="24"/>
          <w:szCs w:val="24"/>
        </w:rPr>
        <w:t xml:space="preserve">“actions with effects that may be </w:t>
      </w:r>
      <w:proofErr w:type="gramStart"/>
      <w:r w:rsidR="00441C3C" w:rsidRPr="006A4DE4">
        <w:rPr>
          <w:rFonts w:ascii="Times New Roman" w:hAnsi="Times New Roman" w:cs="Times New Roman"/>
          <w:sz w:val="24"/>
          <w:szCs w:val="24"/>
        </w:rPr>
        <w:t>major</w:t>
      </w:r>
      <w:proofErr w:type="gramEnd"/>
      <w:r w:rsidR="00441C3C" w:rsidRPr="006A4DE4">
        <w:rPr>
          <w:rFonts w:ascii="Times New Roman" w:hAnsi="Times New Roman" w:cs="Times New Roman"/>
          <w:sz w:val="24"/>
          <w:szCs w:val="24"/>
        </w:rPr>
        <w:t xml:space="preserve"> and which are potentially subject to Federal control and responsibility.”</w:t>
      </w:r>
      <w:r w:rsidR="00441C3C" w:rsidRPr="006A4DE4">
        <w:rPr>
          <w:rStyle w:val="FootnoteReference"/>
          <w:rFonts w:ascii="Times New Roman" w:hAnsi="Times New Roman" w:cs="Times New Roman"/>
          <w:sz w:val="24"/>
          <w:szCs w:val="24"/>
        </w:rPr>
        <w:footnoteReference w:id="49"/>
      </w:r>
      <w:r w:rsidR="00441C3C" w:rsidRPr="006A4DE4">
        <w:rPr>
          <w:rFonts w:ascii="Times New Roman" w:hAnsi="Times New Roman" w:cs="Times New Roman"/>
          <w:sz w:val="24"/>
          <w:szCs w:val="24"/>
        </w:rPr>
        <w:t xml:space="preserve"> Under this understanding, “[m]</w:t>
      </w:r>
      <w:proofErr w:type="spellStart"/>
      <w:r w:rsidR="00441C3C" w:rsidRPr="006A4DE4">
        <w:rPr>
          <w:rFonts w:ascii="Times New Roman" w:hAnsi="Times New Roman" w:cs="Times New Roman"/>
          <w:sz w:val="24"/>
          <w:szCs w:val="24"/>
        </w:rPr>
        <w:t>ajor</w:t>
      </w:r>
      <w:proofErr w:type="spellEnd"/>
      <w:r w:rsidR="00441C3C" w:rsidRPr="006A4DE4">
        <w:rPr>
          <w:rFonts w:ascii="Times New Roman" w:hAnsi="Times New Roman" w:cs="Times New Roman"/>
          <w:sz w:val="24"/>
          <w:szCs w:val="24"/>
        </w:rPr>
        <w:t xml:space="preserve"> reinforces but does not have a meaning independent of significantly.”</w:t>
      </w:r>
      <w:r w:rsidR="00441C3C" w:rsidRPr="006A4DE4">
        <w:rPr>
          <w:rStyle w:val="FootnoteReference"/>
          <w:rFonts w:ascii="Times New Roman" w:hAnsi="Times New Roman" w:cs="Times New Roman"/>
          <w:sz w:val="24"/>
          <w:szCs w:val="24"/>
        </w:rPr>
        <w:footnoteReference w:id="50"/>
      </w:r>
      <w:r w:rsidR="00441C3C" w:rsidRPr="006A4DE4">
        <w:rPr>
          <w:rFonts w:ascii="Times New Roman" w:hAnsi="Times New Roman" w:cs="Times New Roman"/>
          <w:sz w:val="24"/>
          <w:szCs w:val="24"/>
        </w:rPr>
        <w:t xml:space="preserve"> This interpretation of NEPA has been endorsed and applied by countless federal courts, including the Supreme Court.</w:t>
      </w:r>
      <w:r w:rsidR="00441C3C" w:rsidRPr="006A4DE4">
        <w:rPr>
          <w:rStyle w:val="FootnoteReference"/>
          <w:rFonts w:ascii="Times New Roman" w:hAnsi="Times New Roman" w:cs="Times New Roman"/>
          <w:sz w:val="24"/>
          <w:szCs w:val="24"/>
        </w:rPr>
        <w:footnoteReference w:id="51"/>
      </w:r>
    </w:p>
    <w:p w14:paraId="73576F67" w14:textId="4762950B" w:rsidR="00537CDA" w:rsidRPr="006A4DE4" w:rsidRDefault="007E6E8C" w:rsidP="00AD130E">
      <w:pPr>
        <w:ind w:firstLine="720"/>
        <w:rPr>
          <w:rFonts w:ascii="Times New Roman" w:hAnsi="Times New Roman" w:cs="Times New Roman"/>
          <w:sz w:val="24"/>
          <w:szCs w:val="24"/>
        </w:rPr>
      </w:pPr>
      <w:r w:rsidRPr="006A4DE4">
        <w:rPr>
          <w:rFonts w:ascii="Times New Roman" w:hAnsi="Times New Roman" w:cs="Times New Roman"/>
          <w:sz w:val="24"/>
          <w:szCs w:val="24"/>
        </w:rPr>
        <w:t>DOT does</w:t>
      </w:r>
      <w:r w:rsidR="00482374" w:rsidRPr="006A4DE4">
        <w:rPr>
          <w:rFonts w:ascii="Times New Roman" w:hAnsi="Times New Roman" w:cs="Times New Roman"/>
          <w:sz w:val="24"/>
          <w:szCs w:val="24"/>
        </w:rPr>
        <w:t xml:space="preserve"> </w:t>
      </w:r>
      <w:r w:rsidR="003715CB" w:rsidRPr="006A4DE4">
        <w:rPr>
          <w:rFonts w:ascii="Times New Roman" w:hAnsi="Times New Roman" w:cs="Times New Roman"/>
          <w:sz w:val="24"/>
          <w:szCs w:val="24"/>
        </w:rPr>
        <w:t xml:space="preserve">not </w:t>
      </w:r>
      <w:r w:rsidR="00482374" w:rsidRPr="006A4DE4">
        <w:rPr>
          <w:rFonts w:ascii="Times New Roman" w:hAnsi="Times New Roman" w:cs="Times New Roman"/>
          <w:sz w:val="24"/>
          <w:szCs w:val="24"/>
        </w:rPr>
        <w:t xml:space="preserve">address this change in definition at all, instead </w:t>
      </w:r>
      <w:r w:rsidR="003715CB" w:rsidRPr="006A4DE4">
        <w:rPr>
          <w:rFonts w:ascii="Times New Roman" w:hAnsi="Times New Roman" w:cs="Times New Roman"/>
          <w:sz w:val="24"/>
          <w:szCs w:val="24"/>
        </w:rPr>
        <w:t xml:space="preserve">merely incorporating </w:t>
      </w:r>
      <w:r w:rsidR="00537CDA" w:rsidRPr="006A4DE4">
        <w:rPr>
          <w:rFonts w:ascii="Times New Roman" w:hAnsi="Times New Roman" w:cs="Times New Roman"/>
          <w:sz w:val="24"/>
          <w:szCs w:val="24"/>
        </w:rPr>
        <w:t>the definitions contained in CEQ’s regulations by reference. Importantly, DOT does not offer its own, independent rationale for this change, nor does it reference the justification that CEQ offered for its own redefinition of Major Federal Action. This leaves the public without a complete understanding</w:t>
      </w:r>
      <w:r w:rsidR="00A50F6C" w:rsidRPr="006A4DE4">
        <w:rPr>
          <w:rFonts w:ascii="Times New Roman" w:hAnsi="Times New Roman" w:cs="Times New Roman"/>
          <w:sz w:val="24"/>
          <w:szCs w:val="24"/>
        </w:rPr>
        <w:t>—or really any understanding –</w:t>
      </w:r>
      <w:r w:rsidR="00537CDA" w:rsidRPr="006A4DE4">
        <w:rPr>
          <w:rFonts w:ascii="Times New Roman" w:hAnsi="Times New Roman" w:cs="Times New Roman"/>
          <w:sz w:val="24"/>
          <w:szCs w:val="24"/>
        </w:rPr>
        <w:t xml:space="preserve"> of </w:t>
      </w:r>
      <w:r w:rsidR="00A50F6C" w:rsidRPr="006A4DE4">
        <w:rPr>
          <w:rFonts w:ascii="Times New Roman" w:hAnsi="Times New Roman" w:cs="Times New Roman"/>
          <w:sz w:val="24"/>
          <w:szCs w:val="24"/>
        </w:rPr>
        <w:t xml:space="preserve">DOT’s justification for its proposed redefinition. The absence of reasoning exemplifies the very essence of arbitrary </w:t>
      </w:r>
      <w:proofErr w:type="spellStart"/>
      <w:r w:rsidR="00A50F6C" w:rsidRPr="006A4DE4">
        <w:rPr>
          <w:rFonts w:ascii="Times New Roman" w:hAnsi="Times New Roman" w:cs="Times New Roman"/>
          <w:sz w:val="24"/>
          <w:szCs w:val="24"/>
        </w:rPr>
        <w:t>decisionmaking</w:t>
      </w:r>
      <w:proofErr w:type="spellEnd"/>
      <w:r w:rsidR="00A50F6C" w:rsidRPr="006A4DE4">
        <w:rPr>
          <w:rFonts w:ascii="Times New Roman" w:hAnsi="Times New Roman" w:cs="Times New Roman"/>
          <w:sz w:val="24"/>
          <w:szCs w:val="24"/>
        </w:rPr>
        <w:t xml:space="preserve">. </w:t>
      </w:r>
    </w:p>
    <w:p w14:paraId="18F9AC5B" w14:textId="63687653" w:rsidR="00441C3C" w:rsidRPr="006A4DE4" w:rsidRDefault="00923208" w:rsidP="00BD2A5D">
      <w:pPr>
        <w:ind w:firstLine="720"/>
        <w:rPr>
          <w:rFonts w:ascii="Times New Roman" w:hAnsi="Times New Roman" w:cs="Times New Roman"/>
          <w:sz w:val="24"/>
          <w:szCs w:val="24"/>
        </w:rPr>
      </w:pPr>
      <w:r w:rsidRPr="006A4DE4">
        <w:rPr>
          <w:rFonts w:ascii="Times New Roman" w:hAnsi="Times New Roman" w:cs="Times New Roman"/>
          <w:sz w:val="24"/>
          <w:szCs w:val="24"/>
        </w:rPr>
        <w:t xml:space="preserve">Regardless of whether DOT has offered a rationale for the change, </w:t>
      </w:r>
      <w:r w:rsidR="00441C3C" w:rsidRPr="006A4DE4">
        <w:rPr>
          <w:rFonts w:ascii="Times New Roman" w:hAnsi="Times New Roman" w:cs="Times New Roman"/>
          <w:sz w:val="24"/>
          <w:szCs w:val="24"/>
        </w:rPr>
        <w:t>CEQ’s rationale for this change in interpretation of the statutory text is not sufficient to justify th</w:t>
      </w:r>
      <w:r w:rsidRPr="006A4DE4">
        <w:rPr>
          <w:rFonts w:ascii="Times New Roman" w:hAnsi="Times New Roman" w:cs="Times New Roman"/>
          <w:sz w:val="24"/>
          <w:szCs w:val="24"/>
        </w:rPr>
        <w:t xml:space="preserve">e change. </w:t>
      </w:r>
      <w:r w:rsidR="00441C3C" w:rsidRPr="006A4DE4">
        <w:rPr>
          <w:rFonts w:ascii="Times New Roman" w:hAnsi="Times New Roman" w:cs="Times New Roman"/>
          <w:sz w:val="24"/>
          <w:szCs w:val="24"/>
        </w:rPr>
        <w:t xml:space="preserve">CEQ </w:t>
      </w:r>
      <w:r w:rsidRPr="006A4DE4">
        <w:rPr>
          <w:rFonts w:ascii="Times New Roman" w:hAnsi="Times New Roman" w:cs="Times New Roman"/>
          <w:sz w:val="24"/>
          <w:szCs w:val="24"/>
        </w:rPr>
        <w:t>has previously e</w:t>
      </w:r>
      <w:r w:rsidR="00441C3C" w:rsidRPr="006A4DE4">
        <w:rPr>
          <w:rFonts w:ascii="Times New Roman" w:hAnsi="Times New Roman" w:cs="Times New Roman"/>
          <w:sz w:val="24"/>
          <w:szCs w:val="24"/>
        </w:rPr>
        <w:t>xplain</w:t>
      </w:r>
      <w:r w:rsidRPr="006A4DE4">
        <w:rPr>
          <w:rFonts w:ascii="Times New Roman" w:hAnsi="Times New Roman" w:cs="Times New Roman"/>
          <w:sz w:val="24"/>
          <w:szCs w:val="24"/>
        </w:rPr>
        <w:t>ed</w:t>
      </w:r>
      <w:r w:rsidR="00441C3C" w:rsidRPr="006A4DE4">
        <w:rPr>
          <w:rFonts w:ascii="Times New Roman" w:hAnsi="Times New Roman" w:cs="Times New Roman"/>
          <w:sz w:val="24"/>
          <w:szCs w:val="24"/>
        </w:rPr>
        <w:t xml:space="preserve"> its proposed interpretive reversal on the basis that its existing interpretation is in tension with a well-known canon of statutory construction that says that courts should, where possible, give effect to every clause and word of a statute.</w:t>
      </w:r>
      <w:r w:rsidR="00441C3C" w:rsidRPr="006A4DE4">
        <w:rPr>
          <w:rStyle w:val="FootnoteReference"/>
          <w:rFonts w:ascii="Times New Roman" w:hAnsi="Times New Roman" w:cs="Times New Roman"/>
          <w:sz w:val="24"/>
          <w:szCs w:val="24"/>
        </w:rPr>
        <w:footnoteReference w:id="52"/>
      </w:r>
      <w:r w:rsidR="00441C3C" w:rsidRPr="006A4DE4">
        <w:rPr>
          <w:rFonts w:ascii="Times New Roman" w:hAnsi="Times New Roman" w:cs="Times New Roman"/>
          <w:sz w:val="24"/>
          <w:szCs w:val="24"/>
        </w:rPr>
        <w:t xml:space="preserve"> We can presume that the countless courts that have interpreted “major federal action” consistently with CEQ’s interpretation </w:t>
      </w:r>
      <w:r w:rsidRPr="006A4DE4">
        <w:rPr>
          <w:rFonts w:ascii="Times New Roman" w:hAnsi="Times New Roman" w:cs="Times New Roman"/>
          <w:sz w:val="24"/>
          <w:szCs w:val="24"/>
        </w:rPr>
        <w:t xml:space="preserve">prior to the effective date of the revised CEQ regulations </w:t>
      </w:r>
      <w:r w:rsidR="00441C3C" w:rsidRPr="006A4DE4">
        <w:rPr>
          <w:rFonts w:ascii="Times New Roman" w:hAnsi="Times New Roman" w:cs="Times New Roman"/>
          <w:sz w:val="24"/>
          <w:szCs w:val="24"/>
        </w:rPr>
        <w:t>were familiar with the canon. That these courts nonetheless found CEQ’s existing interpretation persuasive—and interpreted NEPA in a manner consistent with that existing interpretation—indicates that</w:t>
      </w:r>
      <w:r w:rsidRPr="006A4DE4">
        <w:rPr>
          <w:rFonts w:ascii="Times New Roman" w:hAnsi="Times New Roman" w:cs="Times New Roman"/>
          <w:sz w:val="24"/>
          <w:szCs w:val="24"/>
        </w:rPr>
        <w:t xml:space="preserve"> the proposal</w:t>
      </w:r>
      <w:r w:rsidR="00441C3C" w:rsidRPr="006A4DE4">
        <w:rPr>
          <w:rFonts w:ascii="Times New Roman" w:hAnsi="Times New Roman" w:cs="Times New Roman"/>
          <w:sz w:val="24"/>
          <w:szCs w:val="24"/>
        </w:rPr>
        <w:t xml:space="preserve"> to reverse interpretation is not compelled by any principle of statutory construction</w:t>
      </w:r>
      <w:r w:rsidR="00BD2A5D" w:rsidRPr="006A4DE4">
        <w:rPr>
          <w:rFonts w:ascii="Times New Roman" w:hAnsi="Times New Roman" w:cs="Times New Roman"/>
          <w:sz w:val="24"/>
          <w:szCs w:val="24"/>
        </w:rPr>
        <w:t xml:space="preserve">. </w:t>
      </w:r>
    </w:p>
    <w:p w14:paraId="6CA50B3F" w14:textId="77777777" w:rsidR="0089221E" w:rsidRPr="006A4DE4" w:rsidRDefault="00441C3C" w:rsidP="00441C3C">
      <w:pPr>
        <w:ind w:firstLine="720"/>
        <w:rPr>
          <w:rFonts w:ascii="Times New Roman" w:hAnsi="Times New Roman" w:cs="Times New Roman"/>
          <w:sz w:val="24"/>
          <w:szCs w:val="24"/>
        </w:rPr>
      </w:pPr>
      <w:r w:rsidRPr="006A4DE4">
        <w:rPr>
          <w:rFonts w:ascii="Times New Roman" w:hAnsi="Times New Roman" w:cs="Times New Roman"/>
          <w:sz w:val="24"/>
          <w:szCs w:val="24"/>
        </w:rPr>
        <w:t>Indeed, a canon of construction that CEQ ignores holds that “[</w:t>
      </w:r>
      <w:proofErr w:type="spellStart"/>
      <w:r w:rsidRPr="006A4DE4">
        <w:rPr>
          <w:rFonts w:ascii="Times New Roman" w:hAnsi="Times New Roman" w:cs="Times New Roman"/>
          <w:sz w:val="24"/>
          <w:szCs w:val="24"/>
        </w:rPr>
        <w:t>i</w:t>
      </w:r>
      <w:proofErr w:type="spellEnd"/>
      <w:r w:rsidRPr="006A4DE4">
        <w:rPr>
          <w:rFonts w:ascii="Times New Roman" w:hAnsi="Times New Roman" w:cs="Times New Roman"/>
          <w:sz w:val="24"/>
          <w:szCs w:val="24"/>
        </w:rPr>
        <w:t>]</w:t>
      </w:r>
      <w:proofErr w:type="spellStart"/>
      <w:r w:rsidRPr="006A4DE4">
        <w:rPr>
          <w:rFonts w:ascii="Times New Roman" w:hAnsi="Times New Roman" w:cs="Times New Roman"/>
          <w:sz w:val="24"/>
          <w:szCs w:val="24"/>
        </w:rPr>
        <w:t>nterpretation</w:t>
      </w:r>
      <w:proofErr w:type="spellEnd"/>
      <w:r w:rsidRPr="006A4DE4">
        <w:rPr>
          <w:rFonts w:ascii="Times New Roman" w:hAnsi="Times New Roman" w:cs="Times New Roman"/>
          <w:sz w:val="24"/>
          <w:szCs w:val="24"/>
        </w:rPr>
        <w:t xml:space="preserve"> of a word or phrase depends upon reading the whole statutory text, considering the purpose and context of the statute.”</w:t>
      </w:r>
      <w:r w:rsidRPr="006A4DE4">
        <w:rPr>
          <w:rStyle w:val="FootnoteReference"/>
          <w:rFonts w:ascii="Times New Roman" w:hAnsi="Times New Roman" w:cs="Times New Roman"/>
          <w:sz w:val="24"/>
          <w:szCs w:val="24"/>
        </w:rPr>
        <w:footnoteReference w:id="53"/>
      </w:r>
      <w:r w:rsidRPr="006A4DE4">
        <w:rPr>
          <w:rFonts w:ascii="Times New Roman" w:hAnsi="Times New Roman" w:cs="Times New Roman"/>
          <w:sz w:val="24"/>
          <w:szCs w:val="24"/>
        </w:rPr>
        <w:t xml:space="preserve"> </w:t>
      </w:r>
      <w:r w:rsidR="00BD2A5D" w:rsidRPr="006A4DE4">
        <w:rPr>
          <w:rFonts w:ascii="Times New Roman" w:hAnsi="Times New Roman" w:cs="Times New Roman"/>
          <w:sz w:val="24"/>
          <w:szCs w:val="24"/>
        </w:rPr>
        <w:t>The agencies’ longstanding</w:t>
      </w:r>
      <w:r w:rsidRPr="006A4DE4">
        <w:rPr>
          <w:rFonts w:ascii="Times New Roman" w:hAnsi="Times New Roman" w:cs="Times New Roman"/>
          <w:sz w:val="24"/>
          <w:szCs w:val="24"/>
        </w:rPr>
        <w:t xml:space="preserve"> interpretation—under which “major” describes the kind of impact a federal action must have for NEPA to apply—gives life to NEPA’s “overall statutory scheme.”</w:t>
      </w:r>
      <w:r w:rsidRPr="006A4DE4">
        <w:rPr>
          <w:rStyle w:val="FootnoteReference"/>
          <w:rFonts w:ascii="Times New Roman" w:hAnsi="Times New Roman" w:cs="Times New Roman"/>
          <w:sz w:val="24"/>
          <w:szCs w:val="24"/>
        </w:rPr>
        <w:footnoteReference w:id="54"/>
      </w:r>
      <w:r w:rsidRPr="006A4DE4">
        <w:rPr>
          <w:rFonts w:ascii="Times New Roman" w:hAnsi="Times New Roman" w:cs="Times New Roman"/>
          <w:sz w:val="24"/>
          <w:szCs w:val="24"/>
        </w:rPr>
        <w:t xml:space="preserve"> This is, after all, a statute that directs federal agencies to “use all practicable means” to “fulfill the responsibilities of each generation as trustee of the environment for succeeding generations.”</w:t>
      </w:r>
      <w:r w:rsidRPr="006A4DE4">
        <w:rPr>
          <w:rStyle w:val="FootnoteReference"/>
          <w:rFonts w:ascii="Times New Roman" w:hAnsi="Times New Roman" w:cs="Times New Roman"/>
          <w:sz w:val="24"/>
          <w:szCs w:val="24"/>
        </w:rPr>
        <w:footnoteReference w:id="55"/>
      </w:r>
      <w:r w:rsidRPr="006A4DE4">
        <w:rPr>
          <w:rFonts w:ascii="Times New Roman" w:hAnsi="Times New Roman" w:cs="Times New Roman"/>
          <w:sz w:val="24"/>
          <w:szCs w:val="24"/>
        </w:rPr>
        <w:t xml:space="preserve"> Consistent with that goal, CEQ’s </w:t>
      </w:r>
      <w:r w:rsidR="0089221E" w:rsidRPr="006A4DE4">
        <w:rPr>
          <w:rFonts w:ascii="Times New Roman" w:hAnsi="Times New Roman" w:cs="Times New Roman"/>
          <w:sz w:val="24"/>
          <w:szCs w:val="24"/>
        </w:rPr>
        <w:t>longstandin</w:t>
      </w:r>
      <w:r w:rsidRPr="006A4DE4">
        <w:rPr>
          <w:rFonts w:ascii="Times New Roman" w:hAnsi="Times New Roman" w:cs="Times New Roman"/>
          <w:sz w:val="24"/>
          <w:szCs w:val="24"/>
        </w:rPr>
        <w:t>g interpretation recognize</w:t>
      </w:r>
      <w:r w:rsidR="0089221E" w:rsidRPr="006A4DE4">
        <w:rPr>
          <w:rFonts w:ascii="Times New Roman" w:hAnsi="Times New Roman" w:cs="Times New Roman"/>
          <w:sz w:val="24"/>
          <w:szCs w:val="24"/>
        </w:rPr>
        <w:t>d</w:t>
      </w:r>
      <w:r w:rsidRPr="006A4DE4">
        <w:rPr>
          <w:rFonts w:ascii="Times New Roman" w:hAnsi="Times New Roman" w:cs="Times New Roman"/>
          <w:sz w:val="24"/>
          <w:szCs w:val="24"/>
        </w:rPr>
        <w:t xml:space="preserve"> that if a federal action causes significant harm to the environment, it is “major” for purposes of NEPA. </w:t>
      </w:r>
    </w:p>
    <w:p w14:paraId="22F0329F" w14:textId="2EF3C89E" w:rsidR="00441C3C" w:rsidRPr="006A4DE4" w:rsidRDefault="00441C3C" w:rsidP="00716176">
      <w:pPr>
        <w:ind w:firstLine="720"/>
        <w:rPr>
          <w:rFonts w:ascii="Times New Roman" w:hAnsi="Times New Roman" w:cs="Times New Roman"/>
          <w:sz w:val="24"/>
          <w:szCs w:val="24"/>
        </w:rPr>
      </w:pPr>
      <w:r w:rsidRPr="006A4DE4">
        <w:rPr>
          <w:rFonts w:ascii="Times New Roman" w:hAnsi="Times New Roman" w:cs="Times New Roman"/>
          <w:sz w:val="24"/>
          <w:szCs w:val="24"/>
        </w:rPr>
        <w:t xml:space="preserve">By contrast, </w:t>
      </w:r>
      <w:r w:rsidR="0089221E" w:rsidRPr="006A4DE4">
        <w:rPr>
          <w:rFonts w:ascii="Times New Roman" w:hAnsi="Times New Roman" w:cs="Times New Roman"/>
          <w:sz w:val="24"/>
          <w:szCs w:val="24"/>
        </w:rPr>
        <w:t xml:space="preserve">DOT’s </w:t>
      </w:r>
      <w:r w:rsidRPr="006A4DE4">
        <w:rPr>
          <w:rFonts w:ascii="Times New Roman" w:hAnsi="Times New Roman" w:cs="Times New Roman"/>
          <w:sz w:val="24"/>
          <w:szCs w:val="24"/>
        </w:rPr>
        <w:t xml:space="preserve">proposed new interpretation would allow </w:t>
      </w:r>
      <w:r w:rsidR="00716176" w:rsidRPr="006A4DE4">
        <w:rPr>
          <w:rFonts w:ascii="Times New Roman" w:hAnsi="Times New Roman" w:cs="Times New Roman"/>
          <w:sz w:val="24"/>
          <w:szCs w:val="24"/>
        </w:rPr>
        <w:t>significant</w:t>
      </w:r>
      <w:r w:rsidRPr="006A4DE4">
        <w:rPr>
          <w:rFonts w:ascii="Times New Roman" w:hAnsi="Times New Roman" w:cs="Times New Roman"/>
          <w:sz w:val="24"/>
          <w:szCs w:val="24"/>
        </w:rPr>
        <w:t xml:space="preserve"> harm </w:t>
      </w:r>
      <w:r w:rsidR="00716176" w:rsidRPr="006A4DE4">
        <w:rPr>
          <w:rFonts w:ascii="Times New Roman" w:hAnsi="Times New Roman" w:cs="Times New Roman"/>
          <w:sz w:val="24"/>
          <w:szCs w:val="24"/>
        </w:rPr>
        <w:t xml:space="preserve">to </w:t>
      </w:r>
      <w:r w:rsidRPr="006A4DE4">
        <w:rPr>
          <w:rFonts w:ascii="Times New Roman" w:hAnsi="Times New Roman" w:cs="Times New Roman"/>
          <w:sz w:val="24"/>
          <w:szCs w:val="24"/>
        </w:rPr>
        <w:t xml:space="preserve">the environment without ever analyzing those harms, just because their actions were not deemed “major” by some other metric. This approach, taken literally, could have extraordinary and troubling consequences: If “major” were interpreted as creating a monetary threshold, for example, </w:t>
      </w:r>
      <w:r w:rsidR="00716176" w:rsidRPr="006A4DE4">
        <w:rPr>
          <w:rFonts w:ascii="Times New Roman" w:hAnsi="Times New Roman" w:cs="Times New Roman"/>
          <w:sz w:val="24"/>
          <w:szCs w:val="24"/>
        </w:rPr>
        <w:t xml:space="preserve">DOT’s </w:t>
      </w:r>
      <w:r w:rsidRPr="006A4DE4">
        <w:rPr>
          <w:rFonts w:ascii="Times New Roman" w:hAnsi="Times New Roman" w:cs="Times New Roman"/>
          <w:sz w:val="24"/>
          <w:szCs w:val="24"/>
        </w:rPr>
        <w:t>proposed approach could exempt from review federal actions with minor monetary costs but potentially devastating environmental or health impacts—say, risk of release of a toxic chemical, introduction of an invasive species, or spread of a lethal and contagious virus. That approach would rip an unjustified loophole out of NEPA’s protective mandate.</w:t>
      </w:r>
    </w:p>
    <w:p w14:paraId="79C2EAD5" w14:textId="112461AD" w:rsidR="00441C3C" w:rsidRPr="006A4DE4" w:rsidRDefault="00441C3C" w:rsidP="002E1E2C">
      <w:pPr>
        <w:ind w:firstLine="720"/>
        <w:rPr>
          <w:rFonts w:ascii="Times New Roman" w:hAnsi="Times New Roman" w:cs="Times New Roman"/>
          <w:sz w:val="24"/>
          <w:szCs w:val="24"/>
        </w:rPr>
      </w:pPr>
      <w:r w:rsidRPr="006A4DE4">
        <w:rPr>
          <w:rFonts w:ascii="Times New Roman" w:hAnsi="Times New Roman" w:cs="Times New Roman"/>
          <w:sz w:val="24"/>
          <w:szCs w:val="24"/>
        </w:rPr>
        <w:t>In any event, interpretive canons like that which CEQ invoke</w:t>
      </w:r>
      <w:r w:rsidR="00716176" w:rsidRPr="006A4DE4">
        <w:rPr>
          <w:rFonts w:ascii="Times New Roman" w:hAnsi="Times New Roman" w:cs="Times New Roman"/>
          <w:sz w:val="24"/>
          <w:szCs w:val="24"/>
        </w:rPr>
        <w:t>d, and on which DOT presumably relies,</w:t>
      </w:r>
      <w:r w:rsidRPr="006A4DE4">
        <w:rPr>
          <w:rFonts w:ascii="Times New Roman" w:hAnsi="Times New Roman" w:cs="Times New Roman"/>
          <w:sz w:val="24"/>
          <w:szCs w:val="24"/>
        </w:rPr>
        <w:t xml:space="preserve"> “are not mandatory rules,” but </w:t>
      </w:r>
      <w:r w:rsidRPr="006A4DE4">
        <w:rPr>
          <w:rFonts w:ascii="Times New Roman" w:hAnsi="Times New Roman" w:cs="Times New Roman"/>
          <w:i/>
          <w:iCs/>
          <w:sz w:val="24"/>
          <w:szCs w:val="24"/>
        </w:rPr>
        <w:t>“</w:t>
      </w:r>
      <w:r w:rsidRPr="006A4DE4">
        <w:rPr>
          <w:rFonts w:ascii="Times New Roman" w:hAnsi="Times New Roman" w:cs="Times New Roman"/>
          <w:sz w:val="24"/>
          <w:szCs w:val="24"/>
        </w:rPr>
        <w:t xml:space="preserve">guides </w:t>
      </w:r>
      <w:proofErr w:type="gramStart"/>
      <w:r w:rsidRPr="006A4DE4">
        <w:rPr>
          <w:rFonts w:ascii="Times New Roman" w:hAnsi="Times New Roman" w:cs="Times New Roman"/>
          <w:sz w:val="24"/>
          <w:szCs w:val="24"/>
        </w:rPr>
        <w:t>. . . .</w:t>
      </w:r>
      <w:proofErr w:type="gramEnd"/>
      <w:r w:rsidRPr="006A4DE4">
        <w:rPr>
          <w:rFonts w:ascii="Times New Roman" w:hAnsi="Times New Roman" w:cs="Times New Roman"/>
          <w:sz w:val="24"/>
          <w:szCs w:val="24"/>
        </w:rPr>
        <w:t xml:space="preserve"> to help judges determine the Legislature’s intent as embodied </w:t>
      </w:r>
      <w:proofErr w:type="gramStart"/>
      <w:r w:rsidRPr="006A4DE4">
        <w:rPr>
          <w:rFonts w:ascii="Times New Roman" w:hAnsi="Times New Roman" w:cs="Times New Roman"/>
          <w:sz w:val="24"/>
          <w:szCs w:val="24"/>
        </w:rPr>
        <w:t>in particular statutory</w:t>
      </w:r>
      <w:proofErr w:type="gramEnd"/>
      <w:r w:rsidRPr="006A4DE4">
        <w:rPr>
          <w:rFonts w:ascii="Times New Roman" w:hAnsi="Times New Roman" w:cs="Times New Roman"/>
          <w:sz w:val="24"/>
          <w:szCs w:val="24"/>
        </w:rPr>
        <w:t xml:space="preserve"> language.”</w:t>
      </w:r>
      <w:r w:rsidRPr="006A4DE4">
        <w:rPr>
          <w:rStyle w:val="FootnoteReference"/>
          <w:rFonts w:ascii="Times New Roman" w:hAnsi="Times New Roman" w:cs="Times New Roman"/>
          <w:sz w:val="24"/>
          <w:szCs w:val="24"/>
        </w:rPr>
        <w:footnoteReference w:id="56"/>
      </w:r>
      <w:r w:rsidRPr="006A4DE4">
        <w:rPr>
          <w:rFonts w:ascii="Times New Roman" w:hAnsi="Times New Roman" w:cs="Times New Roman"/>
          <w:sz w:val="24"/>
          <w:szCs w:val="24"/>
        </w:rPr>
        <w:t xml:space="preserve"> Congressional drafters often may not know or, if they know, may not adhere to such canons.</w:t>
      </w:r>
      <w:r w:rsidRPr="006A4DE4">
        <w:rPr>
          <w:rStyle w:val="FootnoteReference"/>
          <w:rFonts w:ascii="Times New Roman" w:hAnsi="Times New Roman" w:cs="Times New Roman"/>
          <w:sz w:val="24"/>
          <w:szCs w:val="24"/>
        </w:rPr>
        <w:t xml:space="preserve"> </w:t>
      </w:r>
      <w:r w:rsidRPr="006A4DE4">
        <w:rPr>
          <w:rStyle w:val="FootnoteReference"/>
          <w:rFonts w:ascii="Times New Roman" w:hAnsi="Times New Roman" w:cs="Times New Roman"/>
          <w:sz w:val="24"/>
          <w:szCs w:val="24"/>
        </w:rPr>
        <w:footnoteReference w:id="57"/>
      </w:r>
      <w:r w:rsidRPr="006A4DE4">
        <w:rPr>
          <w:rFonts w:ascii="Times New Roman" w:hAnsi="Times New Roman" w:cs="Times New Roman"/>
          <w:sz w:val="24"/>
          <w:szCs w:val="24"/>
        </w:rPr>
        <w:t xml:space="preserve"> And as the Supreme Court has recognized, Congress may sometimes repeat something for clarity.</w:t>
      </w:r>
      <w:r w:rsidRPr="006A4DE4">
        <w:rPr>
          <w:rStyle w:val="FootnoteReference"/>
          <w:rFonts w:ascii="Times New Roman" w:hAnsi="Times New Roman" w:cs="Times New Roman"/>
          <w:sz w:val="24"/>
          <w:szCs w:val="24"/>
        </w:rPr>
        <w:footnoteReference w:id="58"/>
      </w:r>
      <w:r w:rsidRPr="006A4DE4">
        <w:rPr>
          <w:rFonts w:ascii="Times New Roman" w:hAnsi="Times New Roman" w:cs="Times New Roman"/>
          <w:sz w:val="24"/>
          <w:szCs w:val="24"/>
        </w:rPr>
        <w:t xml:space="preserve"> </w:t>
      </w:r>
      <w:r w:rsidR="002E1E2C" w:rsidRPr="006A4DE4">
        <w:rPr>
          <w:rFonts w:ascii="Times New Roman" w:hAnsi="Times New Roman" w:cs="Times New Roman"/>
          <w:sz w:val="24"/>
          <w:szCs w:val="24"/>
        </w:rPr>
        <w:t>The proposed new</w:t>
      </w:r>
      <w:r w:rsidRPr="006A4DE4">
        <w:rPr>
          <w:rFonts w:ascii="Times New Roman" w:hAnsi="Times New Roman" w:cs="Times New Roman"/>
          <w:sz w:val="24"/>
          <w:szCs w:val="24"/>
        </w:rPr>
        <w:t xml:space="preserve"> interpretation of “major federal action” is not necessary to give NEPA’s text meaning, and is less consistent with NEPA’s purposes than the agency’s existing interpretation. </w:t>
      </w:r>
      <w:r w:rsidR="002E1E2C" w:rsidRPr="006A4DE4">
        <w:rPr>
          <w:rFonts w:ascii="Times New Roman" w:hAnsi="Times New Roman" w:cs="Times New Roman"/>
          <w:sz w:val="24"/>
          <w:szCs w:val="24"/>
        </w:rPr>
        <w:t xml:space="preserve">DOT </w:t>
      </w:r>
      <w:r w:rsidRPr="006A4DE4">
        <w:rPr>
          <w:rFonts w:ascii="Times New Roman" w:hAnsi="Times New Roman" w:cs="Times New Roman"/>
          <w:sz w:val="24"/>
          <w:szCs w:val="24"/>
        </w:rPr>
        <w:t>should therefore not redefine “major federal action” as it has proposed.</w:t>
      </w:r>
    </w:p>
    <w:p w14:paraId="2AE95428" w14:textId="4333BB19" w:rsidR="00E45D32" w:rsidRPr="006A4DE4" w:rsidRDefault="00441C3C" w:rsidP="004A73F9">
      <w:pPr>
        <w:ind w:firstLine="720"/>
        <w:rPr>
          <w:rFonts w:ascii="Times New Roman" w:hAnsi="Times New Roman" w:cs="Times New Roman"/>
          <w:color w:val="000000" w:themeColor="text1"/>
          <w:sz w:val="24"/>
          <w:szCs w:val="24"/>
        </w:rPr>
      </w:pPr>
      <w:r w:rsidRPr="006A4DE4">
        <w:rPr>
          <w:rFonts w:ascii="Times New Roman" w:hAnsi="Times New Roman" w:cs="Times New Roman"/>
          <w:sz w:val="24"/>
          <w:szCs w:val="24"/>
        </w:rPr>
        <w:t xml:space="preserve">The </w:t>
      </w:r>
      <w:r w:rsidR="009755B2" w:rsidRPr="006A4DE4">
        <w:rPr>
          <w:rFonts w:ascii="Times New Roman" w:hAnsi="Times New Roman" w:cs="Times New Roman"/>
          <w:sz w:val="24"/>
          <w:szCs w:val="24"/>
        </w:rPr>
        <w:t>P</w:t>
      </w:r>
      <w:r w:rsidRPr="006A4DE4">
        <w:rPr>
          <w:rFonts w:ascii="Times New Roman" w:hAnsi="Times New Roman" w:cs="Times New Roman"/>
          <w:sz w:val="24"/>
          <w:szCs w:val="24"/>
        </w:rPr>
        <w:t xml:space="preserve">roposed </w:t>
      </w:r>
      <w:r w:rsidR="009755B2" w:rsidRPr="006A4DE4">
        <w:rPr>
          <w:rFonts w:ascii="Times New Roman" w:hAnsi="Times New Roman" w:cs="Times New Roman"/>
          <w:sz w:val="24"/>
          <w:szCs w:val="24"/>
        </w:rPr>
        <w:t>R</w:t>
      </w:r>
      <w:r w:rsidRPr="006A4DE4">
        <w:rPr>
          <w:rFonts w:ascii="Times New Roman" w:hAnsi="Times New Roman" w:cs="Times New Roman"/>
          <w:sz w:val="24"/>
          <w:szCs w:val="24"/>
        </w:rPr>
        <w:t>ule would further redefine “major federal action” to exclude loans, loan guarantees, or other forms of financial assistance where the Federal agency does not exercise sufficient control and responsibility over the effects of the action.</w:t>
      </w:r>
      <w:r w:rsidR="009755B2" w:rsidRPr="006A4DE4">
        <w:rPr>
          <w:rFonts w:ascii="Times New Roman" w:hAnsi="Times New Roman" w:cs="Times New Roman"/>
          <w:sz w:val="24"/>
          <w:szCs w:val="24"/>
        </w:rPr>
        <w:t xml:space="preserve"> </w:t>
      </w:r>
      <w:r w:rsidRPr="006A4DE4">
        <w:rPr>
          <w:rFonts w:ascii="Times New Roman" w:hAnsi="Times New Roman" w:cs="Times New Roman"/>
          <w:sz w:val="24"/>
          <w:szCs w:val="24"/>
        </w:rPr>
        <w:t xml:space="preserve">This proposed redefinition is inconsistent with the relevant caselaw—and therefore contrary to law—in at least three ways. First, the relevant inquiry in determining whether an action is “federal” for the purposes of NEPA does not turn on whether the agency exercises “sufficient control and responsibility over the effects of the action.” Rather, the question is whether the agency </w:t>
      </w:r>
      <w:proofErr w:type="gramStart"/>
      <w:r w:rsidRPr="006A4DE4">
        <w:rPr>
          <w:rFonts w:ascii="Times New Roman" w:hAnsi="Times New Roman" w:cs="Times New Roman"/>
          <w:sz w:val="24"/>
          <w:szCs w:val="24"/>
        </w:rPr>
        <w:t>has the ability to</w:t>
      </w:r>
      <w:proofErr w:type="gramEnd"/>
      <w:r w:rsidRPr="006A4DE4">
        <w:rPr>
          <w:rFonts w:ascii="Times New Roman" w:hAnsi="Times New Roman" w:cs="Times New Roman"/>
          <w:i/>
          <w:iCs/>
          <w:sz w:val="24"/>
          <w:szCs w:val="24"/>
        </w:rPr>
        <w:t xml:space="preserve"> influence</w:t>
      </w:r>
      <w:r w:rsidRPr="006A4DE4">
        <w:rPr>
          <w:rFonts w:ascii="Times New Roman" w:hAnsi="Times New Roman" w:cs="Times New Roman"/>
          <w:sz w:val="24"/>
          <w:szCs w:val="24"/>
        </w:rPr>
        <w:t xml:space="preserve"> the outcome of the project.</w:t>
      </w:r>
      <w:r w:rsidRPr="006A4DE4">
        <w:rPr>
          <w:rStyle w:val="FootnoteReference"/>
          <w:rFonts w:ascii="Times New Roman" w:hAnsi="Times New Roman" w:cs="Times New Roman"/>
          <w:sz w:val="24"/>
          <w:szCs w:val="24"/>
        </w:rPr>
        <w:footnoteReference w:id="59"/>
      </w:r>
      <w:r w:rsidRPr="006A4DE4">
        <w:rPr>
          <w:rFonts w:ascii="Times New Roman" w:hAnsi="Times New Roman" w:cs="Times New Roman"/>
          <w:sz w:val="24"/>
          <w:szCs w:val="24"/>
        </w:rPr>
        <w:t xml:space="preserve"> Second, the agency need not actually </w:t>
      </w:r>
      <w:r w:rsidRPr="006A4DE4">
        <w:rPr>
          <w:rFonts w:ascii="Times New Roman" w:hAnsi="Times New Roman" w:cs="Times New Roman"/>
          <w:i/>
          <w:iCs/>
          <w:sz w:val="24"/>
          <w:szCs w:val="24"/>
        </w:rPr>
        <w:t xml:space="preserve">exercise </w:t>
      </w:r>
      <w:r w:rsidRPr="006A4DE4">
        <w:rPr>
          <w:rFonts w:ascii="Times New Roman" w:hAnsi="Times New Roman" w:cs="Times New Roman"/>
          <w:sz w:val="24"/>
          <w:szCs w:val="24"/>
        </w:rPr>
        <w:t xml:space="preserve">“sufficient control” to render a private or state action “federal” for purposes of NEPA. Instead, the agency </w:t>
      </w:r>
      <w:proofErr w:type="gramStart"/>
      <w:r w:rsidRPr="006A4DE4">
        <w:rPr>
          <w:rFonts w:ascii="Times New Roman" w:hAnsi="Times New Roman" w:cs="Times New Roman"/>
          <w:sz w:val="24"/>
          <w:szCs w:val="24"/>
        </w:rPr>
        <w:t>need</w:t>
      </w:r>
      <w:proofErr w:type="gramEnd"/>
      <w:r w:rsidRPr="006A4DE4">
        <w:rPr>
          <w:rFonts w:ascii="Times New Roman" w:hAnsi="Times New Roman" w:cs="Times New Roman"/>
          <w:sz w:val="24"/>
          <w:szCs w:val="24"/>
        </w:rPr>
        <w:t xml:space="preserve"> merely “</w:t>
      </w:r>
      <w:r w:rsidRPr="006A4DE4">
        <w:rPr>
          <w:rFonts w:ascii="Times New Roman" w:hAnsi="Times New Roman" w:cs="Times New Roman"/>
          <w:i/>
          <w:sz w:val="24"/>
          <w:szCs w:val="24"/>
        </w:rPr>
        <w:t>have the authority</w:t>
      </w:r>
      <w:r w:rsidRPr="006A4DE4">
        <w:rPr>
          <w:rFonts w:ascii="Times New Roman" w:hAnsi="Times New Roman" w:cs="Times New Roman"/>
          <w:sz w:val="24"/>
          <w:szCs w:val="24"/>
        </w:rPr>
        <w:t>” to exercise such control.</w:t>
      </w:r>
      <w:r w:rsidRPr="006A4DE4">
        <w:rPr>
          <w:rStyle w:val="FootnoteReference"/>
          <w:rFonts w:ascii="Times New Roman" w:hAnsi="Times New Roman" w:cs="Times New Roman"/>
          <w:sz w:val="24"/>
          <w:szCs w:val="24"/>
        </w:rPr>
        <w:footnoteReference w:id="60"/>
      </w:r>
      <w:r w:rsidRPr="006A4DE4">
        <w:rPr>
          <w:rFonts w:ascii="Times New Roman" w:hAnsi="Times New Roman" w:cs="Times New Roman"/>
          <w:sz w:val="24"/>
          <w:szCs w:val="24"/>
        </w:rPr>
        <w:t xml:space="preserve"> Third, an action may be considered “federal” simply because of the provision of federal funds—whether in the form of loans, loan </w:t>
      </w:r>
      <w:r w:rsidRPr="006A4DE4">
        <w:rPr>
          <w:rFonts w:ascii="Times New Roman" w:hAnsi="Times New Roman" w:cs="Times New Roman"/>
          <w:color w:val="000000" w:themeColor="text1"/>
          <w:sz w:val="24"/>
          <w:szCs w:val="24"/>
        </w:rPr>
        <w:t>guarantees, or any other form of financial assistance. This is particularly the case when any such funding occurs after the preliminary planning stages of an action,</w:t>
      </w:r>
      <w:r w:rsidRPr="006A4DE4">
        <w:rPr>
          <w:rStyle w:val="FootnoteReference"/>
          <w:rFonts w:ascii="Times New Roman" w:hAnsi="Times New Roman" w:cs="Times New Roman"/>
          <w:color w:val="000000" w:themeColor="text1"/>
          <w:sz w:val="24"/>
          <w:szCs w:val="24"/>
        </w:rPr>
        <w:footnoteReference w:id="61"/>
      </w:r>
      <w:r w:rsidRPr="006A4DE4">
        <w:rPr>
          <w:rFonts w:ascii="Times New Roman" w:hAnsi="Times New Roman" w:cs="Times New Roman"/>
          <w:color w:val="000000" w:themeColor="text1"/>
          <w:sz w:val="24"/>
          <w:szCs w:val="24"/>
        </w:rPr>
        <w:t xml:space="preserve"> or when the federal agency provides a significant level of funding.</w:t>
      </w:r>
      <w:r w:rsidRPr="006A4DE4">
        <w:rPr>
          <w:rStyle w:val="FootnoteReference"/>
          <w:rFonts w:ascii="Times New Roman" w:hAnsi="Times New Roman" w:cs="Times New Roman"/>
          <w:color w:val="000000" w:themeColor="text1"/>
          <w:sz w:val="24"/>
          <w:szCs w:val="24"/>
        </w:rPr>
        <w:footnoteReference w:id="62"/>
      </w:r>
    </w:p>
    <w:p w14:paraId="6E5DDBEB" w14:textId="4C5D2129" w:rsidR="00782BFB" w:rsidRPr="006A4DE4" w:rsidRDefault="00782BFB" w:rsidP="0056218D">
      <w:pPr>
        <w:pStyle w:val="Heading2"/>
        <w:numPr>
          <w:ilvl w:val="0"/>
          <w:numId w:val="31"/>
        </w:numPr>
        <w:spacing w:before="120" w:after="120" w:line="240" w:lineRule="auto"/>
        <w:ind w:left="1440" w:hanging="720"/>
        <w:rPr>
          <w:rFonts w:ascii="Times New Roman" w:hAnsi="Times New Roman" w:cs="Times New Roman"/>
          <w:b/>
          <w:bCs/>
          <w:color w:val="000000" w:themeColor="text1"/>
          <w:sz w:val="24"/>
          <w:szCs w:val="24"/>
        </w:rPr>
      </w:pPr>
      <w:r w:rsidRPr="006A4DE4">
        <w:rPr>
          <w:rFonts w:ascii="Times New Roman" w:hAnsi="Times New Roman" w:cs="Times New Roman"/>
          <w:b/>
          <w:bCs/>
          <w:color w:val="000000" w:themeColor="text1"/>
          <w:sz w:val="24"/>
          <w:szCs w:val="24"/>
        </w:rPr>
        <w:t xml:space="preserve">The Proposed Rule’s presumptive time and page limits are arbitrary, capricious, and counterproductive </w:t>
      </w:r>
    </w:p>
    <w:p w14:paraId="5E55BA67" w14:textId="5BE0373D" w:rsidR="0056218D" w:rsidRPr="006A4DE4" w:rsidRDefault="0056218D" w:rsidP="0056218D">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The Proposed Rule imposes arbitrary page length limits and review deadlines that weaken the process and contribute to a superficial NEPA analysis. The proposed rule would limit the EA page length to 75 pages and require an agency to complete the EA within one from its decision to prepare one. 85 Fed. Reg. 74640, 74648. While procedural efficiency is an important factor to consider in NEPA, emphasis should always be placed on information gathering to foster reasoned decision-making. “NEPA’s purpose is not to generate paperwork . . . but to provide for informed decision-making and foster excellent action.” 40 C.F.R. §</w:t>
      </w:r>
      <w:r w:rsidR="00001A0F" w:rsidRPr="006A4DE4">
        <w:rPr>
          <w:rFonts w:ascii="Times New Roman" w:hAnsi="Times New Roman" w:cs="Times New Roman"/>
          <w:color w:val="000000" w:themeColor="text1"/>
          <w:sz w:val="24"/>
          <w:szCs w:val="24"/>
        </w:rPr>
        <w:t> </w:t>
      </w:r>
      <w:r w:rsidRPr="006A4DE4">
        <w:rPr>
          <w:rFonts w:ascii="Times New Roman" w:hAnsi="Times New Roman" w:cs="Times New Roman"/>
          <w:color w:val="000000" w:themeColor="text1"/>
          <w:sz w:val="24"/>
          <w:szCs w:val="24"/>
        </w:rPr>
        <w:t>1500.1 Prioritizing page limits and review windows does not “foster excellent action” nor “does it provide for informed decision-making” when it takes precedent over qualitative analysis. NEPA was “designed to ensure well-informed and well-considered decisions</w:t>
      </w:r>
      <w:r w:rsidRPr="006A4DE4">
        <w:rPr>
          <w:rFonts w:ascii="Times New Roman" w:hAnsi="Times New Roman" w:cs="Times New Roman"/>
          <w:i/>
          <w:iCs/>
          <w:color w:val="000000" w:themeColor="text1"/>
          <w:sz w:val="24"/>
          <w:szCs w:val="24"/>
        </w:rPr>
        <w:t>.” Vt. Yankee Nuclear Power Corp. v. NRDC</w:t>
      </w:r>
      <w:r w:rsidRPr="006A4DE4">
        <w:rPr>
          <w:rFonts w:ascii="Times New Roman" w:hAnsi="Times New Roman" w:cs="Times New Roman"/>
          <w:color w:val="000000" w:themeColor="text1"/>
          <w:sz w:val="24"/>
          <w:szCs w:val="24"/>
        </w:rPr>
        <w:t>, 435 U.S. 519, 558, (1978). Accelerating the review process and abbreviating the EA to the detriment of a deliberative review process erodes NEPA’s intended purpose which is to facilitate “informed decision making.” Id.</w:t>
      </w:r>
    </w:p>
    <w:p w14:paraId="21CAC706" w14:textId="23390A88" w:rsidR="00782BFB" w:rsidRPr="006A4DE4" w:rsidRDefault="00782BFB" w:rsidP="00782BFB">
      <w:pPr>
        <w:ind w:firstLine="720"/>
        <w:rPr>
          <w:rFonts w:ascii="Times New Roman" w:hAnsi="Times New Roman" w:cs="Times New Roman"/>
          <w:sz w:val="24"/>
          <w:szCs w:val="24"/>
        </w:rPr>
      </w:pPr>
      <w:r w:rsidRPr="006A4DE4">
        <w:rPr>
          <w:rFonts w:ascii="Times New Roman" w:hAnsi="Times New Roman" w:cs="Times New Roman"/>
          <w:color w:val="000000" w:themeColor="text1"/>
          <w:sz w:val="24"/>
          <w:szCs w:val="24"/>
        </w:rPr>
        <w:t xml:space="preserve">DOT does not offer any reasoned basis for this change, beyond referencing </w:t>
      </w:r>
      <w:r w:rsidRPr="006A4DE4">
        <w:rPr>
          <w:rFonts w:ascii="Times New Roman" w:hAnsi="Times New Roman" w:cs="Times New Roman"/>
          <w:sz w:val="24"/>
          <w:szCs w:val="24"/>
        </w:rPr>
        <w:t>the CEQ regulations’ purported justification to achieve “effective, and timely NEPA reviews” with “reduced paperwork and delays.” 85 Fed. Reg. at 1684. DOT is thus encouraging faster, abbreviated environmental reviews. Neither DOT nor CEQ have offered any evidence to show that this approach would serve CEQ’s professed goals or Congress’s mandate, and as explained below, it would not.</w:t>
      </w:r>
    </w:p>
    <w:p w14:paraId="7B42065F" w14:textId="77777777" w:rsidR="00782BFB" w:rsidRPr="006A4DE4" w:rsidRDefault="00782BFB" w:rsidP="00782BFB">
      <w:pPr>
        <w:ind w:firstLine="720"/>
        <w:rPr>
          <w:rFonts w:ascii="Times New Roman" w:hAnsi="Times New Roman" w:cs="Times New Roman"/>
          <w:sz w:val="24"/>
          <w:szCs w:val="24"/>
        </w:rPr>
      </w:pPr>
      <w:r w:rsidRPr="006A4DE4">
        <w:rPr>
          <w:rFonts w:ascii="Times New Roman" w:hAnsi="Times New Roman" w:cs="Times New Roman"/>
          <w:sz w:val="24"/>
          <w:szCs w:val="24"/>
        </w:rPr>
        <w:t xml:space="preserve">As a threshold matter, the stated objective of “effective, and timely reviews” is too vague to provide a metric against which to measure DOT’s proposal to impose artificial, default page and time limits. DOT certainly does not provide evidence that such shorter, faster reviews will be effective at achieving Congress’s goals in adopting NEPA. Nor does it provide any evidence that these limits would achieve CEQ and DOT’s apparent goal of hastening project approvals that are either not litigated or survive judicial review. Put another way, neither DOT or CEQ provide any justification for their implicit premise that a legally compliant environmental review can, with any frequency, be prepared within the proposed presumptive page and time limits. Concision takes time; accuracy under time pressure takes resources. Particularly at a time when the Administration is proposing to slash the environmental compliance budgets of multiple federal </w:t>
      </w:r>
      <w:proofErr w:type="gramStart"/>
      <w:r w:rsidRPr="006A4DE4">
        <w:rPr>
          <w:rFonts w:ascii="Times New Roman" w:hAnsi="Times New Roman" w:cs="Times New Roman"/>
          <w:sz w:val="24"/>
          <w:szCs w:val="24"/>
        </w:rPr>
        <w:t>agencies,  it</w:t>
      </w:r>
      <w:proofErr w:type="gramEnd"/>
      <w:r w:rsidRPr="006A4DE4">
        <w:rPr>
          <w:rFonts w:ascii="Times New Roman" w:hAnsi="Times New Roman" w:cs="Times New Roman"/>
          <w:sz w:val="24"/>
          <w:szCs w:val="24"/>
        </w:rPr>
        <w:t xml:space="preserve"> is entirely arbitrary to assume that federal agencies will be able to complete better (less legally vulnerable) environmental reviews, in less time, with fewer pages.</w:t>
      </w:r>
    </w:p>
    <w:p w14:paraId="2EFB5882" w14:textId="77777777" w:rsidR="00782BFB" w:rsidRPr="006A4DE4" w:rsidRDefault="00782BFB" w:rsidP="00782BFB">
      <w:pPr>
        <w:ind w:firstLine="720"/>
        <w:rPr>
          <w:rFonts w:ascii="Times New Roman" w:hAnsi="Times New Roman" w:cs="Times New Roman"/>
          <w:sz w:val="24"/>
          <w:szCs w:val="24"/>
        </w:rPr>
      </w:pPr>
      <w:r w:rsidRPr="006A4DE4">
        <w:rPr>
          <w:rFonts w:ascii="Times New Roman" w:hAnsi="Times New Roman" w:cs="Times New Roman"/>
          <w:sz w:val="24"/>
          <w:szCs w:val="24"/>
        </w:rPr>
        <w:t xml:space="preserve">As for CEQ’s professed goal of improving efficiency, which DOT does not itself articulate, an inadequate environmental review is the height of inefficiency. A short-and-sloppy EIS or EA would not adequately inform decisionmakers or the public—and therefore </w:t>
      </w:r>
      <w:proofErr w:type="gramStart"/>
      <w:r w:rsidRPr="006A4DE4">
        <w:rPr>
          <w:rFonts w:ascii="Times New Roman" w:hAnsi="Times New Roman" w:cs="Times New Roman"/>
          <w:sz w:val="24"/>
          <w:szCs w:val="24"/>
        </w:rPr>
        <w:t>wouldn’t</w:t>
      </w:r>
      <w:proofErr w:type="gramEnd"/>
      <w:r w:rsidRPr="006A4DE4">
        <w:rPr>
          <w:rFonts w:ascii="Times New Roman" w:hAnsi="Times New Roman" w:cs="Times New Roman"/>
          <w:sz w:val="24"/>
          <w:szCs w:val="24"/>
        </w:rPr>
        <w:t xml:space="preserve"> satisfy Congress’s decision to require agencies to take “a ‘hard look’ at the environmental effects of their planned action.” Marsh v. Oregon Natural Resources Council, 490 U.S. 360, 374 (1989). To the contrary, rushed, abbreviated environmental reviews are likely to be challenged in court and, when challenged, overturned. An environmental review that is so rushed that it is overturned will lead to projects being enjoined, not to “effective, timely” project approvals.</w:t>
      </w:r>
    </w:p>
    <w:p w14:paraId="7B7F3F93" w14:textId="77777777" w:rsidR="00782BFB" w:rsidRPr="006A4DE4" w:rsidRDefault="00782BFB" w:rsidP="00782BFB">
      <w:pPr>
        <w:ind w:firstLine="720"/>
        <w:rPr>
          <w:rFonts w:ascii="Times New Roman" w:hAnsi="Times New Roman" w:cs="Times New Roman"/>
          <w:sz w:val="24"/>
          <w:szCs w:val="24"/>
        </w:rPr>
      </w:pPr>
      <w:r w:rsidRPr="006A4DE4">
        <w:rPr>
          <w:rFonts w:ascii="Times New Roman" w:hAnsi="Times New Roman" w:cs="Times New Roman"/>
          <w:sz w:val="24"/>
          <w:szCs w:val="24"/>
        </w:rPr>
        <w:t>In any event, DOT provides no evidence that presumptive page- and time- limits are needed.  DOT and CEQ cannot conclude that existing environmental reviews are too lengthy, or too time consuming, merely by pointing to the length of present environmental reviews, or the amount of time those reviews take. Put another way, the agencies present no evidence that reviews are longer than they need to be to get Congress’s job done, or that they could be sped up without either a loss of quality or a concomitant influx of new resources that this Administration has never proposed. To prove that existing environmental reviews are too long or slow, DOT would have to demonstrate that the quality of existing reviews could be maintained if prepared under tighter time and page limits. Commonsense and experience indicate otherwise, as do the numerous judicial decisions that have overturned federal agency decisions because those decisions were supported by environmental reviews that did not cover enough.</w:t>
      </w:r>
    </w:p>
    <w:p w14:paraId="5BB6EE20" w14:textId="77777777" w:rsidR="00782BFB" w:rsidRPr="006A4DE4" w:rsidRDefault="00782BFB" w:rsidP="00782BFB">
      <w:pPr>
        <w:ind w:firstLine="720"/>
        <w:rPr>
          <w:rFonts w:ascii="Times New Roman" w:hAnsi="Times New Roman" w:cs="Times New Roman"/>
          <w:sz w:val="24"/>
          <w:szCs w:val="24"/>
        </w:rPr>
      </w:pPr>
      <w:r w:rsidRPr="006A4DE4">
        <w:rPr>
          <w:rFonts w:ascii="Times New Roman" w:hAnsi="Times New Roman" w:cs="Times New Roman"/>
          <w:sz w:val="24"/>
          <w:szCs w:val="24"/>
        </w:rPr>
        <w:t>Thinking carefully before acting is not inefficiency. Under NEPA, it is the law of the land. DOT should not establish presumptive page or time constraints that undermine Congress’s mandate by rushing through inadequate environmental reviews.</w:t>
      </w:r>
    </w:p>
    <w:p w14:paraId="13DA280E" w14:textId="77777777" w:rsidR="00782BFB" w:rsidRPr="006A4DE4" w:rsidRDefault="00782BFB" w:rsidP="00782BFB">
      <w:pPr>
        <w:ind w:firstLine="720"/>
        <w:rPr>
          <w:rFonts w:ascii="Times New Roman" w:hAnsi="Times New Roman" w:cs="Times New Roman"/>
          <w:sz w:val="24"/>
          <w:szCs w:val="24"/>
        </w:rPr>
      </w:pPr>
      <w:r w:rsidRPr="006A4DE4">
        <w:rPr>
          <w:rFonts w:ascii="Times New Roman" w:hAnsi="Times New Roman" w:cs="Times New Roman"/>
          <w:sz w:val="24"/>
          <w:szCs w:val="24"/>
        </w:rPr>
        <w:t xml:space="preserve">The proposed exception to the page and timeline limits—under which a senior official may waive these limits—would not cure the problems discussed above. Senior officials’ time is </w:t>
      </w:r>
      <w:proofErr w:type="gramStart"/>
      <w:r w:rsidRPr="006A4DE4">
        <w:rPr>
          <w:rFonts w:ascii="Times New Roman" w:hAnsi="Times New Roman" w:cs="Times New Roman"/>
          <w:sz w:val="24"/>
          <w:szCs w:val="24"/>
        </w:rPr>
        <w:t>scarce</w:t>
      </w:r>
      <w:proofErr w:type="gramEnd"/>
      <w:r w:rsidRPr="006A4DE4">
        <w:rPr>
          <w:rFonts w:ascii="Times New Roman" w:hAnsi="Times New Roman" w:cs="Times New Roman"/>
          <w:sz w:val="24"/>
          <w:szCs w:val="24"/>
        </w:rPr>
        <w:t xml:space="preserve"> and DOT provides no standard for when a senior official should grant a waiver. A senior official may not have the time to fully understand why a waiver should be granted—and indeed, probably has the least information about the reasons justifying any </w:t>
      </w:r>
      <w:proofErr w:type="gramStart"/>
      <w:r w:rsidRPr="006A4DE4">
        <w:rPr>
          <w:rFonts w:ascii="Times New Roman" w:hAnsi="Times New Roman" w:cs="Times New Roman"/>
          <w:sz w:val="24"/>
          <w:szCs w:val="24"/>
        </w:rPr>
        <w:t>particular waiver</w:t>
      </w:r>
      <w:proofErr w:type="gramEnd"/>
      <w:r w:rsidRPr="006A4DE4">
        <w:rPr>
          <w:rFonts w:ascii="Times New Roman" w:hAnsi="Times New Roman" w:cs="Times New Roman"/>
          <w:sz w:val="24"/>
          <w:szCs w:val="24"/>
        </w:rPr>
        <w:t xml:space="preserve">—increasing the risk that waivers will be denied arbitrarily or incorrectly. Staff may not know that an extension is necessary until late in the process. Elevating the waiver decision to a senior official takes time—both staff time and senior official time—likely making staff reluctant to elevate such requests; that, indeed, would seem to be DOT’s point in proposing to require a senior official approval of a waiver. Perhaps that might make sense if there were evidence that the proposed time and page limits were appropriate in the vast majority, or even “most,” circumstances, but there is none. (CEQ vaguely waives its own “experience” around, but CEQ’s experience with preparing EAs and EISs itself is quite limited, and since CEQ does not articulate what specific “experience” it is referring to, that word is little more than window dressing, here.) </w:t>
      </w:r>
    </w:p>
    <w:p w14:paraId="333F602D" w14:textId="77777777" w:rsidR="00782BFB" w:rsidRPr="006A4DE4" w:rsidRDefault="00782BFB" w:rsidP="00782BFB">
      <w:pPr>
        <w:ind w:firstLine="720"/>
        <w:rPr>
          <w:rFonts w:ascii="Times New Roman" w:hAnsi="Times New Roman" w:cs="Times New Roman"/>
          <w:sz w:val="24"/>
          <w:szCs w:val="24"/>
        </w:rPr>
      </w:pPr>
      <w:r w:rsidRPr="006A4DE4">
        <w:rPr>
          <w:rFonts w:ascii="Times New Roman" w:hAnsi="Times New Roman" w:cs="Times New Roman"/>
          <w:sz w:val="24"/>
          <w:szCs w:val="24"/>
        </w:rPr>
        <w:t xml:space="preserve">Arbitrary time and page limits will discourage agencies from thoroughly considering significant effects of complex projects. Such limits will lead to less informed decision making. That, in turn, will lead to more EAs and EISs being invalidated in court. As a threshold matter, </w:t>
      </w:r>
      <w:proofErr w:type="gramStart"/>
      <w:r w:rsidRPr="006A4DE4">
        <w:rPr>
          <w:rFonts w:ascii="Times New Roman" w:hAnsi="Times New Roman" w:cs="Times New Roman"/>
          <w:sz w:val="24"/>
          <w:szCs w:val="24"/>
        </w:rPr>
        <w:t>it’s</w:t>
      </w:r>
      <w:proofErr w:type="gramEnd"/>
      <w:r w:rsidRPr="006A4DE4">
        <w:rPr>
          <w:rFonts w:ascii="Times New Roman" w:hAnsi="Times New Roman" w:cs="Times New Roman"/>
          <w:sz w:val="24"/>
          <w:szCs w:val="24"/>
        </w:rPr>
        <w:t xml:space="preserve"> not clear why DOT seeks to reduce litigation by proposing roadblocks to litigating, rather than investing in better agency compliance with NEPA’s mandate. Indeed, DOT offers no evidence that there is presently too much litigation. To the extent CEQ is asserting that litigation is delaying projects, such delays occur only when a court enjoins a project--and courts </w:t>
      </w:r>
      <w:proofErr w:type="gramStart"/>
      <w:r w:rsidRPr="006A4DE4">
        <w:rPr>
          <w:rFonts w:ascii="Times New Roman" w:hAnsi="Times New Roman" w:cs="Times New Roman"/>
          <w:sz w:val="24"/>
          <w:szCs w:val="24"/>
        </w:rPr>
        <w:t>will</w:t>
      </w:r>
      <w:proofErr w:type="gramEnd"/>
      <w:r w:rsidRPr="006A4DE4">
        <w:rPr>
          <w:rFonts w:ascii="Times New Roman" w:hAnsi="Times New Roman" w:cs="Times New Roman"/>
          <w:sz w:val="24"/>
          <w:szCs w:val="24"/>
        </w:rPr>
        <w:t xml:space="preserve"> enjoin projects only if the agency violated the law (or under the stringent standards for a preliminary injunction, if the court finds, among other things, that the agency likely violated the law and that the public interest favors an injunction).  DOT offers no justification sufficient to obstruct litigation that enforces the law and vindicates the public interest. </w:t>
      </w:r>
    </w:p>
    <w:p w14:paraId="1C3F5F90" w14:textId="215975F1" w:rsidR="00782BFB" w:rsidRPr="006A4DE4" w:rsidRDefault="00782BFB" w:rsidP="00782BFB">
      <w:pPr>
        <w:ind w:firstLine="720"/>
        <w:rPr>
          <w:rFonts w:ascii="Times New Roman" w:hAnsi="Times New Roman" w:cs="Times New Roman"/>
          <w:sz w:val="24"/>
          <w:szCs w:val="24"/>
        </w:rPr>
      </w:pPr>
      <w:r w:rsidRPr="006A4DE4">
        <w:rPr>
          <w:rFonts w:ascii="Times New Roman" w:hAnsi="Times New Roman" w:cs="Times New Roman"/>
          <w:sz w:val="24"/>
          <w:szCs w:val="24"/>
        </w:rPr>
        <w:t xml:space="preserve">In any event, despite high profile NEPA lawsuits, NEPA litigation is, </w:t>
      </w:r>
      <w:proofErr w:type="gramStart"/>
      <w:r w:rsidRPr="006A4DE4">
        <w:rPr>
          <w:rFonts w:ascii="Times New Roman" w:hAnsi="Times New Roman" w:cs="Times New Roman"/>
          <w:sz w:val="24"/>
          <w:szCs w:val="24"/>
        </w:rPr>
        <w:t>on the whole</w:t>
      </w:r>
      <w:proofErr w:type="gramEnd"/>
      <w:r w:rsidRPr="006A4DE4">
        <w:rPr>
          <w:rFonts w:ascii="Times New Roman" w:hAnsi="Times New Roman" w:cs="Times New Roman"/>
          <w:sz w:val="24"/>
          <w:szCs w:val="24"/>
        </w:rPr>
        <w:t xml:space="preserve">, rare. Indeed, according to CEQ’s own data, the federal government prepares approximately 51,300 NEPA documents and 51,000 NEPA decisions annually—but, on average, just 115 NEPA lawsuits are filed.  </w:t>
      </w:r>
      <w:proofErr w:type="gramStart"/>
      <w:r w:rsidRPr="006A4DE4">
        <w:rPr>
          <w:rFonts w:ascii="Times New Roman" w:hAnsi="Times New Roman" w:cs="Times New Roman"/>
          <w:sz w:val="24"/>
          <w:szCs w:val="24"/>
        </w:rPr>
        <w:t>And,</w:t>
      </w:r>
      <w:proofErr w:type="gramEnd"/>
      <w:r w:rsidRPr="006A4DE4">
        <w:rPr>
          <w:rFonts w:ascii="Times New Roman" w:hAnsi="Times New Roman" w:cs="Times New Roman"/>
          <w:sz w:val="24"/>
          <w:szCs w:val="24"/>
        </w:rPr>
        <w:t xml:space="preserve"> the Federal Highway Administration and Department of Energy (agencies responsible for infrastructure projects that the Administration seems intent on expediting) are sued even less often than peer agencies.</w:t>
      </w:r>
    </w:p>
    <w:p w14:paraId="03FB0A40" w14:textId="5F6D18EF" w:rsidR="00E45D32" w:rsidRPr="006A4DE4" w:rsidRDefault="00E45D32" w:rsidP="00980926">
      <w:pPr>
        <w:pStyle w:val="Heading1"/>
        <w:numPr>
          <w:ilvl w:val="0"/>
          <w:numId w:val="14"/>
        </w:numPr>
        <w:spacing w:after="240" w:line="240" w:lineRule="auto"/>
        <w:ind w:hanging="720"/>
        <w:rPr>
          <w:rFonts w:ascii="Times New Roman" w:hAnsi="Times New Roman" w:cs="Times New Roman"/>
          <w:b/>
          <w:bCs/>
          <w:color w:val="000000" w:themeColor="text1"/>
          <w:sz w:val="24"/>
          <w:szCs w:val="24"/>
        </w:rPr>
      </w:pPr>
      <w:r w:rsidRPr="006A4DE4">
        <w:rPr>
          <w:rFonts w:ascii="Times New Roman" w:hAnsi="Times New Roman" w:cs="Times New Roman"/>
          <w:b/>
          <w:bCs/>
          <w:color w:val="000000" w:themeColor="text1"/>
          <w:sz w:val="24"/>
          <w:szCs w:val="24"/>
        </w:rPr>
        <w:t xml:space="preserve">The proposed delegation of EIS preparation to an applicant is improper </w:t>
      </w:r>
    </w:p>
    <w:p w14:paraId="6C69F36B" w14:textId="3842EF1D" w:rsidR="00980926" w:rsidRPr="006A4DE4" w:rsidRDefault="00BA2794" w:rsidP="00980926">
      <w:pPr>
        <w:ind w:firstLine="720"/>
        <w:rPr>
          <w:rFonts w:ascii="Times New Roman" w:hAnsi="Times New Roman" w:cs="Times New Roman"/>
          <w:sz w:val="24"/>
          <w:szCs w:val="24"/>
        </w:rPr>
      </w:pPr>
      <w:r w:rsidRPr="006A4DE4">
        <w:rPr>
          <w:rFonts w:ascii="Times New Roman" w:hAnsi="Times New Roman" w:cs="Times New Roman"/>
          <w:sz w:val="24"/>
          <w:szCs w:val="24"/>
        </w:rPr>
        <w:t>The Proposed Rule suggests “that the applicant will carry out some of the responsibilities of the O[</w:t>
      </w:r>
      <w:proofErr w:type="spellStart"/>
      <w:r w:rsidRPr="006A4DE4">
        <w:rPr>
          <w:rFonts w:ascii="Times New Roman" w:hAnsi="Times New Roman" w:cs="Times New Roman"/>
          <w:sz w:val="24"/>
          <w:szCs w:val="24"/>
        </w:rPr>
        <w:t>perating</w:t>
      </w:r>
      <w:proofErr w:type="spellEnd"/>
      <w:r w:rsidRPr="006A4DE4">
        <w:rPr>
          <w:rFonts w:ascii="Times New Roman" w:hAnsi="Times New Roman" w:cs="Times New Roman"/>
          <w:sz w:val="24"/>
          <w:szCs w:val="24"/>
        </w:rPr>
        <w:t>] A[</w:t>
      </w:r>
      <w:proofErr w:type="spellStart"/>
      <w:r w:rsidRPr="006A4DE4">
        <w:rPr>
          <w:rFonts w:ascii="Times New Roman" w:hAnsi="Times New Roman" w:cs="Times New Roman"/>
          <w:sz w:val="24"/>
          <w:szCs w:val="24"/>
        </w:rPr>
        <w:t>gency</w:t>
      </w:r>
      <w:proofErr w:type="spellEnd"/>
      <w:r w:rsidRPr="006A4DE4">
        <w:rPr>
          <w:rFonts w:ascii="Times New Roman" w:hAnsi="Times New Roman" w:cs="Times New Roman"/>
          <w:sz w:val="24"/>
          <w:szCs w:val="24"/>
        </w:rPr>
        <w:t>] on its behalf, and therefore could conduct activities under the Department’s NEPA procedures on behalf of that O[</w:t>
      </w:r>
      <w:proofErr w:type="spellStart"/>
      <w:r w:rsidRPr="006A4DE4">
        <w:rPr>
          <w:rFonts w:ascii="Times New Roman" w:hAnsi="Times New Roman" w:cs="Times New Roman"/>
          <w:sz w:val="24"/>
          <w:szCs w:val="24"/>
        </w:rPr>
        <w:t>perating</w:t>
      </w:r>
      <w:proofErr w:type="spellEnd"/>
      <w:r w:rsidRPr="006A4DE4">
        <w:rPr>
          <w:rFonts w:ascii="Times New Roman" w:hAnsi="Times New Roman" w:cs="Times New Roman"/>
          <w:sz w:val="24"/>
          <w:szCs w:val="24"/>
        </w:rPr>
        <w:t>] A[</w:t>
      </w:r>
      <w:proofErr w:type="spellStart"/>
      <w:r w:rsidRPr="006A4DE4">
        <w:rPr>
          <w:rFonts w:ascii="Times New Roman" w:hAnsi="Times New Roman" w:cs="Times New Roman"/>
          <w:sz w:val="24"/>
          <w:szCs w:val="24"/>
        </w:rPr>
        <w:t>gency</w:t>
      </w:r>
      <w:proofErr w:type="spellEnd"/>
      <w:r w:rsidRPr="006A4DE4">
        <w:rPr>
          <w:rFonts w:ascii="Times New Roman" w:hAnsi="Times New Roman" w:cs="Times New Roman"/>
          <w:sz w:val="24"/>
          <w:szCs w:val="24"/>
        </w:rPr>
        <w:t>].” 85 Fed. Reg. 74,644. Allowing applicants, who are by definition “seeking an approval, financial assistance, special permit, waiver, certification, or other action from” an Operating Agency to also carry out the responsibilities of the Operating Agency related to its own application is wholly improper. 85 Fed. Reg. 74,654.</w:t>
      </w:r>
    </w:p>
    <w:p w14:paraId="2830E2F8" w14:textId="00BBAB9D" w:rsidR="00860F8A" w:rsidRPr="006A4DE4" w:rsidRDefault="00BA2794" w:rsidP="00860F8A">
      <w:pPr>
        <w:ind w:firstLine="720"/>
        <w:rPr>
          <w:rFonts w:ascii="Times New Roman" w:hAnsi="Times New Roman" w:cs="Times New Roman"/>
          <w:sz w:val="24"/>
          <w:szCs w:val="24"/>
        </w:rPr>
      </w:pPr>
      <w:r w:rsidRPr="006A4DE4">
        <w:rPr>
          <w:rFonts w:ascii="Times New Roman" w:hAnsi="Times New Roman" w:cs="Times New Roman"/>
          <w:sz w:val="24"/>
          <w:szCs w:val="24"/>
        </w:rPr>
        <w:t>The Proposed Rules recognize that “[</w:t>
      </w:r>
      <w:proofErr w:type="gramStart"/>
      <w:r w:rsidRPr="006A4DE4">
        <w:rPr>
          <w:rFonts w:ascii="Times New Roman" w:hAnsi="Times New Roman" w:cs="Times New Roman"/>
          <w:sz w:val="24"/>
          <w:szCs w:val="24"/>
        </w:rPr>
        <w:t>d[</w:t>
      </w:r>
      <w:proofErr w:type="spellStart"/>
      <w:proofErr w:type="gramEnd"/>
      <w:r w:rsidRPr="006A4DE4">
        <w:rPr>
          <w:rFonts w:ascii="Times New Roman" w:hAnsi="Times New Roman" w:cs="Times New Roman"/>
          <w:sz w:val="24"/>
          <w:szCs w:val="24"/>
        </w:rPr>
        <w:t>ecisionmaking</w:t>
      </w:r>
      <w:proofErr w:type="spellEnd"/>
      <w:r w:rsidRPr="006A4DE4">
        <w:rPr>
          <w:rFonts w:ascii="Times New Roman" w:hAnsi="Times New Roman" w:cs="Times New Roman"/>
          <w:sz w:val="24"/>
          <w:szCs w:val="24"/>
        </w:rPr>
        <w:t xml:space="preserve"> under NEPA is an</w:t>
      </w:r>
      <w:r w:rsidRPr="006A4DE4">
        <w:rPr>
          <w:rFonts w:ascii="Times New Roman" w:hAnsi="Times New Roman" w:cs="Times New Roman"/>
          <w:spacing w:val="-6"/>
          <w:sz w:val="24"/>
          <w:szCs w:val="24"/>
        </w:rPr>
        <w:t xml:space="preserve"> </w:t>
      </w:r>
      <w:r w:rsidRPr="006A4DE4">
        <w:rPr>
          <w:rFonts w:ascii="Times New Roman" w:hAnsi="Times New Roman" w:cs="Times New Roman"/>
          <w:sz w:val="24"/>
          <w:szCs w:val="24"/>
        </w:rPr>
        <w:t xml:space="preserve">inherently governmental function.” 85 Fed. Reg. 74,657. Despite this acknowledgement, the Proposed Rule Section 13.13(i) states that Operating Agencies “may use contractors to assist in the preparation of NEPA documents” where contractors comply with the regulations and Operating Agency procedures and follow relevant guidance. </w:t>
      </w:r>
      <w:r w:rsidRPr="006A4DE4">
        <w:rPr>
          <w:rFonts w:ascii="Times New Roman" w:hAnsi="Times New Roman" w:cs="Times New Roman"/>
          <w:i/>
          <w:sz w:val="24"/>
          <w:szCs w:val="24"/>
        </w:rPr>
        <w:t>Id</w:t>
      </w:r>
      <w:r w:rsidRPr="006A4DE4">
        <w:rPr>
          <w:rFonts w:ascii="Times New Roman" w:hAnsi="Times New Roman" w:cs="Times New Roman"/>
          <w:sz w:val="24"/>
          <w:szCs w:val="24"/>
        </w:rPr>
        <w:t>.  The language of the Proposed Rule Section 13.13(i) reads as if the contractors at issue are hired by the Operating Agency, not the applicant, while the portion of the Proposed Rule explaining the change suggests that it is the applicant hiring—and paying—the contractors. Allowing applicants to hire and pay for contractors to produce work that the Operating Agency then uses in the applicant’s NEPA process violates ethical stands and compromises the Operating Agency’s independence in completing the NEPA process. The Proposed Rule should clarify that where contractors are used to complete the NEPA process, they must be selected by</w:t>
      </w:r>
      <w:r w:rsidR="004B4A14" w:rsidRPr="006A4DE4">
        <w:rPr>
          <w:rFonts w:ascii="Times New Roman" w:hAnsi="Times New Roman" w:cs="Times New Roman"/>
          <w:sz w:val="24"/>
          <w:szCs w:val="24"/>
        </w:rPr>
        <w:t>, supervised,</w:t>
      </w:r>
      <w:r w:rsidRPr="006A4DE4">
        <w:rPr>
          <w:rFonts w:ascii="Times New Roman" w:hAnsi="Times New Roman" w:cs="Times New Roman"/>
          <w:sz w:val="24"/>
          <w:szCs w:val="24"/>
        </w:rPr>
        <w:t xml:space="preserve"> and paid for by the Operating Agency</w:t>
      </w:r>
      <w:r w:rsidR="00B14876" w:rsidRPr="006A4DE4">
        <w:rPr>
          <w:rFonts w:ascii="Times New Roman" w:hAnsi="Times New Roman" w:cs="Times New Roman"/>
          <w:sz w:val="24"/>
          <w:szCs w:val="24"/>
        </w:rPr>
        <w:t>, and</w:t>
      </w:r>
      <w:r w:rsidR="00F40168" w:rsidRPr="006A4DE4">
        <w:rPr>
          <w:rFonts w:ascii="Times New Roman" w:hAnsi="Times New Roman" w:cs="Times New Roman"/>
          <w:sz w:val="24"/>
          <w:szCs w:val="24"/>
        </w:rPr>
        <w:t xml:space="preserve"> undergo independent and rigorous agency review</w:t>
      </w:r>
      <w:r w:rsidRPr="006A4DE4">
        <w:rPr>
          <w:rFonts w:ascii="Times New Roman" w:hAnsi="Times New Roman" w:cs="Times New Roman"/>
          <w:sz w:val="24"/>
          <w:szCs w:val="24"/>
        </w:rPr>
        <w:t>.</w:t>
      </w:r>
      <w:r w:rsidR="00B14876" w:rsidRPr="006A4DE4">
        <w:rPr>
          <w:rFonts w:ascii="Times New Roman" w:hAnsi="Times New Roman" w:cs="Times New Roman"/>
          <w:sz w:val="24"/>
          <w:szCs w:val="24"/>
        </w:rPr>
        <w:t xml:space="preserve"> </w:t>
      </w:r>
    </w:p>
    <w:p w14:paraId="1D631FF7" w14:textId="77777777" w:rsidR="00C6331A" w:rsidRPr="006A4DE4" w:rsidRDefault="00F40168" w:rsidP="00C6331A">
      <w:pPr>
        <w:ind w:firstLine="720"/>
        <w:rPr>
          <w:rFonts w:ascii="Times New Roman" w:hAnsi="Times New Roman" w:cs="Times New Roman"/>
          <w:sz w:val="24"/>
          <w:szCs w:val="24"/>
        </w:rPr>
      </w:pPr>
      <w:r w:rsidRPr="006A4DE4">
        <w:rPr>
          <w:rFonts w:ascii="Times New Roman" w:hAnsi="Times New Roman" w:cs="Times New Roman"/>
          <w:sz w:val="24"/>
          <w:szCs w:val="24"/>
        </w:rPr>
        <w:t xml:space="preserve">Additionally, </w:t>
      </w:r>
      <w:r w:rsidR="00C6331A" w:rsidRPr="006A4DE4">
        <w:rPr>
          <w:rFonts w:ascii="Times New Roman" w:hAnsi="Times New Roman" w:cs="Times New Roman"/>
          <w:sz w:val="24"/>
          <w:szCs w:val="24"/>
        </w:rPr>
        <w:t>any DOT regulation would need to contain</w:t>
      </w:r>
      <w:r w:rsidRPr="006A4DE4">
        <w:rPr>
          <w:rFonts w:ascii="Times New Roman" w:hAnsi="Times New Roman" w:cs="Times New Roman"/>
          <w:sz w:val="24"/>
          <w:szCs w:val="24"/>
        </w:rPr>
        <w:t xml:space="preserve"> stringent requirements to ensure that contractors involved in a NEPA process do not</w:t>
      </w:r>
      <w:r w:rsidR="00C6331A" w:rsidRPr="006A4DE4">
        <w:rPr>
          <w:rFonts w:ascii="Times New Roman" w:hAnsi="Times New Roman" w:cs="Times New Roman"/>
          <w:sz w:val="24"/>
          <w:szCs w:val="24"/>
        </w:rPr>
        <w:t xml:space="preserve"> pose</w:t>
      </w:r>
      <w:r w:rsidRPr="006A4DE4">
        <w:rPr>
          <w:rFonts w:ascii="Times New Roman" w:hAnsi="Times New Roman" w:cs="Times New Roman"/>
          <w:sz w:val="24"/>
          <w:szCs w:val="24"/>
        </w:rPr>
        <w:t xml:space="preserve"> conflicts of interest. A</w:t>
      </w:r>
      <w:r w:rsidR="00860F8A" w:rsidRPr="006A4DE4">
        <w:rPr>
          <w:rFonts w:ascii="Times New Roman" w:hAnsi="Times New Roman" w:cs="Times New Roman"/>
          <w:sz w:val="24"/>
          <w:szCs w:val="24"/>
        </w:rPr>
        <w:t xml:space="preserve">llowing anyone—including a self-interested, profit-motivated, private-industry applicant—to prepare an EIS would undercut the public’s trust in NEPA and the integrity and reliability of the environmental review process. DOT must ensure the integrity of NEPA by applying stringent its conflict-of-interest requirements. </w:t>
      </w:r>
    </w:p>
    <w:p w14:paraId="78FB0C68" w14:textId="470C4EEB" w:rsidR="00860F8A" w:rsidRPr="006A4DE4" w:rsidRDefault="00C6331A" w:rsidP="00E96413">
      <w:pPr>
        <w:ind w:firstLine="720"/>
        <w:rPr>
          <w:rFonts w:ascii="Times New Roman" w:hAnsi="Times New Roman" w:cs="Times New Roman"/>
          <w:sz w:val="24"/>
          <w:szCs w:val="24"/>
        </w:rPr>
      </w:pPr>
      <w:r w:rsidRPr="006A4DE4">
        <w:rPr>
          <w:rFonts w:ascii="Times New Roman" w:hAnsi="Times New Roman" w:cs="Times New Roman"/>
          <w:sz w:val="24"/>
          <w:szCs w:val="24"/>
        </w:rPr>
        <w:t xml:space="preserve">The law and the federal agencies tasked with implementing it have generated reams of evidence demonstrating the need for the </w:t>
      </w:r>
      <w:proofErr w:type="gramStart"/>
      <w:r w:rsidRPr="006A4DE4">
        <w:rPr>
          <w:rFonts w:ascii="Times New Roman" w:hAnsi="Times New Roman" w:cs="Times New Roman"/>
          <w:sz w:val="24"/>
          <w:szCs w:val="24"/>
        </w:rPr>
        <w:t>conflict of interest</w:t>
      </w:r>
      <w:proofErr w:type="gramEnd"/>
      <w:r w:rsidRPr="006A4DE4">
        <w:rPr>
          <w:rFonts w:ascii="Times New Roman" w:hAnsi="Times New Roman" w:cs="Times New Roman"/>
          <w:sz w:val="24"/>
          <w:szCs w:val="24"/>
        </w:rPr>
        <w:t xml:space="preserve"> protections. Yet, DOT offers no examples of why these protections sh</w:t>
      </w:r>
      <w:r w:rsidR="00B85AD8" w:rsidRPr="006A4DE4">
        <w:rPr>
          <w:rFonts w:ascii="Times New Roman" w:hAnsi="Times New Roman" w:cs="Times New Roman"/>
          <w:sz w:val="24"/>
          <w:szCs w:val="24"/>
        </w:rPr>
        <w:t>ould not be required</w:t>
      </w:r>
      <w:r w:rsidRPr="006A4DE4">
        <w:rPr>
          <w:rFonts w:ascii="Times New Roman" w:hAnsi="Times New Roman" w:cs="Times New Roman"/>
          <w:sz w:val="24"/>
          <w:szCs w:val="24"/>
        </w:rPr>
        <w:t xml:space="preserve">. </w:t>
      </w:r>
      <w:r w:rsidR="00B85AD8" w:rsidRPr="006A4DE4">
        <w:rPr>
          <w:rFonts w:ascii="Times New Roman" w:hAnsi="Times New Roman" w:cs="Times New Roman"/>
          <w:sz w:val="24"/>
          <w:szCs w:val="24"/>
        </w:rPr>
        <w:t xml:space="preserve">DOT is largely silent, whereas all CEQ offers </w:t>
      </w:r>
      <w:r w:rsidRPr="006A4DE4">
        <w:rPr>
          <w:rFonts w:ascii="Times New Roman" w:hAnsi="Times New Roman" w:cs="Times New Roman"/>
          <w:sz w:val="24"/>
          <w:szCs w:val="24"/>
        </w:rPr>
        <w:t>to support this major change is the conclusory statement that it is “intended to improve communication between proponents of a proposal for agency action and the officials tasked with evaluating the effects of the action and reasonable alternatives, to improve the quality of NEPA documents and efficiency of the NEPA process.”  This unsupported statement alone is insufficient</w:t>
      </w:r>
      <w:r w:rsidR="00E96413" w:rsidRPr="006A4DE4">
        <w:rPr>
          <w:rFonts w:ascii="Times New Roman" w:hAnsi="Times New Roman" w:cs="Times New Roman"/>
          <w:sz w:val="24"/>
          <w:szCs w:val="24"/>
        </w:rPr>
        <w:t>.</w:t>
      </w:r>
    </w:p>
    <w:p w14:paraId="3E3C61E4" w14:textId="594C7CFB" w:rsidR="00251EB5" w:rsidRPr="006A4DE4" w:rsidRDefault="00251EB5" w:rsidP="00E96413">
      <w:pPr>
        <w:ind w:firstLine="720"/>
        <w:rPr>
          <w:rFonts w:ascii="Times New Roman" w:hAnsi="Times New Roman" w:cs="Times New Roman"/>
          <w:sz w:val="24"/>
          <w:szCs w:val="24"/>
        </w:rPr>
      </w:pPr>
      <w:r w:rsidRPr="006A4DE4">
        <w:rPr>
          <w:rFonts w:ascii="Times New Roman" w:hAnsi="Times New Roman" w:cs="Times New Roman"/>
          <w:sz w:val="24"/>
          <w:szCs w:val="24"/>
        </w:rPr>
        <w:t xml:space="preserve">Available evidence in fact shows that delegation of authority impairs the quality of NEPA documents and, at least if sufficient oversight is conducted, the efficiency of the NEPA process. For example, there have been multiple instances in which the process has been delayed by an applicant that “does not initially provide the quantity or quality of information necessary for resource agencies’ field office staff to complete permits and consultations. These staff must then request additional information from the lead federal agency or project sponsor, extending the permit or consultation reviews.”  The Nuclear Regulatory Commission (NRC) provides a useful example. NRC currently has applicants prepare the environmental report.  Private applicants fail to include everything that is needed, requiring significant effort from the agency to badger them to include it, thereby opening the door to more litigation when the public sees the document and finds more holes in the review.  </w:t>
      </w:r>
    </w:p>
    <w:p w14:paraId="5ADC5B52" w14:textId="1C6CF47A" w:rsidR="004016ED" w:rsidRPr="006A4DE4" w:rsidRDefault="00E45D32" w:rsidP="00F436FF">
      <w:pPr>
        <w:pStyle w:val="Heading1"/>
        <w:numPr>
          <w:ilvl w:val="0"/>
          <w:numId w:val="14"/>
        </w:numPr>
        <w:spacing w:before="120" w:after="120" w:line="240" w:lineRule="auto"/>
        <w:ind w:hanging="720"/>
        <w:rPr>
          <w:rFonts w:ascii="Times New Roman" w:hAnsi="Times New Roman" w:cs="Times New Roman"/>
          <w:color w:val="000000" w:themeColor="text1"/>
          <w:sz w:val="24"/>
          <w:szCs w:val="24"/>
        </w:rPr>
      </w:pPr>
      <w:r w:rsidRPr="006A4DE4">
        <w:rPr>
          <w:rFonts w:ascii="Times New Roman" w:eastAsia="Times New Roman" w:hAnsi="Times New Roman" w:cs="Times New Roman"/>
          <w:b/>
          <w:bCs/>
          <w:color w:val="000000" w:themeColor="text1"/>
          <w:sz w:val="24"/>
          <w:szCs w:val="24"/>
        </w:rPr>
        <w:t xml:space="preserve">The </w:t>
      </w:r>
      <w:r w:rsidR="00F436FF" w:rsidRPr="006A4DE4">
        <w:rPr>
          <w:rFonts w:ascii="Times New Roman" w:eastAsia="Times New Roman" w:hAnsi="Times New Roman" w:cs="Times New Roman"/>
          <w:b/>
          <w:bCs/>
          <w:color w:val="000000" w:themeColor="text1"/>
          <w:sz w:val="24"/>
          <w:szCs w:val="24"/>
        </w:rPr>
        <w:t>P</w:t>
      </w:r>
      <w:r w:rsidRPr="006A4DE4">
        <w:rPr>
          <w:rFonts w:ascii="Times New Roman" w:eastAsia="Times New Roman" w:hAnsi="Times New Roman" w:cs="Times New Roman"/>
          <w:b/>
          <w:bCs/>
          <w:color w:val="000000" w:themeColor="text1"/>
          <w:sz w:val="24"/>
          <w:szCs w:val="24"/>
        </w:rPr>
        <w:t xml:space="preserve">roposed </w:t>
      </w:r>
      <w:r w:rsidR="00F436FF" w:rsidRPr="006A4DE4">
        <w:rPr>
          <w:rFonts w:ascii="Times New Roman" w:eastAsia="Times New Roman" w:hAnsi="Times New Roman" w:cs="Times New Roman"/>
          <w:b/>
          <w:bCs/>
          <w:color w:val="000000" w:themeColor="text1"/>
          <w:sz w:val="24"/>
          <w:szCs w:val="24"/>
        </w:rPr>
        <w:t>R</w:t>
      </w:r>
      <w:r w:rsidRPr="006A4DE4">
        <w:rPr>
          <w:rFonts w:ascii="Times New Roman" w:eastAsia="Times New Roman" w:hAnsi="Times New Roman" w:cs="Times New Roman"/>
          <w:b/>
          <w:bCs/>
          <w:color w:val="000000" w:themeColor="text1"/>
          <w:sz w:val="24"/>
          <w:szCs w:val="24"/>
        </w:rPr>
        <w:t xml:space="preserve">ule </w:t>
      </w:r>
      <w:r w:rsidR="00DF26E7" w:rsidRPr="006A4DE4">
        <w:rPr>
          <w:rFonts w:ascii="Times New Roman" w:eastAsia="Times New Roman" w:hAnsi="Times New Roman" w:cs="Times New Roman"/>
          <w:b/>
          <w:bCs/>
          <w:color w:val="000000" w:themeColor="text1"/>
          <w:sz w:val="24"/>
          <w:szCs w:val="24"/>
        </w:rPr>
        <w:t>perm</w:t>
      </w:r>
      <w:r w:rsidR="002100BB" w:rsidRPr="006A4DE4">
        <w:rPr>
          <w:rFonts w:ascii="Times New Roman" w:eastAsia="Times New Roman" w:hAnsi="Times New Roman" w:cs="Times New Roman"/>
          <w:b/>
          <w:bCs/>
          <w:color w:val="000000" w:themeColor="text1"/>
          <w:sz w:val="24"/>
          <w:szCs w:val="24"/>
        </w:rPr>
        <w:t xml:space="preserve">its </w:t>
      </w:r>
      <w:r w:rsidR="004016ED" w:rsidRPr="006A4DE4">
        <w:rPr>
          <w:rFonts w:ascii="Times New Roman" w:eastAsia="Times New Roman" w:hAnsi="Times New Roman" w:cs="Times New Roman"/>
          <w:b/>
          <w:bCs/>
          <w:color w:val="000000" w:themeColor="text1"/>
          <w:sz w:val="24"/>
          <w:szCs w:val="24"/>
        </w:rPr>
        <w:t>agencies</w:t>
      </w:r>
      <w:r w:rsidR="002100BB" w:rsidRPr="006A4DE4">
        <w:rPr>
          <w:rFonts w:ascii="Times New Roman" w:eastAsia="Times New Roman" w:hAnsi="Times New Roman" w:cs="Times New Roman"/>
          <w:b/>
          <w:bCs/>
          <w:color w:val="000000" w:themeColor="text1"/>
          <w:sz w:val="24"/>
          <w:szCs w:val="24"/>
        </w:rPr>
        <w:t xml:space="preserve"> preparing an Environmental </w:t>
      </w:r>
      <w:r w:rsidR="004016ED" w:rsidRPr="006A4DE4">
        <w:rPr>
          <w:rFonts w:ascii="Times New Roman" w:eastAsia="Times New Roman" w:hAnsi="Times New Roman" w:cs="Times New Roman"/>
          <w:b/>
          <w:bCs/>
          <w:color w:val="000000" w:themeColor="text1"/>
          <w:sz w:val="24"/>
          <w:szCs w:val="24"/>
        </w:rPr>
        <w:t>Assessment</w:t>
      </w:r>
      <w:r w:rsidR="002100BB" w:rsidRPr="006A4DE4">
        <w:rPr>
          <w:rFonts w:ascii="Times New Roman" w:eastAsia="Times New Roman" w:hAnsi="Times New Roman" w:cs="Times New Roman"/>
          <w:b/>
          <w:bCs/>
          <w:color w:val="000000" w:themeColor="text1"/>
          <w:sz w:val="24"/>
          <w:szCs w:val="24"/>
        </w:rPr>
        <w:t xml:space="preserve"> to only </w:t>
      </w:r>
      <w:r w:rsidR="004016ED" w:rsidRPr="006A4DE4">
        <w:rPr>
          <w:rFonts w:ascii="Times New Roman" w:eastAsia="Times New Roman" w:hAnsi="Times New Roman" w:cs="Times New Roman"/>
          <w:b/>
          <w:bCs/>
          <w:color w:val="000000" w:themeColor="text1"/>
          <w:sz w:val="24"/>
          <w:szCs w:val="24"/>
        </w:rPr>
        <w:t>examine</w:t>
      </w:r>
      <w:r w:rsidR="002100BB" w:rsidRPr="006A4DE4">
        <w:rPr>
          <w:rFonts w:ascii="Times New Roman" w:eastAsia="Times New Roman" w:hAnsi="Times New Roman" w:cs="Times New Roman"/>
          <w:b/>
          <w:bCs/>
          <w:color w:val="000000" w:themeColor="text1"/>
          <w:sz w:val="24"/>
          <w:szCs w:val="24"/>
        </w:rPr>
        <w:t xml:space="preserve"> a preferred alternative and a </w:t>
      </w:r>
      <w:r w:rsidR="004016ED" w:rsidRPr="006A4DE4">
        <w:rPr>
          <w:rFonts w:ascii="Times New Roman" w:eastAsia="Times New Roman" w:hAnsi="Times New Roman" w:cs="Times New Roman"/>
          <w:b/>
          <w:bCs/>
          <w:color w:val="000000" w:themeColor="text1"/>
          <w:sz w:val="24"/>
          <w:szCs w:val="24"/>
        </w:rPr>
        <w:t>non-action</w:t>
      </w:r>
      <w:r w:rsidR="002100BB" w:rsidRPr="006A4DE4">
        <w:rPr>
          <w:rFonts w:ascii="Times New Roman" w:eastAsia="Times New Roman" w:hAnsi="Times New Roman" w:cs="Times New Roman"/>
          <w:b/>
          <w:bCs/>
          <w:color w:val="000000" w:themeColor="text1"/>
          <w:sz w:val="24"/>
          <w:szCs w:val="24"/>
        </w:rPr>
        <w:t xml:space="preserve"> alternative, which undermines the hard look review required under NEPA </w:t>
      </w:r>
      <w:r w:rsidR="00A43787" w:rsidRPr="006A4DE4">
        <w:rPr>
          <w:rFonts w:ascii="Times New Roman" w:hAnsi="Times New Roman" w:cs="Times New Roman"/>
          <w:color w:val="000000" w:themeColor="text1"/>
          <w:sz w:val="24"/>
          <w:szCs w:val="24"/>
        </w:rPr>
        <w:t xml:space="preserve"> </w:t>
      </w:r>
    </w:p>
    <w:p w14:paraId="6956553D" w14:textId="1FD8CA7A" w:rsidR="00A43787" w:rsidRPr="006A4DE4" w:rsidRDefault="00A43787" w:rsidP="004016ED">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Under NEPA, an EA’s purpose is to aid the agency in developing sufficient information about potential project impacts and alternatives before selecting a preferred alternative.  The EA is a major artery to the heart of NEPA: the EIS. The EA has two functions. The EA evaluates potential environmental impacts of a proposal to determine whether an EIS should be prepared by the agency. Independent of this purpose, NEPA also requires an EA to consider alternatives. Pub. Employees for </w:t>
      </w:r>
      <w:proofErr w:type="spellStart"/>
      <w:r w:rsidRPr="006A4DE4">
        <w:rPr>
          <w:rFonts w:ascii="Times New Roman" w:hAnsi="Times New Roman" w:cs="Times New Roman"/>
          <w:color w:val="000000" w:themeColor="text1"/>
          <w:sz w:val="24"/>
          <w:szCs w:val="24"/>
        </w:rPr>
        <w:t>Envtl</w:t>
      </w:r>
      <w:proofErr w:type="spellEnd"/>
      <w:r w:rsidRPr="006A4DE4">
        <w:rPr>
          <w:rFonts w:ascii="Times New Roman" w:hAnsi="Times New Roman" w:cs="Times New Roman"/>
          <w:color w:val="000000" w:themeColor="text1"/>
          <w:sz w:val="24"/>
          <w:szCs w:val="24"/>
        </w:rPr>
        <w:t>. Responsibility v. United States Fish &amp; Wildlife Serv., 177 F. Supp. 3d 146, 157 (D.D.C. 2016) (“NEPA's requirement to consider alternatives is “an independent requirement of an EA, separate from its function to provide evidence that there is no significant impact”). The EA “should set out relevant information to help the decisionmaker choose a policy option (and to help others evaluate that choice), and not simply to provide a justification as to why a choice is permissible (</w:t>
      </w:r>
      <w:proofErr w:type="gramStart"/>
      <w:r w:rsidRPr="006A4DE4">
        <w:rPr>
          <w:rFonts w:ascii="Times New Roman" w:hAnsi="Times New Roman" w:cs="Times New Roman"/>
          <w:color w:val="000000" w:themeColor="text1"/>
          <w:sz w:val="24"/>
          <w:szCs w:val="24"/>
        </w:rPr>
        <w:t>i.e.</w:t>
      </w:r>
      <w:proofErr w:type="gramEnd"/>
      <w:r w:rsidRPr="006A4DE4">
        <w:rPr>
          <w:rFonts w:ascii="Times New Roman" w:hAnsi="Times New Roman" w:cs="Times New Roman"/>
          <w:color w:val="000000" w:themeColor="text1"/>
          <w:sz w:val="24"/>
          <w:szCs w:val="24"/>
        </w:rPr>
        <w:t xml:space="preserve"> why there is no significant impact). Sierra Club v. Watkins, 808 F. Supp. 852, 870 (D.D.C. 1991). Together, these procedural obligations ensure that the EA provides sufficient information to assist the decision-maker during the NEPA process.</w:t>
      </w:r>
    </w:p>
    <w:p w14:paraId="179497A2" w14:textId="38B27035" w:rsidR="00A43787" w:rsidRPr="006A4DE4" w:rsidRDefault="00A43787" w:rsidP="00B46423">
      <w:pPr>
        <w:pStyle w:val="Heading2"/>
        <w:numPr>
          <w:ilvl w:val="0"/>
          <w:numId w:val="38"/>
        </w:numPr>
        <w:spacing w:before="120" w:after="120" w:line="240" w:lineRule="auto"/>
        <w:ind w:left="1440" w:hanging="720"/>
        <w:rPr>
          <w:rFonts w:ascii="Times New Roman" w:hAnsi="Times New Roman" w:cs="Times New Roman"/>
          <w:b/>
          <w:bCs/>
          <w:color w:val="000000" w:themeColor="text1"/>
          <w:sz w:val="24"/>
          <w:szCs w:val="24"/>
        </w:rPr>
      </w:pPr>
      <w:r w:rsidRPr="006A4DE4">
        <w:rPr>
          <w:rFonts w:ascii="Times New Roman" w:hAnsi="Times New Roman" w:cs="Times New Roman"/>
          <w:b/>
          <w:bCs/>
          <w:color w:val="000000" w:themeColor="text1"/>
          <w:sz w:val="24"/>
          <w:szCs w:val="24"/>
        </w:rPr>
        <w:t>DOT’s modification to the EA’s alternatives analysis severely limits the range of alternatives to consider.</w:t>
      </w:r>
    </w:p>
    <w:p w14:paraId="3A89E044" w14:textId="77777777" w:rsidR="00A43787" w:rsidRPr="006A4DE4" w:rsidRDefault="00A43787" w:rsidP="004016ED">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Under DOT’s Proposed Rule, the agency plans modify its alternative’s analysis in the EA by restricting the analysis to two alternatives. The two alternatives to be considered under the proposed rule are the agency’s “preferred alternative” and the “no action” alternative. 85 Fed. Reg. 74640, 74648 (Nov. 23, 2020). This does not facilitate a reasoned analysis. </w:t>
      </w:r>
    </w:p>
    <w:p w14:paraId="566D764E" w14:textId="77777777" w:rsidR="00A43787" w:rsidRPr="006A4DE4" w:rsidRDefault="00A43787" w:rsidP="00A43787">
      <w:pPr>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       NEPA sets out clear requirements to ensure the agency’s performs a thorough alternatives analysis when preparing an EA. An EA should “study, develop, and describe appropriate alternatives to recommended courses of action in any proposal which involves unresolved conflicts concerning alternative uses of available resources.” 40 C.F.R.§ 1501.5; 42 U.S.C. § 4332(E). In both the EA or the EIS, NEPA requires “the agency to give full and meaningful consideration to all reasonable alternatives.” Friends of Animals v. Sparks, 200 F. Supp. 3d 1114, 1118 (D. Mont. 2016).  Reasonable alternatives include an alternative that it is “objectively feasible” and is “reasonable in light of [the agency's] objectives.” Myersville Citizens for a Rural </w:t>
      </w:r>
      <w:proofErr w:type="spellStart"/>
      <w:r w:rsidRPr="006A4DE4">
        <w:rPr>
          <w:rFonts w:ascii="Times New Roman" w:hAnsi="Times New Roman" w:cs="Times New Roman"/>
          <w:color w:val="000000" w:themeColor="text1"/>
          <w:sz w:val="24"/>
          <w:szCs w:val="24"/>
        </w:rPr>
        <w:t>Cmty</w:t>
      </w:r>
      <w:proofErr w:type="spellEnd"/>
      <w:r w:rsidRPr="006A4DE4">
        <w:rPr>
          <w:rFonts w:ascii="Times New Roman" w:hAnsi="Times New Roman" w:cs="Times New Roman"/>
          <w:color w:val="000000" w:themeColor="text1"/>
          <w:sz w:val="24"/>
          <w:szCs w:val="24"/>
        </w:rPr>
        <w:t xml:space="preserve">., Inc. v. F.E.R.C., 783 F.3d 1301, 1323 (D.C. Cir. 2015) (quoting Theodore Roosevelt Conservation </w:t>
      </w:r>
      <w:proofErr w:type="spellStart"/>
      <w:r w:rsidRPr="006A4DE4">
        <w:rPr>
          <w:rFonts w:ascii="Times New Roman" w:hAnsi="Times New Roman" w:cs="Times New Roman"/>
          <w:color w:val="000000" w:themeColor="text1"/>
          <w:sz w:val="24"/>
          <w:szCs w:val="24"/>
        </w:rPr>
        <w:t>P'ship</w:t>
      </w:r>
      <w:proofErr w:type="spellEnd"/>
      <w:r w:rsidRPr="006A4DE4">
        <w:rPr>
          <w:rFonts w:ascii="Times New Roman" w:hAnsi="Times New Roman" w:cs="Times New Roman"/>
          <w:color w:val="000000" w:themeColor="text1"/>
          <w:sz w:val="24"/>
          <w:szCs w:val="24"/>
        </w:rPr>
        <w:t>, 661 F.3d at 72 (alterations in original) (quoting City of Alexandria v. Slater, 198 F.3d 862, 867 (D.C.Cir.1999)).</w:t>
      </w:r>
    </w:p>
    <w:p w14:paraId="406073DD" w14:textId="77777777" w:rsidR="00A43787" w:rsidRPr="006A4DE4" w:rsidRDefault="00A43787" w:rsidP="004016ED">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DOT’s proposed rule on the alternatives to be considered in the EA constricts the agency’s ability to consider information necessary to select the appropriate alternative. DOT’s proposed rule shrinks the alternatives to review down to two: the one the agency prefers and the “no action” alternatives. 85 Fed. Reg. 74640, 74648 (Nov. 23, 2020). For </w:t>
      </w:r>
      <w:proofErr w:type="gramStart"/>
      <w:r w:rsidRPr="006A4DE4">
        <w:rPr>
          <w:rFonts w:ascii="Times New Roman" w:hAnsi="Times New Roman" w:cs="Times New Roman"/>
          <w:color w:val="000000" w:themeColor="text1"/>
          <w:sz w:val="24"/>
          <w:szCs w:val="24"/>
        </w:rPr>
        <w:t>alternatives</w:t>
      </w:r>
      <w:proofErr w:type="gramEnd"/>
      <w:r w:rsidRPr="006A4DE4">
        <w:rPr>
          <w:rFonts w:ascii="Times New Roman" w:hAnsi="Times New Roman" w:cs="Times New Roman"/>
          <w:color w:val="000000" w:themeColor="text1"/>
          <w:sz w:val="24"/>
          <w:szCs w:val="24"/>
        </w:rPr>
        <w:t xml:space="preserve"> the agency eliminated from the EA prior to assessing their environmental impacts the agency just needs to “provide a brief justification of these decisions.” 85 Fed. Reg. 74640, 74648. This does not reflect a “full and meaningful consideration of alternatives.” Friends of Animals v. Sparks, 200 F. Supp. 3d 1114, 1118 (D. Mont. 2016). Instead, the EA presents a false choice to the public in which the only alternatives to consider are the agency’s preferred alternative or the no action alternative. </w:t>
      </w:r>
    </w:p>
    <w:p w14:paraId="4F49C3D8" w14:textId="77777777" w:rsidR="00A43787" w:rsidRPr="006A4DE4" w:rsidRDefault="00A43787" w:rsidP="004016ED">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Under NEPA, an agency has a duty to consider all reasonable alternatives. </w:t>
      </w:r>
      <w:proofErr w:type="spellStart"/>
      <w:r w:rsidRPr="006A4DE4">
        <w:rPr>
          <w:rFonts w:ascii="Times New Roman" w:hAnsi="Times New Roman" w:cs="Times New Roman"/>
          <w:color w:val="000000" w:themeColor="text1"/>
          <w:sz w:val="24"/>
          <w:szCs w:val="24"/>
        </w:rPr>
        <w:t>Envtl</w:t>
      </w:r>
      <w:proofErr w:type="spellEnd"/>
      <w:r w:rsidRPr="006A4DE4">
        <w:rPr>
          <w:rFonts w:ascii="Times New Roman" w:hAnsi="Times New Roman" w:cs="Times New Roman"/>
          <w:color w:val="000000" w:themeColor="text1"/>
          <w:sz w:val="24"/>
          <w:szCs w:val="24"/>
        </w:rPr>
        <w:t xml:space="preserve">. Prot. Info. Ctr. v. U.S. Forest Serv., 234 F. </w:t>
      </w:r>
      <w:proofErr w:type="spellStart"/>
      <w:r w:rsidRPr="006A4DE4">
        <w:rPr>
          <w:rFonts w:ascii="Times New Roman" w:hAnsi="Times New Roman" w:cs="Times New Roman"/>
          <w:color w:val="000000" w:themeColor="text1"/>
          <w:sz w:val="24"/>
          <w:szCs w:val="24"/>
        </w:rPr>
        <w:t>App'x</w:t>
      </w:r>
      <w:proofErr w:type="spellEnd"/>
      <w:r w:rsidRPr="006A4DE4">
        <w:rPr>
          <w:rFonts w:ascii="Times New Roman" w:hAnsi="Times New Roman" w:cs="Times New Roman"/>
          <w:color w:val="000000" w:themeColor="text1"/>
          <w:sz w:val="24"/>
          <w:szCs w:val="24"/>
        </w:rPr>
        <w:t xml:space="preserve"> 440, 443 (9th Cir. </w:t>
      </w:r>
      <w:proofErr w:type="gramStart"/>
      <w:r w:rsidRPr="006A4DE4">
        <w:rPr>
          <w:rFonts w:ascii="Times New Roman" w:hAnsi="Times New Roman" w:cs="Times New Roman"/>
          <w:color w:val="000000" w:themeColor="text1"/>
          <w:sz w:val="24"/>
          <w:szCs w:val="24"/>
        </w:rPr>
        <w:t>2007)(</w:t>
      </w:r>
      <w:proofErr w:type="gramEnd"/>
      <w:r w:rsidRPr="006A4DE4">
        <w:rPr>
          <w:rFonts w:ascii="Times New Roman" w:hAnsi="Times New Roman" w:cs="Times New Roman"/>
          <w:color w:val="000000" w:themeColor="text1"/>
          <w:sz w:val="24"/>
          <w:szCs w:val="24"/>
        </w:rPr>
        <w:t xml:space="preserve"> noting that “in every case, the agency's duty under NEPA remains to consider ‘all reasonable alternatives’”)  (quoting Native Ecosystems Council v. USFS, 428 F.3d 1233, 1238 (9th Cir.2005)). This means reviewing alternatives that are feasible and meet the purpose and need for the project regardless of how many there are. Narrowing the range of alternatives to simply two for every single project forces an agency to eliminate every other reasonable alternative from consideration in the EA regardless of the complexity of the project, public opposition, or a host of many influential factors. Alternatives that the agency does not prefer will not be reviewed in the EA to determine their potential environmental impacts despite the agency’s requirement to “discuss…the environmental impacts of the proposed action and alternatives.” 40 C.F.R. §1501.5(c)(2). As a </w:t>
      </w:r>
      <w:proofErr w:type="gramStart"/>
      <w:r w:rsidRPr="006A4DE4">
        <w:rPr>
          <w:rFonts w:ascii="Times New Roman" w:hAnsi="Times New Roman" w:cs="Times New Roman"/>
          <w:color w:val="000000" w:themeColor="text1"/>
          <w:sz w:val="24"/>
          <w:szCs w:val="24"/>
        </w:rPr>
        <w:t>result</w:t>
      </w:r>
      <w:proofErr w:type="gramEnd"/>
      <w:r w:rsidRPr="006A4DE4">
        <w:rPr>
          <w:rFonts w:ascii="Times New Roman" w:hAnsi="Times New Roman" w:cs="Times New Roman"/>
          <w:color w:val="000000" w:themeColor="text1"/>
          <w:sz w:val="24"/>
          <w:szCs w:val="24"/>
        </w:rPr>
        <w:t xml:space="preserve"> the agency will fail to “study, develop, and describe” sufficient alternatives to allow for an informed decision-making process to determine which project minimizes environmental impacts. 42 U.S.C. § 4332(E). A comparative assessment of the environmental impacts of each reasonable alternative is necessary to fully determine what is the appropriate course of action to take. A one-size fits all model for the range of alternatives will not result in informed decision-making.</w:t>
      </w:r>
    </w:p>
    <w:p w14:paraId="5BEB1826" w14:textId="48FCB2DE" w:rsidR="00A43787" w:rsidRPr="006A4DE4" w:rsidRDefault="00A43787" w:rsidP="00A43787">
      <w:pPr>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 </w:t>
      </w:r>
      <w:r w:rsidR="00F002AA" w:rsidRPr="006A4DE4">
        <w:rPr>
          <w:rFonts w:ascii="Times New Roman" w:hAnsi="Times New Roman" w:cs="Times New Roman"/>
          <w:color w:val="000000" w:themeColor="text1"/>
          <w:sz w:val="24"/>
          <w:szCs w:val="24"/>
        </w:rPr>
        <w:tab/>
      </w:r>
      <w:r w:rsidRPr="006A4DE4">
        <w:rPr>
          <w:rFonts w:ascii="Times New Roman" w:hAnsi="Times New Roman" w:cs="Times New Roman"/>
          <w:color w:val="000000" w:themeColor="text1"/>
          <w:sz w:val="24"/>
          <w:szCs w:val="24"/>
        </w:rPr>
        <w:t xml:space="preserve">The EA’s alternatives analysis permits the agency to withhold information from the public and engage in a superficial review of rejected alternatives. Under the proposed rule, for rejected alternatives, the agency only needs to provide a “brief description” to justify why the alternative was rejected. 85 Fed. Reg. 74640, 74648 (Nov. 23, 2020).  This “cursory dismissal of a proposed alternative unsupported by agency analysis, does not help an agency satisfy its NEPA duty to consider a reasonable range of alternatives.” </w:t>
      </w:r>
      <w:proofErr w:type="spellStart"/>
      <w:r w:rsidRPr="006A4DE4">
        <w:rPr>
          <w:rFonts w:ascii="Times New Roman" w:hAnsi="Times New Roman" w:cs="Times New Roman"/>
          <w:color w:val="000000" w:themeColor="text1"/>
          <w:sz w:val="24"/>
          <w:szCs w:val="24"/>
        </w:rPr>
        <w:t>Envtl</w:t>
      </w:r>
      <w:proofErr w:type="spellEnd"/>
      <w:r w:rsidRPr="006A4DE4">
        <w:rPr>
          <w:rFonts w:ascii="Times New Roman" w:hAnsi="Times New Roman" w:cs="Times New Roman"/>
          <w:color w:val="000000" w:themeColor="text1"/>
          <w:sz w:val="24"/>
          <w:szCs w:val="24"/>
        </w:rPr>
        <w:t xml:space="preserve">. Prot. Info. Ctr. v. U.S. Forest Serv., 234 F. </w:t>
      </w:r>
      <w:proofErr w:type="spellStart"/>
      <w:r w:rsidRPr="006A4DE4">
        <w:rPr>
          <w:rFonts w:ascii="Times New Roman" w:hAnsi="Times New Roman" w:cs="Times New Roman"/>
          <w:color w:val="000000" w:themeColor="text1"/>
          <w:sz w:val="24"/>
          <w:szCs w:val="24"/>
        </w:rPr>
        <w:t>App'x</w:t>
      </w:r>
      <w:proofErr w:type="spellEnd"/>
      <w:r w:rsidRPr="006A4DE4">
        <w:rPr>
          <w:rFonts w:ascii="Times New Roman" w:hAnsi="Times New Roman" w:cs="Times New Roman"/>
          <w:color w:val="000000" w:themeColor="text1"/>
          <w:sz w:val="24"/>
          <w:szCs w:val="24"/>
        </w:rPr>
        <w:t xml:space="preserve"> 440, 443 (9th Cir. 2007). An agency is required to “study, develop, and describe” reasonable alternatives. 42 U.S.C. § 4332(E). This is what allows for a deliberative process during the environmental review. Authorizing the agency to provide hasty statements for rejecting an alternative without requiring the agency to provide any evidence to support its position does not facilitate meaningful public involvement nor does it foster a deliberative review process; two crucial principles essential to NEPA. </w:t>
      </w:r>
    </w:p>
    <w:p w14:paraId="650A4C1C" w14:textId="2166BF33" w:rsidR="00A43787" w:rsidRPr="006A4DE4" w:rsidRDefault="00A43787" w:rsidP="00B46423">
      <w:pPr>
        <w:pStyle w:val="Heading2"/>
        <w:numPr>
          <w:ilvl w:val="0"/>
          <w:numId w:val="38"/>
        </w:numPr>
        <w:spacing w:before="120" w:after="120" w:line="240" w:lineRule="auto"/>
        <w:ind w:left="1440" w:hanging="720"/>
        <w:rPr>
          <w:rFonts w:ascii="Times New Roman" w:hAnsi="Times New Roman" w:cs="Times New Roman"/>
          <w:b/>
          <w:bCs/>
          <w:color w:val="000000" w:themeColor="text1"/>
          <w:sz w:val="24"/>
          <w:szCs w:val="24"/>
        </w:rPr>
      </w:pPr>
      <w:r w:rsidRPr="006A4DE4">
        <w:rPr>
          <w:rFonts w:ascii="Times New Roman" w:hAnsi="Times New Roman" w:cs="Times New Roman"/>
          <w:b/>
          <w:bCs/>
          <w:color w:val="000000" w:themeColor="text1"/>
          <w:sz w:val="24"/>
          <w:szCs w:val="24"/>
        </w:rPr>
        <w:t>The proposed rule limits the environmental impacts considered in an EA for the preferred alternative.</w:t>
      </w:r>
    </w:p>
    <w:p w14:paraId="5716B400" w14:textId="77777777" w:rsidR="00A43787" w:rsidRPr="006A4DE4" w:rsidRDefault="00A43787" w:rsidP="00A43787">
      <w:pPr>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The proposed rule limits the scope of environmental impacts to be considered for the preferred alternative based on non-environmental factors. An EA is prepared when “the significance of the [environmental] effect is unknown” to assist with agency planning and decision-making. 40 C.F.R. §1501.5. An EA shall “discuss the environmental impacts of the proposed action.” 40 C.F.R. §1501.5. But DOT’s new rule would limit the scope of impacts to “a degree commensurate with the nature of the proposed action and the OA’s experience with the potential environmental impacts of similar projects.” 85 Fed. Reg. 74640, 74648 (Nov. 23, 2020). These new conditions are vague qualifications that move the focus away from what is central: the potential environmental impacts the project may produce. The EA is meant to assess unknown effects thus the “nature” or the “OA’s experience” provide little insight into what impacts are important to consider. Limiting the impacts to be reviewed based on the “nature” of the project or the “OA’s experience” increases the likelihood that unknown impacts will be overlooked. DOT fails to provide any justification for why reducing the range of environmental impacts to review for the preferred alternative advances informed decision-making. </w:t>
      </w:r>
    </w:p>
    <w:p w14:paraId="1F5AC9E9" w14:textId="17213BDF" w:rsidR="00E45D32" w:rsidRPr="006A4DE4" w:rsidRDefault="00E45D32" w:rsidP="007A4F6D">
      <w:pPr>
        <w:pStyle w:val="Heading1"/>
        <w:numPr>
          <w:ilvl w:val="0"/>
          <w:numId w:val="14"/>
        </w:numPr>
        <w:ind w:hanging="720"/>
        <w:rPr>
          <w:rFonts w:ascii="Times New Roman" w:eastAsia="Times New Roman" w:hAnsi="Times New Roman" w:cs="Times New Roman"/>
          <w:b/>
          <w:bCs/>
          <w:color w:val="000000" w:themeColor="text1"/>
          <w:sz w:val="24"/>
          <w:szCs w:val="24"/>
        </w:rPr>
      </w:pPr>
      <w:r w:rsidRPr="006A4DE4">
        <w:rPr>
          <w:rFonts w:ascii="Times New Roman" w:eastAsia="Times New Roman" w:hAnsi="Times New Roman" w:cs="Times New Roman"/>
          <w:b/>
          <w:bCs/>
          <w:color w:val="000000" w:themeColor="text1"/>
          <w:sz w:val="24"/>
          <w:szCs w:val="24"/>
        </w:rPr>
        <w:t>The proposed rule’s categorical exclusions are unlawful</w:t>
      </w:r>
    </w:p>
    <w:p w14:paraId="0846F76A" w14:textId="2EA984FB" w:rsidR="002032EC" w:rsidRPr="006A4DE4" w:rsidRDefault="00142158" w:rsidP="00142158">
      <w:pPr>
        <w:pStyle w:val="Heading2"/>
        <w:numPr>
          <w:ilvl w:val="0"/>
          <w:numId w:val="36"/>
        </w:numPr>
        <w:ind w:left="1440" w:hanging="720"/>
        <w:rPr>
          <w:rFonts w:ascii="Times New Roman" w:eastAsia="Times New Roman" w:hAnsi="Times New Roman" w:cs="Times New Roman"/>
          <w:b/>
          <w:bCs/>
          <w:color w:val="000000" w:themeColor="text1"/>
          <w:sz w:val="24"/>
          <w:szCs w:val="24"/>
        </w:rPr>
      </w:pPr>
      <w:r w:rsidRPr="006A4DE4">
        <w:rPr>
          <w:rFonts w:ascii="Times New Roman" w:eastAsia="Times New Roman" w:hAnsi="Times New Roman" w:cs="Times New Roman"/>
          <w:b/>
          <w:bCs/>
          <w:color w:val="000000" w:themeColor="text1"/>
          <w:sz w:val="24"/>
          <w:szCs w:val="24"/>
        </w:rPr>
        <w:t xml:space="preserve">The </w:t>
      </w:r>
      <w:r w:rsidR="00086CA2" w:rsidRPr="006A4DE4">
        <w:rPr>
          <w:rFonts w:ascii="Times New Roman" w:eastAsia="Times New Roman" w:hAnsi="Times New Roman" w:cs="Times New Roman"/>
          <w:b/>
          <w:bCs/>
          <w:color w:val="000000" w:themeColor="text1"/>
          <w:sz w:val="24"/>
          <w:szCs w:val="24"/>
        </w:rPr>
        <w:t>Proposed</w:t>
      </w:r>
      <w:r w:rsidRPr="006A4DE4">
        <w:rPr>
          <w:rFonts w:ascii="Times New Roman" w:eastAsia="Times New Roman" w:hAnsi="Times New Roman" w:cs="Times New Roman"/>
          <w:b/>
          <w:bCs/>
          <w:color w:val="000000" w:themeColor="text1"/>
          <w:sz w:val="24"/>
          <w:szCs w:val="24"/>
        </w:rPr>
        <w:t xml:space="preserve"> Rule’s expanded </w:t>
      </w:r>
      <w:r w:rsidR="00086CA2" w:rsidRPr="006A4DE4">
        <w:rPr>
          <w:rFonts w:ascii="Times New Roman" w:eastAsia="Times New Roman" w:hAnsi="Times New Roman" w:cs="Times New Roman"/>
          <w:b/>
          <w:bCs/>
          <w:color w:val="000000" w:themeColor="text1"/>
          <w:sz w:val="24"/>
          <w:szCs w:val="24"/>
        </w:rPr>
        <w:t xml:space="preserve">universe of “extraordinary circumstances” will permit the use of categorical exclusions for actions that have significant impacts </w:t>
      </w:r>
      <w:r w:rsidR="002032EC" w:rsidRPr="006A4DE4">
        <w:rPr>
          <w:rFonts w:ascii="Times New Roman" w:eastAsia="Times New Roman" w:hAnsi="Times New Roman" w:cs="Times New Roman"/>
          <w:b/>
          <w:bCs/>
          <w:color w:val="000000" w:themeColor="text1"/>
          <w:sz w:val="24"/>
          <w:szCs w:val="24"/>
        </w:rPr>
        <w:t xml:space="preserve"> </w:t>
      </w:r>
    </w:p>
    <w:p w14:paraId="258E5675" w14:textId="3582906F" w:rsidR="002032EC" w:rsidRPr="006A4DE4" w:rsidRDefault="00086CA2" w:rsidP="00142158">
      <w:pPr>
        <w:pStyle w:val="Heading3"/>
        <w:numPr>
          <w:ilvl w:val="0"/>
          <w:numId w:val="37"/>
        </w:numPr>
        <w:ind w:left="2160" w:hanging="720"/>
        <w:rPr>
          <w:rFonts w:ascii="Times New Roman" w:eastAsia="Times New Roman" w:hAnsi="Times New Roman" w:cs="Times New Roman"/>
          <w:b/>
          <w:bCs/>
          <w:color w:val="000000" w:themeColor="text1"/>
        </w:rPr>
      </w:pPr>
      <w:r w:rsidRPr="006A4DE4">
        <w:rPr>
          <w:rFonts w:ascii="Times New Roman" w:eastAsia="Times New Roman" w:hAnsi="Times New Roman" w:cs="Times New Roman"/>
          <w:b/>
          <w:bCs/>
          <w:color w:val="000000" w:themeColor="text1"/>
        </w:rPr>
        <w:t xml:space="preserve">The extraordinary circumstances provision applies to projects eligible for a categorical exclusion </w:t>
      </w:r>
    </w:p>
    <w:p w14:paraId="60977BC7" w14:textId="77777777" w:rsidR="002032EC" w:rsidRPr="006A4DE4" w:rsidRDefault="002032EC" w:rsidP="00793827">
      <w:pPr>
        <w:spacing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DOT’s modification to the extraordinary circumstances provision will weaken NEPA’s regulatory force for railroad, highway, and transit projects governed under 23 C.F.R. § 771.101 (Federal Railroad Administration, Federal Highway Administration, and Federal Transit Administration).  The White House Council on Environmental Quality’s NEPA framework allows an agency to exempt specific categories of actions from the preparation of an environmental assessment or environmental impact statement when “the agency has determined” that the action “normally do[es] not have a significant effect on the human environment.” 40 C.F.R. § 1508.1(d); </w:t>
      </w:r>
      <w:r w:rsidRPr="006A4DE4">
        <w:rPr>
          <w:rFonts w:ascii="Times New Roman" w:eastAsia="Times New Roman" w:hAnsi="Times New Roman" w:cs="Times New Roman"/>
          <w:i/>
          <w:iCs/>
          <w:color w:val="000000" w:themeColor="text1"/>
          <w:sz w:val="24"/>
          <w:szCs w:val="24"/>
        </w:rPr>
        <w:t xml:space="preserve">see also </w:t>
      </w:r>
      <w:r w:rsidRPr="006A4DE4">
        <w:rPr>
          <w:rFonts w:ascii="Times New Roman" w:eastAsia="Times New Roman" w:hAnsi="Times New Roman" w:cs="Times New Roman"/>
          <w:color w:val="000000" w:themeColor="text1"/>
          <w:sz w:val="24"/>
          <w:szCs w:val="24"/>
        </w:rPr>
        <w:t xml:space="preserve">§ 1501.4. Under this provision, an agency must also provide for an “extraordinary circumstances” limitation on the use of a categorical exclusion without environmental review. This is a precautionary measure used to prevent actions that were improperly classified as a CEs from escaping environmental review. This clause lists additional environmental impacts to be assessed before the agency may move forward with a categorical exclusion. 40 C.F.R. §1501.4. Where extraordinary circumstances (or what is referred to as an “unusual circumstance” in the surface transportation context, </w:t>
      </w:r>
      <w:r w:rsidRPr="006A4DE4">
        <w:rPr>
          <w:rFonts w:ascii="Times New Roman" w:eastAsia="Times New Roman" w:hAnsi="Times New Roman" w:cs="Times New Roman"/>
          <w:i/>
          <w:iCs/>
          <w:color w:val="000000" w:themeColor="text1"/>
          <w:sz w:val="24"/>
          <w:szCs w:val="24"/>
        </w:rPr>
        <w:t xml:space="preserve">see </w:t>
      </w:r>
      <w:r w:rsidRPr="006A4DE4">
        <w:rPr>
          <w:rFonts w:ascii="Times New Roman" w:eastAsia="Times New Roman" w:hAnsi="Times New Roman" w:cs="Times New Roman"/>
          <w:color w:val="000000" w:themeColor="text1"/>
          <w:sz w:val="24"/>
          <w:szCs w:val="24"/>
        </w:rPr>
        <w:t xml:space="preserve">23 C.F.R. Part 771 exist, the agency must conduct further environmental review beyond what is normally required for a categorical exclusion. Under the regulatory scheme, an action must be eligible for a categorical exclusion for the extraordinary circumstances analysis to become relevant. </w:t>
      </w:r>
    </w:p>
    <w:p w14:paraId="2E7460C1" w14:textId="77777777" w:rsidR="002032EC" w:rsidRPr="006A4DE4" w:rsidRDefault="002032EC" w:rsidP="008D5FFB">
      <w:pPr>
        <w:pStyle w:val="Heading3"/>
        <w:numPr>
          <w:ilvl w:val="0"/>
          <w:numId w:val="37"/>
        </w:numPr>
        <w:ind w:left="1440" w:hanging="720"/>
        <w:rPr>
          <w:rFonts w:ascii="Times New Roman" w:eastAsia="Times New Roman" w:hAnsi="Times New Roman" w:cs="Times New Roman"/>
          <w:b/>
          <w:bCs/>
          <w:color w:val="000000" w:themeColor="text1"/>
        </w:rPr>
      </w:pPr>
      <w:r w:rsidRPr="006A4DE4">
        <w:rPr>
          <w:rFonts w:ascii="Times New Roman" w:eastAsia="Times New Roman" w:hAnsi="Times New Roman" w:cs="Times New Roman"/>
          <w:b/>
          <w:bCs/>
          <w:color w:val="000000" w:themeColor="text1"/>
        </w:rPr>
        <w:t>The Federal Highway, Railroad, and Transit Administrations preclude the use of a categorical exclusion for actions that impact traffic and noise volumes</w:t>
      </w:r>
    </w:p>
    <w:p w14:paraId="41B08F53" w14:textId="77777777" w:rsidR="002032EC" w:rsidRPr="006A4DE4" w:rsidRDefault="002032EC" w:rsidP="00793827">
      <w:pPr>
        <w:spacing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Because the Federal Highway, Railroad, and Transit Administrations oversee projects that impact surface transportation infrastructure, these agencies typically encounter similar environmental impacts in the course of their work. As a result, they use the same NEPA implementing regulations to carry out projects. 23 C.F.R. Part 771 (prescribing NEPA procedures and policies for the “processing of highway, public transportation, and railroad actions”).  Under their NEPA framework, all three agencies prohibit the use of a categorical exclusion for actions that will “induce significant impacts to planned growth or land use for the area,” “have a significant impact on any natural, cultural, recreational, historic or other resource,” “involve significant air, noise, or water quality impacts,” “have significant impacts on travel patterns; or . . . either individually or cumulatively, have any significant environmental impacts.” 23 C.F.R.</w:t>
      </w:r>
      <w:r w:rsidRPr="006A4DE4">
        <w:rPr>
          <w:rFonts w:ascii="Times New Roman" w:hAnsi="Times New Roman" w:cs="Times New Roman"/>
          <w:color w:val="000000" w:themeColor="text1"/>
          <w:sz w:val="24"/>
          <w:szCs w:val="24"/>
          <w:shd w:val="clear" w:color="auto" w:fill="FFFFFF"/>
        </w:rPr>
        <w:t xml:space="preserve"> §§</w:t>
      </w:r>
      <w:r w:rsidRPr="006A4DE4">
        <w:rPr>
          <w:rFonts w:ascii="Times New Roman" w:eastAsia="Times New Roman" w:hAnsi="Times New Roman" w:cs="Times New Roman"/>
          <w:color w:val="000000" w:themeColor="text1"/>
          <w:sz w:val="24"/>
          <w:szCs w:val="24"/>
        </w:rPr>
        <w:t xml:space="preserve"> 771.116-.118. The operating logic behind this consensus shows that the agencies share a common understanding that the type of activities they perform do induce significant impacts on the natural and human environment </w:t>
      </w:r>
      <w:proofErr w:type="gramStart"/>
      <w:r w:rsidRPr="006A4DE4">
        <w:rPr>
          <w:rFonts w:ascii="Times New Roman" w:eastAsia="Times New Roman" w:hAnsi="Times New Roman" w:cs="Times New Roman"/>
          <w:color w:val="000000" w:themeColor="text1"/>
          <w:sz w:val="24"/>
          <w:szCs w:val="24"/>
        </w:rPr>
        <w:t>e.g.</w:t>
      </w:r>
      <w:proofErr w:type="gramEnd"/>
      <w:r w:rsidRPr="006A4DE4">
        <w:rPr>
          <w:rFonts w:ascii="Times New Roman" w:eastAsia="Times New Roman" w:hAnsi="Times New Roman" w:cs="Times New Roman"/>
          <w:color w:val="000000" w:themeColor="text1"/>
          <w:sz w:val="24"/>
          <w:szCs w:val="24"/>
        </w:rPr>
        <w:t xml:space="preserve"> planned growth, air, noise, and water impacts, and traffic patterns, that warrant the hard look that NEPA requires. Therefore, actions with these types of impacts are preemptively denied categorical exclusion status and must be processed using an Environmental Assessment or EIS.</w:t>
      </w:r>
    </w:p>
    <w:p w14:paraId="2D773A5F" w14:textId="10CA58E4" w:rsidR="002032EC" w:rsidRPr="006A4DE4" w:rsidRDefault="00F436FF" w:rsidP="00793827">
      <w:pPr>
        <w:pStyle w:val="Heading3"/>
        <w:numPr>
          <w:ilvl w:val="0"/>
          <w:numId w:val="37"/>
        </w:numPr>
        <w:spacing w:line="240" w:lineRule="auto"/>
        <w:ind w:left="1440" w:hanging="720"/>
        <w:rPr>
          <w:rFonts w:ascii="Times New Roman" w:eastAsia="Times New Roman" w:hAnsi="Times New Roman" w:cs="Times New Roman"/>
          <w:b/>
          <w:bCs/>
          <w:color w:val="000000" w:themeColor="text1"/>
        </w:rPr>
      </w:pPr>
      <w:r w:rsidRPr="006A4DE4">
        <w:rPr>
          <w:rFonts w:ascii="Times New Roman" w:eastAsia="Times New Roman" w:hAnsi="Times New Roman" w:cs="Times New Roman"/>
          <w:b/>
          <w:bCs/>
          <w:color w:val="000000" w:themeColor="text1"/>
        </w:rPr>
        <w:t>The P</w:t>
      </w:r>
      <w:r w:rsidR="002032EC" w:rsidRPr="006A4DE4">
        <w:rPr>
          <w:rFonts w:ascii="Times New Roman" w:eastAsia="Times New Roman" w:hAnsi="Times New Roman" w:cs="Times New Roman"/>
          <w:b/>
          <w:bCs/>
          <w:color w:val="000000" w:themeColor="text1"/>
        </w:rPr>
        <w:t xml:space="preserve">roposed </w:t>
      </w:r>
      <w:r w:rsidRPr="006A4DE4">
        <w:rPr>
          <w:rFonts w:ascii="Times New Roman" w:eastAsia="Times New Roman" w:hAnsi="Times New Roman" w:cs="Times New Roman"/>
          <w:b/>
          <w:bCs/>
          <w:color w:val="000000" w:themeColor="text1"/>
        </w:rPr>
        <w:t>R</w:t>
      </w:r>
      <w:r w:rsidR="002032EC" w:rsidRPr="006A4DE4">
        <w:rPr>
          <w:rFonts w:ascii="Times New Roman" w:eastAsia="Times New Roman" w:hAnsi="Times New Roman" w:cs="Times New Roman"/>
          <w:b/>
          <w:bCs/>
          <w:color w:val="000000" w:themeColor="text1"/>
        </w:rPr>
        <w:t xml:space="preserve">ule incorporates significant impacts into the extraordinary circumstances despite their ineligibility for a categorical exclusion </w:t>
      </w:r>
    </w:p>
    <w:p w14:paraId="52071279" w14:textId="77777777" w:rsidR="002032EC" w:rsidRPr="006A4DE4" w:rsidRDefault="002032EC" w:rsidP="00793827">
      <w:pPr>
        <w:spacing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DOT’s proposed rule fails to address how its modification to its extraordinary </w:t>
      </w:r>
      <w:proofErr w:type="gramStart"/>
      <w:r w:rsidRPr="006A4DE4">
        <w:rPr>
          <w:rFonts w:ascii="Times New Roman" w:eastAsia="Times New Roman" w:hAnsi="Times New Roman" w:cs="Times New Roman"/>
          <w:color w:val="000000" w:themeColor="text1"/>
          <w:sz w:val="24"/>
          <w:szCs w:val="24"/>
        </w:rPr>
        <w:t>circumstances</w:t>
      </w:r>
      <w:proofErr w:type="gramEnd"/>
      <w:r w:rsidRPr="006A4DE4">
        <w:rPr>
          <w:rFonts w:ascii="Times New Roman" w:eastAsia="Times New Roman" w:hAnsi="Times New Roman" w:cs="Times New Roman"/>
          <w:color w:val="000000" w:themeColor="text1"/>
          <w:sz w:val="24"/>
          <w:szCs w:val="24"/>
        </w:rPr>
        <w:t xml:space="preserve"> clause is likely to nullify the preclusive effect of the categorical exclusion standard for these three agencies. DOT plans to expand the impacts that fall under extraordinary circumstances to include just about everything under the sun: “substantial increases of noise in a noise-sensitive area; substantial adverse effects on a species listed or proposed to be listed on the List of Endangered or Threatened Species, or designated Critical Habitat for these species; a site that involves a unique characteristic of the geographic area, such as prime or unique agricultural land, a coastal zone, a historic or cultural resource, park land, wetland, wild and scenic river, designated wilderness or wilderness study area, sole source aquifer (potential sources of drinking water), or an ecologically critical area; as well as inconsistency with any applicable Federal, State, or local air quality standards, including those under the Clean Air Act, as amended; substantial short-or long-term increases in traffic congestion or traffic volumes on any mode of transportation; or substantial impacts on the environment resulting from the reasonably foreseeable, reportable release of hazardous or toxic substances.” 85 Fed. Reg 74,640, 74,647 (Nov. 23, 2020). These impacts are nearly identical to impacts that preclude the use of a categorical exclusion under the three agencies’ categorical exclusion definitions. </w:t>
      </w:r>
    </w:p>
    <w:p w14:paraId="745C7C21" w14:textId="77777777" w:rsidR="002032EC" w:rsidRPr="006A4DE4" w:rsidRDefault="002032EC" w:rsidP="00793827">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DOT’s proposed rule allows a categorical exclusion to be used for activities that increase traffic volumes without demonstrating that there are no significant impacts to the environment. The current regulations prohibit use of a categorical exclusion for projects that “induce impacts to planned growth or travel patterns.” 23 C.F.R. 771.116-8. Courts have interpreted this to include projects that increase traffic volumes. </w:t>
      </w:r>
      <w:r w:rsidRPr="006A4DE4">
        <w:rPr>
          <w:rFonts w:ascii="Times New Roman" w:eastAsia="Times New Roman" w:hAnsi="Times New Roman" w:cs="Times New Roman"/>
          <w:i/>
          <w:iCs/>
          <w:color w:val="000000" w:themeColor="text1"/>
          <w:sz w:val="24"/>
          <w:szCs w:val="24"/>
        </w:rPr>
        <w:t>See West v. Dep’t of Transp.</w:t>
      </w:r>
      <w:r w:rsidRPr="006A4DE4">
        <w:rPr>
          <w:rFonts w:ascii="Times New Roman" w:eastAsia="Times New Roman" w:hAnsi="Times New Roman" w:cs="Times New Roman"/>
          <w:color w:val="000000" w:themeColor="text1"/>
          <w:sz w:val="24"/>
          <w:szCs w:val="24"/>
        </w:rPr>
        <w:t xml:space="preserve"> 206 F. 3d 920, 929 (9th Cir. 2000) (noting that design built to accommodate future growth in traffic volumes impacts traffic patterns). The proposed regulations include increased traffic volumes as an unusual circumstance for which an agency may still use a Cat Ex. 85 Fed. Reg 74,640, 74,647 (Nov. 23, 2020). The proposed regulation therefore represents a major shift in policy that would allow projects that increase traffic to use a categorical exclusion without any evidence in the record that those types of projects do not have significant impacts.</w:t>
      </w:r>
    </w:p>
    <w:p w14:paraId="1B12E578" w14:textId="77777777" w:rsidR="002032EC" w:rsidRPr="006A4DE4" w:rsidRDefault="002032EC" w:rsidP="00793827">
      <w:pPr>
        <w:spacing w:after="0"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DOT’s proposed rule allows a categorical exclusion to be used for activities that increase noise volumes without demonstrating that there are no significant impacts to the environment. The current regulations prohibit use of a categorical exclusion for projects that ““involve significant . . . noise . . . quality impacts.” 23 C.F.R. 771.116-8. The current regulation defines noise impacts as “noise levels that create a substantial noise increase over existing noise levels.” 23 C.F.R. § 772.5.  The proposed regulations include increased noise volumes as an unusual circumstance for which an agency may still use a Cat Ex. 85 Fed. Reg 74,640, 74,647 (Nov. 23, 2020). The proposed regulation therefore represents a major shift in policy that would allow projects that increased noise volumes to use a categorical exclusion without any evidence in the record that those types of projects do not have significant impacts.</w:t>
      </w:r>
    </w:p>
    <w:p w14:paraId="3EF9DA3A" w14:textId="77777777" w:rsidR="002032EC" w:rsidRPr="006A4DE4" w:rsidRDefault="002032EC" w:rsidP="00793827">
      <w:pPr>
        <w:pStyle w:val="Heading3"/>
        <w:numPr>
          <w:ilvl w:val="0"/>
          <w:numId w:val="37"/>
        </w:numPr>
        <w:spacing w:line="240" w:lineRule="auto"/>
        <w:ind w:left="1440" w:hanging="720"/>
        <w:rPr>
          <w:rFonts w:ascii="Times New Roman" w:eastAsia="Times New Roman" w:hAnsi="Times New Roman" w:cs="Times New Roman"/>
          <w:color w:val="000000" w:themeColor="text1"/>
        </w:rPr>
      </w:pPr>
      <w:r w:rsidRPr="006A4DE4">
        <w:rPr>
          <w:rFonts w:ascii="Times New Roman" w:eastAsia="Times New Roman" w:hAnsi="Times New Roman" w:cs="Times New Roman"/>
          <w:color w:val="000000" w:themeColor="text1"/>
        </w:rPr>
        <w:t xml:space="preserve">The extraordinary circumstances provision will allow DOT to undermine its agencies current categorical exclusion procedures and allow projects with significant impacts to escape NEPA review. </w:t>
      </w:r>
    </w:p>
    <w:p w14:paraId="2C47625A" w14:textId="2E35D596" w:rsidR="00E45D32" w:rsidRPr="006A4DE4" w:rsidRDefault="002032EC" w:rsidP="00793827">
      <w:pPr>
        <w:spacing w:line="240" w:lineRule="auto"/>
        <w:ind w:firstLine="720"/>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In the thirty-three years since their original enactment in </w:t>
      </w:r>
      <w:proofErr w:type="gramStart"/>
      <w:r w:rsidRPr="006A4DE4">
        <w:rPr>
          <w:rFonts w:ascii="Times New Roman" w:eastAsia="Times New Roman" w:hAnsi="Times New Roman" w:cs="Times New Roman"/>
          <w:color w:val="000000" w:themeColor="text1"/>
          <w:sz w:val="24"/>
          <w:szCs w:val="24"/>
        </w:rPr>
        <w:t>1987,_</w:t>
      </w:r>
      <w:proofErr w:type="gramEnd"/>
      <w:r w:rsidRPr="006A4DE4">
        <w:rPr>
          <w:rFonts w:ascii="Times New Roman" w:eastAsia="Times New Roman" w:hAnsi="Times New Roman" w:cs="Times New Roman"/>
          <w:color w:val="000000" w:themeColor="text1"/>
          <w:sz w:val="24"/>
          <w:szCs w:val="24"/>
        </w:rPr>
        <w:t xml:space="preserve">the three agencies have declined to remove these impacts or their preclusive effect. </w:t>
      </w:r>
      <w:r w:rsidRPr="006A4DE4">
        <w:rPr>
          <w:rFonts w:ascii="Times New Roman" w:hAnsi="Times New Roman" w:cs="Times New Roman"/>
          <w:color w:val="000000" w:themeColor="text1"/>
          <w:sz w:val="24"/>
          <w:szCs w:val="24"/>
        </w:rPr>
        <w:t>Environmental impact and related procedures. 23 C.F.R. § 381.</w:t>
      </w:r>
      <w:r w:rsidRPr="006A4DE4">
        <w:rPr>
          <w:rFonts w:ascii="Times New Roman" w:eastAsia="Times New Roman" w:hAnsi="Times New Roman" w:cs="Times New Roman"/>
          <w:color w:val="000000" w:themeColor="text1"/>
          <w:sz w:val="24"/>
          <w:szCs w:val="24"/>
        </w:rPr>
        <w:t xml:space="preserve"> DOT’s proposed rule upends this regulatory scheme by dislodging this restrictive language from the initial categorical exclusion determination. While not requiring them to adopt these circumstances, DOT’s new rule directs the agencies to “consider whether any of the extraordinary circumstances . . . are appropriate to add” when updating their respective procedures. 85 Fed. Reg 74,640, 74,647 (Nov. 23, 2020). Were the agencies to incorporate these extraordinary circumstances into their existing regulations, there is a serious risk that burying these impacts under the extraordinary </w:t>
      </w:r>
      <w:proofErr w:type="gramStart"/>
      <w:r w:rsidRPr="006A4DE4">
        <w:rPr>
          <w:rFonts w:ascii="Times New Roman" w:eastAsia="Times New Roman" w:hAnsi="Times New Roman" w:cs="Times New Roman"/>
          <w:color w:val="000000" w:themeColor="text1"/>
          <w:sz w:val="24"/>
          <w:szCs w:val="24"/>
        </w:rPr>
        <w:t>circumstances</w:t>
      </w:r>
      <w:proofErr w:type="gramEnd"/>
      <w:r w:rsidRPr="006A4DE4">
        <w:rPr>
          <w:rFonts w:ascii="Times New Roman" w:eastAsia="Times New Roman" w:hAnsi="Times New Roman" w:cs="Times New Roman"/>
          <w:color w:val="000000" w:themeColor="text1"/>
          <w:sz w:val="24"/>
          <w:szCs w:val="24"/>
        </w:rPr>
        <w:t xml:space="preserve"> language will negate the existing preclusive effect that these impacts currently impose on the use of a categorical exclusion.  Rather than acting as a buffer to prevent projects with significant impacts from not being evaluated under NEPA, as the extraordinary circumstances provision was intended, the modification will open the flood gates, dramatically expanding the types of projects that receive little if any environmental review.</w:t>
      </w:r>
    </w:p>
    <w:p w14:paraId="49B5B00D" w14:textId="77777777" w:rsidR="00914419" w:rsidRPr="006A4DE4" w:rsidRDefault="006127C8" w:rsidP="00914419">
      <w:pPr>
        <w:pStyle w:val="Heading2"/>
        <w:numPr>
          <w:ilvl w:val="0"/>
          <w:numId w:val="36"/>
        </w:numPr>
        <w:spacing w:before="120" w:after="120" w:line="240" w:lineRule="auto"/>
        <w:ind w:left="1440" w:hanging="720"/>
        <w:rPr>
          <w:rFonts w:ascii="Times New Roman" w:eastAsiaTheme="minorHAnsi" w:hAnsi="Times New Roman" w:cs="Times New Roman"/>
          <w:color w:val="000000" w:themeColor="text1"/>
          <w:sz w:val="24"/>
          <w:szCs w:val="24"/>
        </w:rPr>
      </w:pPr>
      <w:r w:rsidRPr="006A4DE4">
        <w:rPr>
          <w:rFonts w:ascii="Times New Roman" w:eastAsia="Times New Roman" w:hAnsi="Times New Roman" w:cs="Times New Roman"/>
          <w:b/>
          <w:bCs/>
          <w:color w:val="000000" w:themeColor="text1"/>
          <w:sz w:val="24"/>
          <w:szCs w:val="24"/>
        </w:rPr>
        <w:t>The Proposed Rule should not allow</w:t>
      </w:r>
      <w:r w:rsidR="00E45D32" w:rsidRPr="006A4DE4">
        <w:rPr>
          <w:rFonts w:ascii="Times New Roman" w:eastAsia="Times New Roman" w:hAnsi="Times New Roman" w:cs="Times New Roman"/>
          <w:b/>
          <w:bCs/>
          <w:color w:val="000000" w:themeColor="text1"/>
          <w:sz w:val="24"/>
          <w:szCs w:val="24"/>
        </w:rPr>
        <w:t xml:space="preserve"> agencies to borrow categorical exclusions from other agencies</w:t>
      </w:r>
      <w:r w:rsidR="00E45D32" w:rsidRPr="006A4DE4">
        <w:rPr>
          <w:rFonts w:ascii="Times New Roman" w:eastAsiaTheme="minorHAnsi" w:hAnsi="Times New Roman" w:cs="Times New Roman"/>
          <w:color w:val="000000" w:themeColor="text1"/>
          <w:sz w:val="24"/>
          <w:szCs w:val="24"/>
        </w:rPr>
        <w:t xml:space="preserve"> </w:t>
      </w:r>
    </w:p>
    <w:p w14:paraId="4E4FF6B0" w14:textId="79214250" w:rsidR="00914419" w:rsidRPr="006A4DE4" w:rsidRDefault="00914419" w:rsidP="00914419">
      <w:pPr>
        <w:pStyle w:val="Heading3"/>
        <w:numPr>
          <w:ilvl w:val="0"/>
          <w:numId w:val="43"/>
        </w:numPr>
        <w:ind w:left="2160" w:hanging="720"/>
        <w:rPr>
          <w:rFonts w:ascii="Times New Roman" w:eastAsiaTheme="minorHAnsi" w:hAnsi="Times New Roman" w:cs="Times New Roman"/>
          <w:b/>
          <w:bCs/>
          <w:color w:val="000000" w:themeColor="text1"/>
        </w:rPr>
      </w:pPr>
      <w:r w:rsidRPr="006A4DE4">
        <w:rPr>
          <w:rFonts w:ascii="Times New Roman" w:hAnsi="Times New Roman" w:cs="Times New Roman"/>
          <w:b/>
          <w:bCs/>
          <w:color w:val="000000" w:themeColor="text1"/>
        </w:rPr>
        <w:t>DOT’s Proposal to permit its agencies to borrow categorical exclusions from other agencies is incompatible with the definition of a categorical exclusion</w:t>
      </w:r>
    </w:p>
    <w:p w14:paraId="6CB7997F" w14:textId="77777777" w:rsidR="00914419" w:rsidRPr="006A4DE4" w:rsidRDefault="00914419" w:rsidP="00914419">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DOT’s proposed change to its categorical exclusion procedures does not comport with the definition of a categorical exclusion. A categorical exclusion is defined as “a category of actions that the agency has determined, in its agency NEPA procedures . . . normally do not have a significant effect on the human environment.” 40 C.F.R. §1508.1. DOT’s proposed rule will allow outside agencies to borrow a categorical exclusion from another agency within the Department despite the borrowing agency’s lack of determination in its own procedures that the impacts are not significant. 85 Fed. Reg. 74640, 74647-8. Agency experience is what informs the set of categorical exclusions for each agency. Using categorical exclusions outside of the context in which they were originally intended does not align with the underlying rationale for the use of a categorical exclusion.</w:t>
      </w:r>
    </w:p>
    <w:p w14:paraId="5A889BFD" w14:textId="77777777" w:rsidR="00914419" w:rsidRPr="006A4DE4" w:rsidRDefault="00914419" w:rsidP="00914419">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This change represents a sweeping expansion of what should be a narrow exception tailored to a specific federal agency and its mission-specific undertakings. DOT’s change to the CE borrowing procedures will dramatically expand the universe of CEs available for its agencies. DOT oversees eight separate departments; each of which manage different modes of transport: </w:t>
      </w:r>
      <w:proofErr w:type="gramStart"/>
      <w:r w:rsidRPr="006A4DE4">
        <w:rPr>
          <w:rFonts w:ascii="Times New Roman" w:hAnsi="Times New Roman" w:cs="Times New Roman"/>
          <w:color w:val="000000" w:themeColor="text1"/>
          <w:sz w:val="24"/>
          <w:szCs w:val="24"/>
        </w:rPr>
        <w:t>the</w:t>
      </w:r>
      <w:proofErr w:type="gramEnd"/>
      <w:r w:rsidRPr="006A4DE4">
        <w:rPr>
          <w:rFonts w:ascii="Times New Roman" w:hAnsi="Times New Roman" w:cs="Times New Roman"/>
          <w:color w:val="000000" w:themeColor="text1"/>
          <w:sz w:val="24"/>
          <w:szCs w:val="24"/>
        </w:rPr>
        <w:t xml:space="preserve"> Federal Railroad Administration, the Federal Highway Administration, the National Highway Traffic Safety Administration, the Federal Aviation Administration, the Federal Transit Administration, Pipeline and Hazardous Materials Safety Administration, Maritime Administration, and the Saint Lawrence Seaway Development Corporation. 49 U.S.C. §102. These agencies govern different modes of transport: marine vessels, automobiles, trains, and airplanes; and different mediums of travel: air, land, or sea. While they do all govern transportation in some fashion, their duties are not analogous. DOT’s Proposed Rule ignores material difference between its agencies’ operations that inform how each individual agency determines which of its activities qualify for a categorical exclusion. Expanding the CE universe department-wide will result in less thorough review of project impacts across the board. </w:t>
      </w:r>
    </w:p>
    <w:p w14:paraId="2DE7A2BF" w14:textId="77777777" w:rsidR="00914419" w:rsidRPr="006A4DE4" w:rsidRDefault="00914419" w:rsidP="00914419">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Presently, DOT permits the Federal Railroad Administration, the Federal Highway Administration, and the Federal Transit Administration to borrow categorical exclusions. This change was approved because the agencies already used the same environmental review procedures and DOT found that “their actions are, in many cases, very similar.” 83 FR 54480, 54482 (Nov. 28, 2018). This rationale does not withstand scrutiny when applied </w:t>
      </w:r>
      <w:proofErr w:type="gramStart"/>
      <w:r w:rsidRPr="006A4DE4">
        <w:rPr>
          <w:rFonts w:ascii="Times New Roman" w:hAnsi="Times New Roman" w:cs="Times New Roman"/>
          <w:color w:val="000000" w:themeColor="text1"/>
          <w:sz w:val="24"/>
          <w:szCs w:val="24"/>
        </w:rPr>
        <w:t>department-wide</w:t>
      </w:r>
      <w:proofErr w:type="gramEnd"/>
      <w:r w:rsidRPr="006A4DE4">
        <w:rPr>
          <w:rFonts w:ascii="Times New Roman" w:hAnsi="Times New Roman" w:cs="Times New Roman"/>
          <w:color w:val="000000" w:themeColor="text1"/>
          <w:sz w:val="24"/>
          <w:szCs w:val="24"/>
        </w:rPr>
        <w:t xml:space="preserve">. Unlike these three agencies, the five other departments do not share environmental review procedures nor can it be said that the activities conducted by the individual agencies are “similar” as the agencies oversee different transportation modes and transit mediums. Compare 23 C.F.R. part 771 (covering FRA, FHWA, and FTA NEPA regulations) with FAA Order 1050.1F; FMCSA Order 5610.1; Maritime Admin. Order 600-1; NHTSA 40 C.F.R. part 520; PHMSA DOT Order 5610.1(c); SLSDC Order 10-5610.1C. As DOT recognizes, expanding the use of CEs to agencies that do not share common features would result in “functionally expanding the type of projects for which the CE was originally established.”  83 FR 54480, 54482 (Nov. 28, 2018).  This would directly contravene the definition of a CE because it would materially change the category to include functionally different activities than what the agency originally contemplated before determining whether the activity has significant impacts. DOT fails to explain how its changes align with its past rationale for permitting the borrowing of categorical exclusions. </w:t>
      </w:r>
    </w:p>
    <w:p w14:paraId="4B620C8A" w14:textId="79D292FE" w:rsidR="00914419" w:rsidRPr="006A4DE4" w:rsidRDefault="00914419" w:rsidP="00914419">
      <w:pPr>
        <w:pStyle w:val="Heading3"/>
        <w:numPr>
          <w:ilvl w:val="0"/>
          <w:numId w:val="43"/>
        </w:numPr>
        <w:spacing w:before="120" w:after="120" w:line="240" w:lineRule="auto"/>
        <w:ind w:left="2160" w:hanging="720"/>
        <w:rPr>
          <w:rFonts w:ascii="Times New Roman" w:hAnsi="Times New Roman" w:cs="Times New Roman"/>
          <w:b/>
          <w:bCs/>
          <w:color w:val="000000" w:themeColor="text1"/>
        </w:rPr>
      </w:pPr>
      <w:r w:rsidRPr="006A4DE4">
        <w:rPr>
          <w:rFonts w:ascii="Times New Roman" w:hAnsi="Times New Roman" w:cs="Times New Roman"/>
          <w:b/>
          <w:bCs/>
          <w:color w:val="000000" w:themeColor="text1"/>
        </w:rPr>
        <w:t xml:space="preserve">DOT should rely on its existing rule-making procedures to adopt new categorical exclusions, not </w:t>
      </w:r>
      <w:r w:rsidR="002D720D" w:rsidRPr="006A4DE4">
        <w:rPr>
          <w:rFonts w:ascii="Times New Roman" w:hAnsi="Times New Roman" w:cs="Times New Roman"/>
          <w:b/>
          <w:bCs/>
          <w:color w:val="000000" w:themeColor="text1"/>
        </w:rPr>
        <w:t>the proposed</w:t>
      </w:r>
      <w:r w:rsidRPr="006A4DE4">
        <w:rPr>
          <w:rFonts w:ascii="Times New Roman" w:hAnsi="Times New Roman" w:cs="Times New Roman"/>
          <w:b/>
          <w:bCs/>
          <w:color w:val="000000" w:themeColor="text1"/>
        </w:rPr>
        <w:t xml:space="preserve"> informal borrowing practice</w:t>
      </w:r>
    </w:p>
    <w:p w14:paraId="45D079EF" w14:textId="67E5CAF7" w:rsidR="002472EC" w:rsidRPr="006A4DE4" w:rsidRDefault="00914419" w:rsidP="00914419">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NEPA already has procedures in place for the agencies to promulgate new categorical exclusions to add to an agency’s respective NEPA implementing regulations. Borrowing CEs would enable agencies to skirt the rule-making procedures and avoid public accountability. This is not the purpose of a categorical exclusion and should not be adopted into DOT’s Final Rule.</w:t>
      </w:r>
    </w:p>
    <w:p w14:paraId="39839243" w14:textId="77777777" w:rsidR="00EE10CF" w:rsidRPr="006A4DE4" w:rsidRDefault="00EE10CF" w:rsidP="00EE10CF">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The public comment process on this rulemaking has shown disrespect for public engagement</w:t>
      </w:r>
    </w:p>
    <w:p w14:paraId="078EEAF6" w14:textId="2C500889" w:rsidR="00EE10CF" w:rsidRPr="006A4DE4" w:rsidRDefault="00EE10CF" w:rsidP="00EE10CF">
      <w:pPr>
        <w:pStyle w:val="Heading1"/>
        <w:numPr>
          <w:ilvl w:val="0"/>
          <w:numId w:val="14"/>
        </w:numPr>
        <w:spacing w:before="120" w:after="120" w:line="240" w:lineRule="auto"/>
        <w:ind w:hanging="720"/>
        <w:rPr>
          <w:rFonts w:ascii="Times New Roman" w:hAnsi="Times New Roman" w:cs="Times New Roman"/>
          <w:b/>
          <w:bCs/>
          <w:color w:val="000000" w:themeColor="text1"/>
          <w:sz w:val="24"/>
          <w:szCs w:val="24"/>
        </w:rPr>
      </w:pPr>
      <w:r w:rsidRPr="006A4DE4">
        <w:rPr>
          <w:rFonts w:ascii="Times New Roman" w:hAnsi="Times New Roman" w:cs="Times New Roman"/>
          <w:b/>
          <w:bCs/>
          <w:color w:val="000000" w:themeColor="text1"/>
          <w:sz w:val="24"/>
          <w:szCs w:val="24"/>
        </w:rPr>
        <w:t>The public comment process on the Proposed Regulations has been woefully inadequate</w:t>
      </w:r>
    </w:p>
    <w:p w14:paraId="5F63BBB1" w14:textId="6432B64F" w:rsidR="00EE10CF" w:rsidRPr="006A4DE4" w:rsidRDefault="00EE10CF" w:rsidP="007E388F">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Given the scope and potential impact of the regulatory changes that DOT has proposed, and the complexity of incorporating by reference CEQ regulations that are currently subject to numerous </w:t>
      </w:r>
      <w:r w:rsidR="007E388F" w:rsidRPr="006A4DE4">
        <w:rPr>
          <w:rFonts w:ascii="Times New Roman" w:hAnsi="Times New Roman" w:cs="Times New Roman"/>
          <w:color w:val="000000" w:themeColor="text1"/>
          <w:sz w:val="24"/>
          <w:szCs w:val="24"/>
        </w:rPr>
        <w:t xml:space="preserve">legal challenges, </w:t>
      </w:r>
      <w:r w:rsidRPr="006A4DE4">
        <w:rPr>
          <w:rFonts w:ascii="Times New Roman" w:hAnsi="Times New Roman" w:cs="Times New Roman"/>
          <w:color w:val="000000" w:themeColor="text1"/>
          <w:sz w:val="24"/>
          <w:szCs w:val="24"/>
        </w:rPr>
        <w:t>the public interest demanded that the agency provide a robust opportunity for public comment and involvement. That has not happened.</w:t>
      </w:r>
    </w:p>
    <w:p w14:paraId="31936E99" w14:textId="77777777" w:rsidR="007E388F" w:rsidRPr="006A4DE4" w:rsidRDefault="00EE10CF" w:rsidP="00EE10CF">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There is no need for haste; </w:t>
      </w:r>
      <w:r w:rsidR="007E388F" w:rsidRPr="006A4DE4">
        <w:rPr>
          <w:rFonts w:ascii="Times New Roman" w:hAnsi="Times New Roman" w:cs="Times New Roman"/>
          <w:color w:val="000000" w:themeColor="text1"/>
          <w:sz w:val="24"/>
          <w:szCs w:val="24"/>
        </w:rPr>
        <w:t>DOT’s existing procedures currently govern NEPA review for the agency</w:t>
      </w:r>
      <w:r w:rsidRPr="006A4DE4">
        <w:rPr>
          <w:rFonts w:ascii="Times New Roman" w:hAnsi="Times New Roman" w:cs="Times New Roman"/>
          <w:color w:val="000000" w:themeColor="text1"/>
          <w:sz w:val="24"/>
          <w:szCs w:val="24"/>
        </w:rPr>
        <w:t xml:space="preserve">. Yet </w:t>
      </w:r>
      <w:r w:rsidR="007E388F" w:rsidRPr="006A4DE4">
        <w:rPr>
          <w:rFonts w:ascii="Times New Roman" w:hAnsi="Times New Roman" w:cs="Times New Roman"/>
          <w:color w:val="000000" w:themeColor="text1"/>
          <w:sz w:val="24"/>
          <w:szCs w:val="24"/>
        </w:rPr>
        <w:t>DOT</w:t>
      </w:r>
      <w:r w:rsidRPr="006A4DE4">
        <w:rPr>
          <w:rFonts w:ascii="Times New Roman" w:hAnsi="Times New Roman" w:cs="Times New Roman"/>
          <w:color w:val="000000" w:themeColor="text1"/>
          <w:sz w:val="24"/>
          <w:szCs w:val="24"/>
        </w:rPr>
        <w:t xml:space="preserve"> speeds forward, rushing rather than encouraging public engagement, as if it already knows what it wants to do and does not much care whether the public and public officials have as much time as they need to thoughtfully participate in the rulemaking process. </w:t>
      </w:r>
    </w:p>
    <w:p w14:paraId="5D951762" w14:textId="7AD21D84" w:rsidR="00EE10CF" w:rsidRPr="006A4DE4" w:rsidRDefault="007E388F" w:rsidP="007E388F">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 xml:space="preserve">Particularly </w:t>
      </w:r>
      <w:proofErr w:type="gramStart"/>
      <w:r w:rsidRPr="006A4DE4">
        <w:rPr>
          <w:rFonts w:ascii="Times New Roman" w:hAnsi="Times New Roman" w:cs="Times New Roman"/>
          <w:color w:val="000000" w:themeColor="text1"/>
          <w:sz w:val="24"/>
          <w:szCs w:val="24"/>
        </w:rPr>
        <w:t>in light of</w:t>
      </w:r>
      <w:proofErr w:type="gramEnd"/>
      <w:r w:rsidRPr="006A4DE4">
        <w:rPr>
          <w:rFonts w:ascii="Times New Roman" w:hAnsi="Times New Roman" w:cs="Times New Roman"/>
          <w:color w:val="000000" w:themeColor="text1"/>
          <w:sz w:val="24"/>
          <w:szCs w:val="24"/>
        </w:rPr>
        <w:t xml:space="preserve"> the </w:t>
      </w:r>
      <w:r w:rsidR="00E9454B" w:rsidRPr="006A4DE4">
        <w:rPr>
          <w:rFonts w:ascii="Times New Roman" w:hAnsi="Times New Roman" w:cs="Times New Roman"/>
          <w:color w:val="000000" w:themeColor="text1"/>
          <w:sz w:val="24"/>
          <w:szCs w:val="24"/>
        </w:rPr>
        <w:t>coronavirus</w:t>
      </w:r>
      <w:r w:rsidRPr="006A4DE4">
        <w:rPr>
          <w:rFonts w:ascii="Times New Roman" w:hAnsi="Times New Roman" w:cs="Times New Roman"/>
          <w:color w:val="000000" w:themeColor="text1"/>
          <w:sz w:val="24"/>
          <w:szCs w:val="24"/>
        </w:rPr>
        <w:t xml:space="preserve"> pandemic, the transition to virtual work, and the upcoming holidays, DOT </w:t>
      </w:r>
      <w:r w:rsidR="00E9454B" w:rsidRPr="006A4DE4">
        <w:rPr>
          <w:rFonts w:ascii="Times New Roman" w:hAnsi="Times New Roman" w:cs="Times New Roman"/>
          <w:color w:val="000000" w:themeColor="text1"/>
          <w:sz w:val="24"/>
          <w:szCs w:val="24"/>
        </w:rPr>
        <w:t>should provide</w:t>
      </w:r>
      <w:r w:rsidRPr="006A4DE4">
        <w:rPr>
          <w:rFonts w:ascii="Times New Roman" w:hAnsi="Times New Roman" w:cs="Times New Roman"/>
          <w:color w:val="000000" w:themeColor="text1"/>
          <w:sz w:val="24"/>
          <w:szCs w:val="24"/>
        </w:rPr>
        <w:t xml:space="preserve"> a public comment period that exceeded 30 days. DOT should </w:t>
      </w:r>
      <w:r w:rsidR="003F181B" w:rsidRPr="006A4DE4">
        <w:rPr>
          <w:rFonts w:ascii="Times New Roman" w:hAnsi="Times New Roman" w:cs="Times New Roman"/>
          <w:color w:val="000000" w:themeColor="text1"/>
          <w:sz w:val="24"/>
          <w:szCs w:val="24"/>
        </w:rPr>
        <w:t>also</w:t>
      </w:r>
      <w:r w:rsidRPr="006A4DE4">
        <w:rPr>
          <w:rFonts w:ascii="Times New Roman" w:hAnsi="Times New Roman" w:cs="Times New Roman"/>
          <w:color w:val="000000" w:themeColor="text1"/>
          <w:sz w:val="24"/>
          <w:szCs w:val="24"/>
        </w:rPr>
        <w:t xml:space="preserve"> </w:t>
      </w:r>
      <w:proofErr w:type="spellStart"/>
      <w:proofErr w:type="gramStart"/>
      <w:r w:rsidRPr="006A4DE4">
        <w:rPr>
          <w:rFonts w:ascii="Times New Roman" w:hAnsi="Times New Roman" w:cs="Times New Roman"/>
          <w:color w:val="000000" w:themeColor="text1"/>
          <w:sz w:val="24"/>
          <w:szCs w:val="24"/>
        </w:rPr>
        <w:t>provided</w:t>
      </w:r>
      <w:proofErr w:type="spellEnd"/>
      <w:proofErr w:type="gramEnd"/>
      <w:r w:rsidRPr="006A4DE4">
        <w:rPr>
          <w:rFonts w:ascii="Times New Roman" w:hAnsi="Times New Roman" w:cs="Times New Roman"/>
          <w:color w:val="000000" w:themeColor="text1"/>
          <w:sz w:val="24"/>
          <w:szCs w:val="24"/>
        </w:rPr>
        <w:t xml:space="preserve"> the opportunity for public hearings, to allow for public input. </w:t>
      </w:r>
      <w:r w:rsidR="00EE10CF" w:rsidRPr="006A4DE4">
        <w:rPr>
          <w:rFonts w:ascii="Times New Roman" w:hAnsi="Times New Roman" w:cs="Times New Roman"/>
          <w:color w:val="000000" w:themeColor="text1"/>
          <w:sz w:val="24"/>
          <w:szCs w:val="24"/>
        </w:rPr>
        <w:t xml:space="preserve">The inadequate opportunity for </w:t>
      </w:r>
      <w:r w:rsidR="003F181B" w:rsidRPr="006A4DE4">
        <w:rPr>
          <w:rFonts w:ascii="Times New Roman" w:hAnsi="Times New Roman" w:cs="Times New Roman"/>
          <w:color w:val="000000" w:themeColor="text1"/>
          <w:sz w:val="24"/>
          <w:szCs w:val="24"/>
        </w:rPr>
        <w:t>the public’s voice to be heard</w:t>
      </w:r>
      <w:r w:rsidR="00EE10CF" w:rsidRPr="006A4DE4">
        <w:rPr>
          <w:rFonts w:ascii="Times New Roman" w:hAnsi="Times New Roman" w:cs="Times New Roman"/>
          <w:color w:val="000000" w:themeColor="text1"/>
          <w:sz w:val="24"/>
          <w:szCs w:val="24"/>
        </w:rPr>
        <w:t xml:space="preserve"> here is compounded by </w:t>
      </w:r>
      <w:r w:rsidR="003F181B" w:rsidRPr="006A4DE4">
        <w:rPr>
          <w:rFonts w:ascii="Times New Roman" w:hAnsi="Times New Roman" w:cs="Times New Roman"/>
          <w:color w:val="000000" w:themeColor="text1"/>
          <w:sz w:val="24"/>
          <w:szCs w:val="24"/>
        </w:rPr>
        <w:t>DOT’</w:t>
      </w:r>
      <w:r w:rsidR="00EE10CF" w:rsidRPr="006A4DE4">
        <w:rPr>
          <w:rFonts w:ascii="Times New Roman" w:hAnsi="Times New Roman" w:cs="Times New Roman"/>
          <w:color w:val="000000" w:themeColor="text1"/>
          <w:sz w:val="24"/>
          <w:szCs w:val="24"/>
        </w:rPr>
        <w:t xml:space="preserve">s repeated failures to cite any evidence that supports the many implicit or explicit factual premises on which the rulemaking proposal rests. </w:t>
      </w:r>
    </w:p>
    <w:p w14:paraId="492D808A" w14:textId="3A0E876A" w:rsidR="00EE10CF" w:rsidRPr="006A4DE4" w:rsidRDefault="007E388F" w:rsidP="007E388F">
      <w:pPr>
        <w:ind w:firstLine="720"/>
        <w:rPr>
          <w:rFonts w:ascii="Times New Roman" w:hAnsi="Times New Roman" w:cs="Times New Roman"/>
          <w:color w:val="000000" w:themeColor="text1"/>
          <w:sz w:val="24"/>
          <w:szCs w:val="24"/>
        </w:rPr>
      </w:pPr>
      <w:r w:rsidRPr="006A4DE4">
        <w:rPr>
          <w:rFonts w:ascii="Times New Roman" w:hAnsi="Times New Roman" w:cs="Times New Roman"/>
          <w:color w:val="000000" w:themeColor="text1"/>
          <w:sz w:val="24"/>
          <w:szCs w:val="24"/>
        </w:rPr>
        <w:t>We are also concerned that DOT may</w:t>
      </w:r>
      <w:r w:rsidR="00EE10CF" w:rsidRPr="006A4DE4">
        <w:rPr>
          <w:rFonts w:ascii="Times New Roman" w:hAnsi="Times New Roman" w:cs="Times New Roman"/>
          <w:color w:val="000000" w:themeColor="text1"/>
          <w:sz w:val="24"/>
          <w:szCs w:val="24"/>
        </w:rPr>
        <w:t xml:space="preserve"> adopt revisions that have not yet been disclosed to the public. </w:t>
      </w:r>
      <w:r w:rsidRPr="006A4DE4">
        <w:rPr>
          <w:rFonts w:ascii="Times New Roman" w:hAnsi="Times New Roman" w:cs="Times New Roman"/>
          <w:color w:val="000000" w:themeColor="text1"/>
          <w:sz w:val="24"/>
          <w:szCs w:val="24"/>
        </w:rPr>
        <w:t>Given the subject matter, these issues are likely to</w:t>
      </w:r>
      <w:r w:rsidR="00EE10CF" w:rsidRPr="006A4DE4">
        <w:rPr>
          <w:rFonts w:ascii="Times New Roman" w:hAnsi="Times New Roman" w:cs="Times New Roman"/>
          <w:color w:val="000000" w:themeColor="text1"/>
          <w:sz w:val="24"/>
          <w:szCs w:val="24"/>
        </w:rPr>
        <w:t xml:space="preserve"> involve matters of considerable potential importance to </w:t>
      </w:r>
      <w:r w:rsidRPr="006A4DE4">
        <w:rPr>
          <w:rFonts w:ascii="Times New Roman" w:hAnsi="Times New Roman" w:cs="Times New Roman"/>
          <w:color w:val="000000" w:themeColor="text1"/>
          <w:sz w:val="24"/>
          <w:szCs w:val="24"/>
        </w:rPr>
        <w:t xml:space="preserve">the undersigned organizations. </w:t>
      </w:r>
      <w:r w:rsidR="00EE10CF" w:rsidRPr="006A4DE4">
        <w:rPr>
          <w:rFonts w:ascii="Times New Roman" w:hAnsi="Times New Roman" w:cs="Times New Roman"/>
          <w:color w:val="000000" w:themeColor="text1"/>
          <w:sz w:val="24"/>
          <w:szCs w:val="24"/>
        </w:rPr>
        <w:t xml:space="preserve">But we cannot meaningfully comment on proposals that </w:t>
      </w:r>
      <w:r w:rsidRPr="006A4DE4">
        <w:rPr>
          <w:rFonts w:ascii="Times New Roman" w:hAnsi="Times New Roman" w:cs="Times New Roman"/>
          <w:color w:val="000000" w:themeColor="text1"/>
          <w:sz w:val="24"/>
          <w:szCs w:val="24"/>
        </w:rPr>
        <w:t>DOT</w:t>
      </w:r>
      <w:r w:rsidR="00EE10CF" w:rsidRPr="006A4DE4">
        <w:rPr>
          <w:rFonts w:ascii="Times New Roman" w:hAnsi="Times New Roman" w:cs="Times New Roman"/>
          <w:color w:val="000000" w:themeColor="text1"/>
          <w:sz w:val="24"/>
          <w:szCs w:val="24"/>
        </w:rPr>
        <w:t xml:space="preserve"> has not actually detailed publicly. Should </w:t>
      </w:r>
      <w:r w:rsidRPr="006A4DE4">
        <w:rPr>
          <w:rFonts w:ascii="Times New Roman" w:hAnsi="Times New Roman" w:cs="Times New Roman"/>
          <w:color w:val="000000" w:themeColor="text1"/>
          <w:sz w:val="24"/>
          <w:szCs w:val="24"/>
        </w:rPr>
        <w:t>DOT p</w:t>
      </w:r>
      <w:r w:rsidR="00EE10CF" w:rsidRPr="006A4DE4">
        <w:rPr>
          <w:rFonts w:ascii="Times New Roman" w:hAnsi="Times New Roman" w:cs="Times New Roman"/>
          <w:color w:val="000000" w:themeColor="text1"/>
          <w:sz w:val="24"/>
          <w:szCs w:val="24"/>
        </w:rPr>
        <w:t xml:space="preserve">ropose to make further changes to its proposal before taking final action, we request that </w:t>
      </w:r>
      <w:r w:rsidRPr="006A4DE4">
        <w:rPr>
          <w:rFonts w:ascii="Times New Roman" w:hAnsi="Times New Roman" w:cs="Times New Roman"/>
          <w:color w:val="000000" w:themeColor="text1"/>
          <w:sz w:val="24"/>
          <w:szCs w:val="24"/>
        </w:rPr>
        <w:t>DOT</w:t>
      </w:r>
      <w:r w:rsidR="00EE10CF" w:rsidRPr="006A4DE4">
        <w:rPr>
          <w:rFonts w:ascii="Times New Roman" w:hAnsi="Times New Roman" w:cs="Times New Roman"/>
          <w:color w:val="000000" w:themeColor="text1"/>
          <w:sz w:val="24"/>
          <w:szCs w:val="24"/>
        </w:rPr>
        <w:t xml:space="preserve"> provide a</w:t>
      </w:r>
      <w:r w:rsidRPr="006A4DE4">
        <w:rPr>
          <w:rFonts w:ascii="Times New Roman" w:hAnsi="Times New Roman" w:cs="Times New Roman"/>
          <w:color w:val="000000" w:themeColor="text1"/>
          <w:sz w:val="24"/>
          <w:szCs w:val="24"/>
        </w:rPr>
        <w:t xml:space="preserve"> robust </w:t>
      </w:r>
      <w:r w:rsidR="00EE10CF" w:rsidRPr="006A4DE4">
        <w:rPr>
          <w:rFonts w:ascii="Times New Roman" w:hAnsi="Times New Roman" w:cs="Times New Roman"/>
          <w:color w:val="000000" w:themeColor="text1"/>
          <w:sz w:val="24"/>
          <w:szCs w:val="24"/>
        </w:rPr>
        <w:t>opportunity to comment on those further changes.</w:t>
      </w:r>
    </w:p>
    <w:p w14:paraId="6CB24B0D" w14:textId="77777777" w:rsidR="00E45D32" w:rsidRPr="006A4DE4" w:rsidRDefault="00E45D32" w:rsidP="00E45D32">
      <w:pPr>
        <w:spacing w:before="240" w:after="240" w:line="240" w:lineRule="auto"/>
        <w:jc w:val="center"/>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      </w:t>
      </w:r>
      <w:r w:rsidRPr="006A4DE4">
        <w:rPr>
          <w:rFonts w:ascii="Times New Roman" w:eastAsia="Times New Roman" w:hAnsi="Times New Roman" w:cs="Times New Roman"/>
          <w:color w:val="000000" w:themeColor="text1"/>
          <w:sz w:val="24"/>
          <w:szCs w:val="24"/>
        </w:rPr>
        <w:tab/>
        <w:t xml:space="preserve">*      </w:t>
      </w:r>
      <w:r w:rsidRPr="006A4DE4">
        <w:rPr>
          <w:rFonts w:ascii="Times New Roman" w:eastAsia="Times New Roman" w:hAnsi="Times New Roman" w:cs="Times New Roman"/>
          <w:color w:val="000000" w:themeColor="text1"/>
          <w:sz w:val="24"/>
          <w:szCs w:val="24"/>
        </w:rPr>
        <w:tab/>
        <w:t>*</w:t>
      </w:r>
    </w:p>
    <w:p w14:paraId="0EF61D40" w14:textId="5D22A039" w:rsidR="00E45D32" w:rsidRPr="006A4DE4" w:rsidRDefault="00E45D32" w:rsidP="00E45D32">
      <w:pPr>
        <w:spacing w:before="240" w:after="240" w:line="240" w:lineRule="auto"/>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xml:space="preserve">To all appearances, this rulemaking is not designed to improve federal </w:t>
      </w:r>
      <w:proofErr w:type="spellStart"/>
      <w:r w:rsidRPr="006A4DE4">
        <w:rPr>
          <w:rFonts w:ascii="Times New Roman" w:eastAsia="Times New Roman" w:hAnsi="Times New Roman" w:cs="Times New Roman"/>
          <w:color w:val="000000" w:themeColor="text1"/>
          <w:sz w:val="24"/>
          <w:szCs w:val="24"/>
        </w:rPr>
        <w:t>decisionmaking</w:t>
      </w:r>
      <w:proofErr w:type="spellEnd"/>
      <w:r w:rsidRPr="006A4DE4">
        <w:rPr>
          <w:rFonts w:ascii="Times New Roman" w:eastAsia="Times New Roman" w:hAnsi="Times New Roman" w:cs="Times New Roman"/>
          <w:color w:val="000000" w:themeColor="text1"/>
          <w:sz w:val="24"/>
          <w:szCs w:val="24"/>
        </w:rPr>
        <w:t>, better engage the public, or protect the environment. It is instead a cynical attempt to expedite federal project approvals by bypassing or truncating environmental analyses, limiting the public’s role, and restricting the ability of the judiciary to ensure agency compliance with the law. Those apparent intentions are fundamentally at odds with NEPA’s aims. They are also unlawful. We urge DOT to change course.</w:t>
      </w:r>
    </w:p>
    <w:p w14:paraId="12CCC68B" w14:textId="77777777" w:rsidR="00E45D32" w:rsidRPr="006A4DE4" w:rsidRDefault="00E45D32" w:rsidP="00E45D32">
      <w:pPr>
        <w:spacing w:before="240" w:after="240" w:line="240" w:lineRule="auto"/>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 </w:t>
      </w:r>
    </w:p>
    <w:p w14:paraId="54E96F01" w14:textId="77777777" w:rsidR="00E45D32" w:rsidRPr="006A4DE4" w:rsidRDefault="00E45D32" w:rsidP="00E45D32">
      <w:pPr>
        <w:spacing w:before="240" w:after="240" w:line="240" w:lineRule="auto"/>
        <w:rPr>
          <w:rFonts w:ascii="Times New Roman" w:eastAsia="Times New Roman" w:hAnsi="Times New Roman" w:cs="Times New Roman"/>
          <w:color w:val="000000" w:themeColor="text1"/>
          <w:sz w:val="24"/>
          <w:szCs w:val="24"/>
        </w:rPr>
      </w:pPr>
      <w:r w:rsidRPr="006A4DE4">
        <w:rPr>
          <w:rFonts w:ascii="Times New Roman" w:eastAsia="Times New Roman" w:hAnsi="Times New Roman" w:cs="Times New Roman"/>
          <w:color w:val="000000" w:themeColor="text1"/>
          <w:sz w:val="24"/>
          <w:szCs w:val="24"/>
        </w:rPr>
        <w:t>Respectfully,</w:t>
      </w:r>
    </w:p>
    <w:p w14:paraId="067B7D08" w14:textId="77777777" w:rsidR="00FF2B4A" w:rsidRPr="006A4DE4" w:rsidRDefault="00FF2B4A" w:rsidP="00FF2B4A">
      <w:pPr>
        <w:spacing w:after="0" w:line="240" w:lineRule="auto"/>
        <w:rPr>
          <w:rFonts w:ascii="Times New Roman" w:eastAsia="MS Mincho" w:hAnsi="Times New Roman" w:cs="Times New Roman"/>
          <w:sz w:val="24"/>
          <w:szCs w:val="24"/>
        </w:rPr>
      </w:pPr>
      <w:r w:rsidRPr="006A4DE4">
        <w:rPr>
          <w:rFonts w:ascii="Times New Roman" w:eastAsia="MS Mincho" w:hAnsi="Times New Roman" w:cs="Times New Roman"/>
          <w:sz w:val="24"/>
          <w:szCs w:val="24"/>
        </w:rPr>
        <w:t>NATURAL RESOURCES DEFENSE COUNCIL, INC.</w:t>
      </w:r>
    </w:p>
    <w:p w14:paraId="4A78524E" w14:textId="35316E12" w:rsidR="00FF2B4A" w:rsidRPr="006A4DE4" w:rsidRDefault="00FF2B4A" w:rsidP="00FF2B4A">
      <w:pPr>
        <w:spacing w:after="0" w:line="240" w:lineRule="auto"/>
        <w:ind w:left="360"/>
        <w:rPr>
          <w:rFonts w:ascii="Times New Roman" w:eastAsia="MS Mincho" w:hAnsi="Times New Roman" w:cs="Times New Roman"/>
          <w:sz w:val="24"/>
          <w:szCs w:val="24"/>
        </w:rPr>
      </w:pPr>
    </w:p>
    <w:p w14:paraId="0FB475C3" w14:textId="77777777" w:rsidR="00FF2B4A" w:rsidRPr="006A4DE4" w:rsidRDefault="00FF2B4A" w:rsidP="00FF2B4A">
      <w:pPr>
        <w:spacing w:after="0" w:line="240" w:lineRule="auto"/>
        <w:rPr>
          <w:rFonts w:ascii="Times New Roman" w:eastAsia="MS Mincho" w:hAnsi="Times New Roman" w:cs="Times New Roman"/>
          <w:b/>
          <w:sz w:val="24"/>
          <w:szCs w:val="24"/>
        </w:rPr>
      </w:pPr>
    </w:p>
    <w:p w14:paraId="04FA4F3C" w14:textId="44586F59" w:rsidR="00FF2B4A" w:rsidRPr="006A4DE4" w:rsidRDefault="00FF2B4A" w:rsidP="00FF2B4A">
      <w:pPr>
        <w:spacing w:after="0" w:line="240" w:lineRule="auto"/>
        <w:rPr>
          <w:rFonts w:ascii="Times New Roman" w:eastAsia="MS Mincho" w:hAnsi="Times New Roman" w:cs="Times New Roman"/>
          <w:sz w:val="24"/>
          <w:szCs w:val="24"/>
          <w:u w:val="single"/>
        </w:rPr>
      </w:pPr>
      <w:r w:rsidRPr="006A4DE4">
        <w:rPr>
          <w:rFonts w:ascii="Times New Roman" w:eastAsia="MS Mincho" w:hAnsi="Times New Roman" w:cs="Times New Roman"/>
          <w:b/>
          <w:sz w:val="24"/>
          <w:szCs w:val="24"/>
        </w:rPr>
        <w:t>By:</w:t>
      </w:r>
      <w:r w:rsidRPr="006A4DE4">
        <w:rPr>
          <w:rFonts w:ascii="Times New Roman" w:eastAsia="MS Mincho" w:hAnsi="Times New Roman" w:cs="Times New Roman"/>
          <w:sz w:val="24"/>
          <w:szCs w:val="24"/>
        </w:rPr>
        <w:t xml:space="preserve"> </w:t>
      </w:r>
      <w:r w:rsidRPr="006A4DE4">
        <w:rPr>
          <w:rFonts w:ascii="Times New Roman" w:eastAsia="MS Mincho" w:hAnsi="Times New Roman" w:cs="Times New Roman"/>
          <w:sz w:val="24"/>
          <w:szCs w:val="24"/>
        </w:rPr>
        <w:tab/>
        <w:t>Sharon Buccino</w:t>
      </w:r>
    </w:p>
    <w:p w14:paraId="11BE5C8F" w14:textId="77777777" w:rsidR="00FF2B4A" w:rsidRPr="006A4DE4" w:rsidRDefault="00FF2B4A" w:rsidP="00FF2B4A">
      <w:pPr>
        <w:spacing w:after="0" w:line="240" w:lineRule="auto"/>
        <w:ind w:left="720"/>
        <w:rPr>
          <w:rFonts w:ascii="Times New Roman" w:eastAsia="MS Mincho" w:hAnsi="Times New Roman" w:cs="Times New Roman"/>
          <w:sz w:val="24"/>
          <w:szCs w:val="24"/>
        </w:rPr>
      </w:pPr>
      <w:r w:rsidRPr="006A4DE4">
        <w:rPr>
          <w:rFonts w:ascii="Times New Roman" w:eastAsia="MS Mincho" w:hAnsi="Times New Roman" w:cs="Times New Roman"/>
          <w:sz w:val="24"/>
          <w:szCs w:val="24"/>
        </w:rPr>
        <w:t>Senior Director, Lands Division, Nature Program</w:t>
      </w:r>
    </w:p>
    <w:p w14:paraId="4EF1906C" w14:textId="77777777" w:rsidR="00FF2B4A" w:rsidRPr="006A4DE4" w:rsidRDefault="00FF2B4A" w:rsidP="00FF2B4A">
      <w:pPr>
        <w:spacing w:after="0" w:line="240" w:lineRule="auto"/>
        <w:ind w:left="720"/>
        <w:rPr>
          <w:rFonts w:ascii="Times New Roman" w:eastAsia="MS Mincho" w:hAnsi="Times New Roman" w:cs="Times New Roman"/>
          <w:sz w:val="24"/>
          <w:szCs w:val="24"/>
        </w:rPr>
      </w:pPr>
      <w:r w:rsidRPr="006A4DE4">
        <w:rPr>
          <w:rFonts w:ascii="Times New Roman" w:eastAsia="MS Mincho" w:hAnsi="Times New Roman" w:cs="Times New Roman"/>
          <w:sz w:val="24"/>
          <w:szCs w:val="24"/>
        </w:rPr>
        <w:t>202-289-6868</w:t>
      </w:r>
    </w:p>
    <w:p w14:paraId="243E5B19" w14:textId="26CF9A01" w:rsidR="00FF2B4A" w:rsidRPr="006A4DE4" w:rsidRDefault="007A23EA" w:rsidP="00FF2B4A">
      <w:pPr>
        <w:spacing w:after="0" w:line="240" w:lineRule="auto"/>
        <w:ind w:left="720"/>
        <w:rPr>
          <w:rFonts w:ascii="Times New Roman" w:eastAsia="MS Mincho" w:hAnsi="Times New Roman" w:cs="Times New Roman"/>
          <w:sz w:val="24"/>
          <w:szCs w:val="24"/>
        </w:rPr>
      </w:pPr>
      <w:hyperlink r:id="rId10" w:history="1">
        <w:r w:rsidR="00FF2B4A" w:rsidRPr="006A4DE4">
          <w:rPr>
            <w:rStyle w:val="Hyperlink"/>
            <w:rFonts w:ascii="Times New Roman" w:eastAsia="MS Mincho" w:hAnsi="Times New Roman" w:cs="Times New Roman"/>
            <w:sz w:val="24"/>
            <w:szCs w:val="24"/>
          </w:rPr>
          <w:t>sbuccino@nrdc.org</w:t>
        </w:r>
      </w:hyperlink>
      <w:r w:rsidR="00FF2B4A" w:rsidRPr="006A4DE4">
        <w:rPr>
          <w:rFonts w:ascii="Times New Roman" w:eastAsia="MS Mincho" w:hAnsi="Times New Roman" w:cs="Times New Roman"/>
          <w:sz w:val="24"/>
          <w:szCs w:val="24"/>
        </w:rPr>
        <w:t xml:space="preserve"> </w:t>
      </w:r>
    </w:p>
    <w:p w14:paraId="0DFEFBFF" w14:textId="0553E9D0" w:rsidR="00FF2B4A" w:rsidRPr="006A4DE4" w:rsidRDefault="00FF2B4A" w:rsidP="00FF2B4A">
      <w:pPr>
        <w:spacing w:after="0" w:line="240" w:lineRule="auto"/>
        <w:ind w:left="720"/>
        <w:rPr>
          <w:rFonts w:ascii="Times New Roman" w:eastAsia="MS Mincho" w:hAnsi="Times New Roman" w:cs="Times New Roman"/>
          <w:sz w:val="24"/>
          <w:szCs w:val="24"/>
        </w:rPr>
      </w:pPr>
    </w:p>
    <w:p w14:paraId="7F3D950B" w14:textId="0F534F09" w:rsidR="00FF2B4A" w:rsidRPr="006A4DE4" w:rsidRDefault="00FF2B4A" w:rsidP="00FF2B4A">
      <w:pPr>
        <w:spacing w:after="0" w:line="240" w:lineRule="auto"/>
        <w:ind w:left="720"/>
        <w:rPr>
          <w:rFonts w:ascii="Times New Roman" w:eastAsia="MS Mincho" w:hAnsi="Times New Roman" w:cs="Times New Roman"/>
          <w:sz w:val="24"/>
          <w:szCs w:val="24"/>
        </w:rPr>
      </w:pPr>
      <w:r w:rsidRPr="006A4DE4">
        <w:rPr>
          <w:rFonts w:ascii="Times New Roman" w:eastAsia="MS Mincho" w:hAnsi="Times New Roman" w:cs="Times New Roman"/>
          <w:sz w:val="24"/>
          <w:szCs w:val="24"/>
        </w:rPr>
        <w:t>Claire Wo</w:t>
      </w:r>
      <w:r w:rsidR="005172E0" w:rsidRPr="006A4DE4">
        <w:rPr>
          <w:rFonts w:ascii="Times New Roman" w:eastAsia="MS Mincho" w:hAnsi="Times New Roman" w:cs="Times New Roman"/>
          <w:sz w:val="24"/>
          <w:szCs w:val="24"/>
        </w:rPr>
        <w:t>od</w:t>
      </w:r>
      <w:r w:rsidRPr="006A4DE4">
        <w:rPr>
          <w:rFonts w:ascii="Times New Roman" w:eastAsia="MS Mincho" w:hAnsi="Times New Roman" w:cs="Times New Roman"/>
          <w:sz w:val="24"/>
          <w:szCs w:val="24"/>
        </w:rPr>
        <w:t>s</w:t>
      </w:r>
    </w:p>
    <w:p w14:paraId="4F958A15" w14:textId="72D75DD3" w:rsidR="00FF2B4A" w:rsidRPr="006A4DE4" w:rsidRDefault="00FF2B4A" w:rsidP="00FF2B4A">
      <w:pPr>
        <w:spacing w:after="0" w:line="240" w:lineRule="auto"/>
        <w:ind w:left="720"/>
        <w:rPr>
          <w:rFonts w:ascii="Times New Roman" w:eastAsia="MS Mincho" w:hAnsi="Times New Roman" w:cs="Times New Roman"/>
          <w:sz w:val="24"/>
          <w:szCs w:val="24"/>
        </w:rPr>
      </w:pPr>
      <w:r w:rsidRPr="006A4DE4">
        <w:rPr>
          <w:rFonts w:ascii="Times New Roman" w:eastAsia="MS Mincho" w:hAnsi="Times New Roman" w:cs="Times New Roman"/>
          <w:sz w:val="24"/>
          <w:szCs w:val="24"/>
        </w:rPr>
        <w:t xml:space="preserve">Senior Attorney </w:t>
      </w:r>
    </w:p>
    <w:p w14:paraId="0379022B" w14:textId="1EF5BEA3" w:rsidR="00FF2B4A" w:rsidRPr="006A4DE4" w:rsidRDefault="00FF2B4A" w:rsidP="00FF2B4A">
      <w:pPr>
        <w:spacing w:after="0" w:line="240" w:lineRule="auto"/>
        <w:ind w:left="720"/>
        <w:rPr>
          <w:rFonts w:ascii="Times New Roman" w:eastAsia="MS Mincho" w:hAnsi="Times New Roman" w:cs="Times New Roman"/>
          <w:sz w:val="24"/>
          <w:szCs w:val="24"/>
        </w:rPr>
      </w:pPr>
      <w:r w:rsidRPr="006A4DE4">
        <w:rPr>
          <w:rFonts w:ascii="Times New Roman" w:eastAsia="MS Mincho" w:hAnsi="Times New Roman" w:cs="Times New Roman"/>
          <w:sz w:val="24"/>
          <w:szCs w:val="24"/>
        </w:rPr>
        <w:t>323-204-6943</w:t>
      </w:r>
    </w:p>
    <w:p w14:paraId="549F3800" w14:textId="64C106FA" w:rsidR="00FF2B4A" w:rsidRPr="006A4DE4" w:rsidRDefault="007A23EA" w:rsidP="00FF2B4A">
      <w:pPr>
        <w:spacing w:after="0" w:line="240" w:lineRule="auto"/>
        <w:ind w:left="720"/>
        <w:rPr>
          <w:rFonts w:ascii="Times New Roman" w:eastAsia="MS Mincho" w:hAnsi="Times New Roman" w:cs="Times New Roman"/>
          <w:sz w:val="24"/>
          <w:szCs w:val="24"/>
        </w:rPr>
      </w:pPr>
      <w:hyperlink r:id="rId11" w:history="1">
        <w:r w:rsidR="00AF221A" w:rsidRPr="006A4DE4">
          <w:rPr>
            <w:rStyle w:val="Hyperlink"/>
            <w:rFonts w:ascii="Times New Roman" w:eastAsia="MS Mincho" w:hAnsi="Times New Roman" w:cs="Times New Roman"/>
            <w:sz w:val="24"/>
            <w:szCs w:val="24"/>
          </w:rPr>
          <w:t>cwoods@nrdc.org</w:t>
        </w:r>
      </w:hyperlink>
    </w:p>
    <w:p w14:paraId="0FC5683B" w14:textId="5C359DD4" w:rsidR="00AF221A" w:rsidRPr="006A4DE4" w:rsidRDefault="00AF221A" w:rsidP="00AF221A">
      <w:pPr>
        <w:spacing w:after="0" w:line="240" w:lineRule="auto"/>
        <w:rPr>
          <w:rFonts w:ascii="Times New Roman" w:eastAsia="MS Mincho" w:hAnsi="Times New Roman" w:cs="Times New Roman"/>
          <w:sz w:val="24"/>
          <w:szCs w:val="24"/>
        </w:rPr>
      </w:pPr>
    </w:p>
    <w:p w14:paraId="0FF4B545" w14:textId="7F6B3CAB" w:rsidR="00AF221A" w:rsidRPr="006A4DE4" w:rsidRDefault="00AF221A" w:rsidP="00AF221A">
      <w:pPr>
        <w:spacing w:after="0" w:line="240" w:lineRule="auto"/>
        <w:rPr>
          <w:rFonts w:ascii="Times New Roman" w:eastAsia="MS Mincho" w:hAnsi="Times New Roman" w:cs="Times New Roman"/>
          <w:sz w:val="24"/>
          <w:szCs w:val="24"/>
        </w:rPr>
      </w:pPr>
      <w:r w:rsidRPr="006A4DE4">
        <w:rPr>
          <w:rFonts w:ascii="Times New Roman" w:eastAsia="MS Mincho" w:hAnsi="Times New Roman" w:cs="Times New Roman"/>
          <w:sz w:val="24"/>
          <w:szCs w:val="24"/>
        </w:rPr>
        <w:t>EARTHJUSTICE</w:t>
      </w:r>
    </w:p>
    <w:p w14:paraId="50035E03" w14:textId="2C3A7687" w:rsidR="00AF221A" w:rsidRPr="006A4DE4" w:rsidRDefault="00AF221A" w:rsidP="00AF221A">
      <w:pPr>
        <w:spacing w:after="0" w:line="240" w:lineRule="auto"/>
        <w:rPr>
          <w:rFonts w:ascii="Times New Roman" w:eastAsia="MS Mincho" w:hAnsi="Times New Roman" w:cs="Times New Roman"/>
          <w:sz w:val="24"/>
          <w:szCs w:val="24"/>
        </w:rPr>
      </w:pPr>
    </w:p>
    <w:p w14:paraId="42F958FB" w14:textId="77777777" w:rsidR="00AF221A" w:rsidRPr="006A4DE4" w:rsidRDefault="00AF221A" w:rsidP="00AF221A">
      <w:pPr>
        <w:spacing w:after="0" w:line="240" w:lineRule="auto"/>
        <w:rPr>
          <w:rFonts w:ascii="Times New Roman" w:eastAsia="MS Mincho" w:hAnsi="Times New Roman" w:cs="Times New Roman"/>
          <w:sz w:val="24"/>
          <w:szCs w:val="24"/>
        </w:rPr>
      </w:pPr>
      <w:r w:rsidRPr="006A4DE4">
        <w:rPr>
          <w:rFonts w:ascii="Times New Roman" w:eastAsia="MS Mincho" w:hAnsi="Times New Roman" w:cs="Times New Roman"/>
          <w:sz w:val="24"/>
          <w:szCs w:val="24"/>
        </w:rPr>
        <w:t>By:</w:t>
      </w:r>
      <w:r w:rsidRPr="006A4DE4">
        <w:rPr>
          <w:rFonts w:ascii="Times New Roman" w:eastAsia="MS Mincho" w:hAnsi="Times New Roman" w:cs="Times New Roman"/>
          <w:sz w:val="24"/>
          <w:szCs w:val="24"/>
        </w:rPr>
        <w:tab/>
        <w:t>Jill Witkowski Heaps</w:t>
      </w:r>
    </w:p>
    <w:p w14:paraId="79A72E63" w14:textId="77777777" w:rsidR="00AF221A" w:rsidRPr="006A4DE4" w:rsidRDefault="00AF221A" w:rsidP="00AF221A">
      <w:pPr>
        <w:spacing w:after="0" w:line="240" w:lineRule="auto"/>
        <w:ind w:firstLine="720"/>
        <w:rPr>
          <w:rFonts w:ascii="Times New Roman" w:eastAsia="MS Mincho" w:hAnsi="Times New Roman" w:cs="Times New Roman"/>
          <w:sz w:val="24"/>
          <w:szCs w:val="24"/>
        </w:rPr>
      </w:pPr>
      <w:r w:rsidRPr="006A4DE4">
        <w:rPr>
          <w:rFonts w:ascii="Times New Roman" w:eastAsia="MS Mincho" w:hAnsi="Times New Roman" w:cs="Times New Roman"/>
          <w:sz w:val="24"/>
          <w:szCs w:val="24"/>
        </w:rPr>
        <w:t>Staff Attorney</w:t>
      </w:r>
    </w:p>
    <w:p w14:paraId="2FED3DF6" w14:textId="66935499" w:rsidR="00AF221A" w:rsidRPr="006A4DE4" w:rsidRDefault="00AF221A" w:rsidP="00AF221A">
      <w:pPr>
        <w:spacing w:after="0" w:line="240" w:lineRule="auto"/>
        <w:ind w:firstLine="720"/>
        <w:rPr>
          <w:rFonts w:ascii="Times New Roman" w:eastAsia="MS Mincho" w:hAnsi="Times New Roman" w:cs="Times New Roman"/>
          <w:sz w:val="24"/>
          <w:szCs w:val="24"/>
        </w:rPr>
      </w:pPr>
      <w:r w:rsidRPr="006A4DE4">
        <w:rPr>
          <w:rFonts w:ascii="Times New Roman" w:eastAsia="MS Mincho" w:hAnsi="Times New Roman" w:cs="Times New Roman"/>
          <w:sz w:val="24"/>
          <w:szCs w:val="24"/>
        </w:rPr>
        <w:t>504-352-2617</w:t>
      </w:r>
    </w:p>
    <w:p w14:paraId="3D2166B2" w14:textId="1CC6D896" w:rsidR="00847F82" w:rsidRPr="006A4DE4" w:rsidRDefault="007A23EA" w:rsidP="00AF221A">
      <w:pPr>
        <w:spacing w:after="0" w:line="240" w:lineRule="auto"/>
        <w:ind w:firstLine="720"/>
        <w:rPr>
          <w:rFonts w:ascii="Times New Roman" w:eastAsia="MS Mincho" w:hAnsi="Times New Roman" w:cs="Times New Roman"/>
          <w:sz w:val="24"/>
          <w:szCs w:val="24"/>
        </w:rPr>
      </w:pPr>
      <w:hyperlink r:id="rId12" w:history="1">
        <w:r w:rsidR="00847F82" w:rsidRPr="006A4DE4">
          <w:rPr>
            <w:rStyle w:val="Hyperlink"/>
            <w:rFonts w:ascii="Times New Roman" w:eastAsia="MS Mincho" w:hAnsi="Times New Roman" w:cs="Times New Roman"/>
            <w:sz w:val="24"/>
            <w:szCs w:val="24"/>
          </w:rPr>
          <w:t>jheaps@earthjustice.org</w:t>
        </w:r>
      </w:hyperlink>
      <w:r w:rsidR="00847F82" w:rsidRPr="006A4DE4">
        <w:rPr>
          <w:rFonts w:ascii="Times New Roman" w:eastAsia="MS Mincho" w:hAnsi="Times New Roman" w:cs="Times New Roman"/>
          <w:sz w:val="24"/>
          <w:szCs w:val="24"/>
        </w:rPr>
        <w:tab/>
      </w:r>
    </w:p>
    <w:p w14:paraId="136FADFD" w14:textId="3E727EEE" w:rsidR="00847F82" w:rsidRPr="006A4DE4" w:rsidRDefault="00847F82" w:rsidP="00AF221A">
      <w:pPr>
        <w:spacing w:after="0" w:line="240" w:lineRule="auto"/>
        <w:ind w:firstLine="720"/>
        <w:rPr>
          <w:rFonts w:ascii="Times New Roman" w:eastAsia="MS Mincho" w:hAnsi="Times New Roman" w:cs="Times New Roman"/>
          <w:sz w:val="24"/>
          <w:szCs w:val="24"/>
        </w:rPr>
      </w:pPr>
    </w:p>
    <w:p w14:paraId="1A544F29" w14:textId="77777777" w:rsidR="00D9445C" w:rsidRPr="006A4DE4" w:rsidRDefault="00D9445C">
      <w:pPr>
        <w:rPr>
          <w:rFonts w:ascii="Times New Roman" w:hAnsi="Times New Roman" w:cs="Times New Roman"/>
          <w:color w:val="000000" w:themeColor="text1"/>
          <w:sz w:val="24"/>
          <w:szCs w:val="24"/>
        </w:rPr>
      </w:pPr>
    </w:p>
    <w:sectPr w:rsidR="00D9445C" w:rsidRPr="006A4DE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D727C" w14:textId="77777777" w:rsidR="007A23EA" w:rsidRDefault="007A23EA" w:rsidP="00FA603B">
      <w:pPr>
        <w:spacing w:after="0" w:line="240" w:lineRule="auto"/>
      </w:pPr>
      <w:r>
        <w:separator/>
      </w:r>
    </w:p>
  </w:endnote>
  <w:endnote w:type="continuationSeparator" w:id="0">
    <w:p w14:paraId="0B282073" w14:textId="77777777" w:rsidR="007A23EA" w:rsidRDefault="007A23EA" w:rsidP="00FA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 Antiqua" w:hAnsi="Book Antiqua"/>
        <w:sz w:val="24"/>
        <w:szCs w:val="24"/>
      </w:rPr>
      <w:id w:val="2128963614"/>
      <w:docPartObj>
        <w:docPartGallery w:val="Page Numbers (Bottom of Page)"/>
        <w:docPartUnique/>
      </w:docPartObj>
    </w:sdtPr>
    <w:sdtEndPr>
      <w:rPr>
        <w:noProof/>
      </w:rPr>
    </w:sdtEndPr>
    <w:sdtContent>
      <w:p w14:paraId="4BB826AD" w14:textId="78FA8FFD" w:rsidR="00340CFD" w:rsidRPr="00340CFD" w:rsidRDefault="00340CFD">
        <w:pPr>
          <w:pStyle w:val="Footer"/>
          <w:jc w:val="center"/>
          <w:rPr>
            <w:rFonts w:ascii="Book Antiqua" w:hAnsi="Book Antiqua"/>
            <w:sz w:val="24"/>
            <w:szCs w:val="24"/>
          </w:rPr>
        </w:pPr>
        <w:r w:rsidRPr="00340CFD">
          <w:rPr>
            <w:rFonts w:ascii="Book Antiqua" w:hAnsi="Book Antiqua"/>
            <w:sz w:val="24"/>
            <w:szCs w:val="24"/>
          </w:rPr>
          <w:fldChar w:fldCharType="begin"/>
        </w:r>
        <w:r w:rsidRPr="00340CFD">
          <w:rPr>
            <w:rFonts w:ascii="Book Antiqua" w:hAnsi="Book Antiqua"/>
            <w:sz w:val="24"/>
            <w:szCs w:val="24"/>
          </w:rPr>
          <w:instrText xml:space="preserve"> PAGE   \* MERGEFORMAT </w:instrText>
        </w:r>
        <w:r w:rsidRPr="00340CFD">
          <w:rPr>
            <w:rFonts w:ascii="Book Antiqua" w:hAnsi="Book Antiqua"/>
            <w:sz w:val="24"/>
            <w:szCs w:val="24"/>
          </w:rPr>
          <w:fldChar w:fldCharType="separate"/>
        </w:r>
        <w:r w:rsidRPr="00340CFD">
          <w:rPr>
            <w:rFonts w:ascii="Book Antiqua" w:hAnsi="Book Antiqua"/>
            <w:noProof/>
            <w:sz w:val="24"/>
            <w:szCs w:val="24"/>
          </w:rPr>
          <w:t>2</w:t>
        </w:r>
        <w:r w:rsidRPr="00340CFD">
          <w:rPr>
            <w:rFonts w:ascii="Book Antiqua" w:hAnsi="Book Antiqua"/>
            <w:noProof/>
            <w:sz w:val="24"/>
            <w:szCs w:val="24"/>
          </w:rPr>
          <w:fldChar w:fldCharType="end"/>
        </w:r>
      </w:p>
    </w:sdtContent>
  </w:sdt>
  <w:p w14:paraId="72950467" w14:textId="77777777" w:rsidR="00340CFD" w:rsidRDefault="00340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C2F30" w14:textId="77777777" w:rsidR="007A23EA" w:rsidRDefault="007A23EA" w:rsidP="00FA603B">
      <w:pPr>
        <w:spacing w:after="0" w:line="240" w:lineRule="auto"/>
      </w:pPr>
      <w:r>
        <w:separator/>
      </w:r>
    </w:p>
  </w:footnote>
  <w:footnote w:type="continuationSeparator" w:id="0">
    <w:p w14:paraId="574908A8" w14:textId="77777777" w:rsidR="007A23EA" w:rsidRDefault="007A23EA" w:rsidP="00FA603B">
      <w:pPr>
        <w:spacing w:after="0" w:line="240" w:lineRule="auto"/>
      </w:pPr>
      <w:r>
        <w:continuationSeparator/>
      </w:r>
    </w:p>
  </w:footnote>
  <w:footnote w:id="1">
    <w:p w14:paraId="6FBD8229" w14:textId="77777777" w:rsidR="00AA409D" w:rsidRPr="006A4DE4" w:rsidRDefault="00AA409D" w:rsidP="00AA409D">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 xml:space="preserve">See </w:t>
      </w:r>
      <w:r w:rsidRPr="006A4DE4">
        <w:rPr>
          <w:rFonts w:ascii="Times New Roman" w:hAnsi="Times New Roman" w:cs="Times New Roman"/>
          <w:sz w:val="22"/>
          <w:szCs w:val="22"/>
        </w:rPr>
        <w:t>S. Rep. No. 91-296, at 4-5 (1969).</w:t>
      </w:r>
    </w:p>
  </w:footnote>
  <w:footnote w:id="2">
    <w:p w14:paraId="543754D5" w14:textId="77777777" w:rsidR="00AA409D" w:rsidRPr="006A4DE4" w:rsidRDefault="00AA409D" w:rsidP="00AA409D">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See id.</w:t>
      </w:r>
      <w:r w:rsidRPr="006A4DE4">
        <w:rPr>
          <w:rFonts w:ascii="Times New Roman" w:hAnsi="Times New Roman" w:cs="Times New Roman"/>
          <w:sz w:val="22"/>
          <w:szCs w:val="22"/>
        </w:rPr>
        <w:t xml:space="preserve"> at 5 (“</w:t>
      </w:r>
      <w:r w:rsidRPr="006A4DE4">
        <w:rPr>
          <w:rFonts w:ascii="Times New Roman" w:eastAsia="Times New Roman" w:hAnsi="Times New Roman" w:cs="Times New Roman"/>
          <w:sz w:val="22"/>
          <w:szCs w:val="22"/>
        </w:rPr>
        <w:t xml:space="preserve">As a result of this failure to formulate a comprehensive national policy, environmental </w:t>
      </w:r>
      <w:proofErr w:type="spellStart"/>
      <w:r w:rsidRPr="006A4DE4">
        <w:rPr>
          <w:rFonts w:ascii="Times New Roman" w:eastAsia="Times New Roman" w:hAnsi="Times New Roman" w:cs="Times New Roman"/>
          <w:sz w:val="22"/>
          <w:szCs w:val="22"/>
        </w:rPr>
        <w:t>decisionmaking</w:t>
      </w:r>
      <w:proofErr w:type="spellEnd"/>
      <w:r w:rsidRPr="006A4DE4">
        <w:rPr>
          <w:rFonts w:ascii="Times New Roman" w:eastAsia="Times New Roman" w:hAnsi="Times New Roman" w:cs="Times New Roman"/>
          <w:sz w:val="22"/>
          <w:szCs w:val="22"/>
        </w:rPr>
        <w:t xml:space="preserve"> largely continues to proceed as it has in the past. Policy is established by default and inaction. Environmental problems are only dealt with when they reach crisis proportions. Public desires and aspirations are seldom consulted. </w:t>
      </w:r>
      <w:r w:rsidRPr="006A4DE4">
        <w:rPr>
          <w:rFonts w:ascii="Times New Roman" w:eastAsia="Times New Roman" w:hAnsi="Times New Roman" w:cs="Times New Roman"/>
          <w:bCs/>
          <w:sz w:val="22"/>
          <w:szCs w:val="22"/>
        </w:rPr>
        <w:t>Important decisions concerning the use and the shape of man’s future environment continue to be made in small but steady increments which perpetuate rather than avoid the recognized mistakes of previous decades.”).</w:t>
      </w:r>
    </w:p>
  </w:footnote>
  <w:footnote w:id="3">
    <w:p w14:paraId="69BE459F" w14:textId="77777777" w:rsidR="00AA409D" w:rsidRPr="006A4DE4" w:rsidRDefault="00AA409D" w:rsidP="00AA409D">
      <w:pPr>
        <w:pStyle w:val="FootnoteText"/>
        <w:rPr>
          <w:rFonts w:ascii="Times New Roman" w:hAnsi="Times New Roman" w:cs="Times New Roman"/>
          <w:i/>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Id.</w:t>
      </w:r>
    </w:p>
  </w:footnote>
  <w:footnote w:id="4">
    <w:p w14:paraId="4381C139" w14:textId="77777777" w:rsidR="00AA409D" w:rsidRPr="006A4DE4" w:rsidRDefault="00AA409D" w:rsidP="00AA409D">
      <w:pPr>
        <w:pStyle w:val="FootnoteText"/>
        <w:rPr>
          <w:rFonts w:ascii="Times New Roman" w:hAnsi="Times New Roman" w:cs="Times New Roman"/>
          <w:i/>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Id.</w:t>
      </w:r>
    </w:p>
  </w:footnote>
  <w:footnote w:id="5">
    <w:p w14:paraId="63DE8717" w14:textId="77777777" w:rsidR="00AA409D" w:rsidRPr="006A4DE4" w:rsidRDefault="00AA409D" w:rsidP="00AA409D">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NEPA § 101(a), </w:t>
      </w:r>
      <w:r w:rsidRPr="006A4DE4">
        <w:rPr>
          <w:rFonts w:ascii="Times New Roman" w:hAnsi="Times New Roman" w:cs="Times New Roman"/>
          <w:i/>
          <w:iCs/>
          <w:sz w:val="22"/>
          <w:szCs w:val="22"/>
        </w:rPr>
        <w:t xml:space="preserve">codified at </w:t>
      </w:r>
      <w:r w:rsidRPr="006A4DE4">
        <w:rPr>
          <w:rFonts w:ascii="Times New Roman" w:hAnsi="Times New Roman" w:cs="Times New Roman"/>
          <w:sz w:val="22"/>
          <w:szCs w:val="22"/>
        </w:rPr>
        <w:t>42 U.S.C. § 4331(a).</w:t>
      </w:r>
    </w:p>
  </w:footnote>
  <w:footnote w:id="6">
    <w:p w14:paraId="6AF15FF5" w14:textId="77777777" w:rsidR="00AA409D" w:rsidRPr="006A4DE4" w:rsidRDefault="00AA409D" w:rsidP="00AA409D">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NEPA § 101(b)(2).</w:t>
      </w:r>
    </w:p>
  </w:footnote>
  <w:footnote w:id="7">
    <w:p w14:paraId="48FB3BB4" w14:textId="77777777" w:rsidR="00AA409D" w:rsidRPr="006A4DE4" w:rsidRDefault="00AA409D" w:rsidP="00AA409D">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NEPA § 101(b)(1).</w:t>
      </w:r>
    </w:p>
  </w:footnote>
  <w:footnote w:id="8">
    <w:p w14:paraId="692E5269" w14:textId="77777777" w:rsidR="00AA409D" w:rsidRPr="006A4DE4" w:rsidRDefault="00AA409D" w:rsidP="00AA409D">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 xml:space="preserve">See </w:t>
      </w:r>
      <w:r w:rsidRPr="006A4DE4">
        <w:rPr>
          <w:rFonts w:ascii="Times New Roman" w:hAnsi="Times New Roman" w:cs="Times New Roman"/>
          <w:sz w:val="22"/>
          <w:szCs w:val="22"/>
        </w:rPr>
        <w:t>S. Rep. No. 91-296, at 8-9 (“The challenge of environmental management is, in essence, a challenge of modern man to himself. The principal threats to the environment and the Nation’s life support system are those that man has himself induced in the pursuit of material wealth, greater productivity, and other important values. These threats—whether in the form of pollution, crowding, ugliness, or in some other form—were not achieved intentionally. They were the spinoff, the fallout, and the unanticipated consequences which resulted from the pursuit of narrower, more immediate goals.”).</w:t>
      </w:r>
    </w:p>
  </w:footnote>
  <w:footnote w:id="9">
    <w:p w14:paraId="311C872C" w14:textId="77777777" w:rsidR="00AA409D" w:rsidRPr="006A4DE4" w:rsidRDefault="00AA409D" w:rsidP="00AA409D">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 xml:space="preserve">See id. </w:t>
      </w:r>
      <w:r w:rsidRPr="006A4DE4">
        <w:rPr>
          <w:rFonts w:ascii="Times New Roman" w:hAnsi="Times New Roman" w:cs="Times New Roman"/>
          <w:sz w:val="22"/>
          <w:szCs w:val="22"/>
        </w:rPr>
        <w:t>at 8.</w:t>
      </w:r>
    </w:p>
  </w:footnote>
  <w:footnote w:id="10">
    <w:p w14:paraId="2E7A7495" w14:textId="77777777" w:rsidR="00AA409D" w:rsidRPr="006A4DE4" w:rsidRDefault="00AA409D" w:rsidP="00AA409D">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Id.</w:t>
      </w:r>
      <w:r w:rsidRPr="006A4DE4">
        <w:rPr>
          <w:rFonts w:ascii="Times New Roman" w:hAnsi="Times New Roman" w:cs="Times New Roman"/>
          <w:sz w:val="22"/>
          <w:szCs w:val="22"/>
        </w:rPr>
        <w:t xml:space="preserve"> at 16.</w:t>
      </w:r>
    </w:p>
  </w:footnote>
  <w:footnote w:id="11">
    <w:p w14:paraId="2AD74A8D" w14:textId="77777777" w:rsidR="00AA409D" w:rsidRPr="006A4DE4" w:rsidRDefault="00AA409D" w:rsidP="00AA409D">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Id.</w:t>
      </w:r>
      <w:r w:rsidRPr="006A4DE4">
        <w:rPr>
          <w:rFonts w:ascii="Times New Roman" w:hAnsi="Times New Roman" w:cs="Times New Roman"/>
          <w:sz w:val="22"/>
          <w:szCs w:val="22"/>
        </w:rPr>
        <w:t xml:space="preserve"> at 17.</w:t>
      </w:r>
    </w:p>
  </w:footnote>
  <w:footnote w:id="12">
    <w:p w14:paraId="2053D592" w14:textId="77777777" w:rsidR="00AA409D" w:rsidRPr="006A4DE4" w:rsidRDefault="00AA409D" w:rsidP="00AA409D">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See id.</w:t>
      </w:r>
      <w:r w:rsidRPr="006A4DE4">
        <w:rPr>
          <w:rFonts w:ascii="Times New Roman" w:hAnsi="Times New Roman" w:cs="Times New Roman"/>
          <w:sz w:val="22"/>
          <w:szCs w:val="22"/>
        </w:rPr>
        <w:t xml:space="preserve"> at 17 (“Today we have the option of channeling some of our wealth into the protection of our future.  If we fail to do this in an adequate and timely manner, we may find ourselves confronted, even in this generation, with an environmental catastrophe that could render our wealth meaningless and which no amount of money could ever cure.”).</w:t>
      </w:r>
    </w:p>
  </w:footnote>
  <w:footnote w:id="13">
    <w:p w14:paraId="5283F3D1" w14:textId="77777777" w:rsidR="00FA603B" w:rsidRPr="006A4DE4" w:rsidRDefault="00FA603B" w:rsidP="00FA603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NEPA § 102.</w:t>
      </w:r>
    </w:p>
  </w:footnote>
  <w:footnote w:id="14">
    <w:p w14:paraId="2B2D71DE" w14:textId="77777777" w:rsidR="00FA603B" w:rsidRPr="006A4DE4" w:rsidRDefault="00FA603B" w:rsidP="00FA603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NEPA §§ 102(2)(C)(iii), (E); </w:t>
      </w:r>
      <w:r w:rsidRPr="006A4DE4">
        <w:rPr>
          <w:rFonts w:ascii="Times New Roman" w:hAnsi="Times New Roman" w:cs="Times New Roman"/>
          <w:i/>
          <w:sz w:val="22"/>
          <w:szCs w:val="22"/>
        </w:rPr>
        <w:t xml:space="preserve">see </w:t>
      </w:r>
      <w:r w:rsidRPr="006A4DE4">
        <w:rPr>
          <w:rFonts w:ascii="Times New Roman" w:hAnsi="Times New Roman" w:cs="Times New Roman"/>
          <w:sz w:val="22"/>
          <w:szCs w:val="22"/>
        </w:rPr>
        <w:t>Pub. L. No. 94-83 (1975) (amending section 102(2) of NEPA).</w:t>
      </w:r>
    </w:p>
  </w:footnote>
  <w:footnote w:id="15">
    <w:p w14:paraId="09761C6E" w14:textId="77777777" w:rsidR="00FA603B" w:rsidRPr="006A4DE4" w:rsidRDefault="00FA603B" w:rsidP="00FA603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115 Cong. Rec. 40,420 (Dec. 20, 1969) (Senate floor statement).</w:t>
      </w:r>
    </w:p>
  </w:footnote>
  <w:footnote w:id="16">
    <w:p w14:paraId="132D6614" w14:textId="77777777" w:rsidR="00FA603B" w:rsidRPr="006A4DE4" w:rsidRDefault="00FA603B" w:rsidP="00FA603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NEPA § 102(2)(A).</w:t>
      </w:r>
    </w:p>
  </w:footnote>
  <w:footnote w:id="17">
    <w:p w14:paraId="4FB1D6FF" w14:textId="77777777" w:rsidR="00FA603B" w:rsidRPr="006A4DE4" w:rsidRDefault="00FA603B" w:rsidP="00FA603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NEPA § 102(2)(C).</w:t>
      </w:r>
    </w:p>
  </w:footnote>
  <w:footnote w:id="18">
    <w:p w14:paraId="7491C448" w14:textId="77777777" w:rsidR="00FA603B" w:rsidRPr="006A4DE4" w:rsidRDefault="00FA603B" w:rsidP="00FA603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NEPA § 102(2)(C)(ii).</w:t>
      </w:r>
    </w:p>
  </w:footnote>
  <w:footnote w:id="19">
    <w:p w14:paraId="17240195" w14:textId="77777777" w:rsidR="00FA603B" w:rsidRPr="006A4DE4" w:rsidRDefault="00FA603B" w:rsidP="00FA603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NEPA § 102(2)(C)(v).</w:t>
      </w:r>
    </w:p>
  </w:footnote>
  <w:footnote w:id="20">
    <w:p w14:paraId="5B5D7BAE" w14:textId="77777777" w:rsidR="00FA603B" w:rsidRPr="006A4DE4" w:rsidRDefault="00FA603B" w:rsidP="00FA603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 xml:space="preserve">See </w:t>
      </w:r>
      <w:r w:rsidRPr="006A4DE4">
        <w:rPr>
          <w:rFonts w:ascii="Times New Roman" w:hAnsi="Times New Roman" w:cs="Times New Roman"/>
          <w:sz w:val="22"/>
          <w:szCs w:val="22"/>
        </w:rPr>
        <w:t>NEPA § 102(2)(b).</w:t>
      </w:r>
    </w:p>
  </w:footnote>
  <w:footnote w:id="21">
    <w:p w14:paraId="2C5EB826" w14:textId="77777777" w:rsidR="00FA603B" w:rsidRPr="006A4DE4" w:rsidRDefault="00FA603B" w:rsidP="00FA603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 xml:space="preserve">See </w:t>
      </w:r>
      <w:r w:rsidRPr="006A4DE4">
        <w:rPr>
          <w:rFonts w:ascii="Times New Roman" w:hAnsi="Times New Roman" w:cs="Times New Roman"/>
          <w:sz w:val="22"/>
          <w:szCs w:val="22"/>
        </w:rPr>
        <w:t>NEPA §§ 102(2)(C)(iii), (E</w:t>
      </w:r>
      <w:proofErr w:type="gramStart"/>
      <w:r w:rsidRPr="006A4DE4">
        <w:rPr>
          <w:rFonts w:ascii="Times New Roman" w:hAnsi="Times New Roman" w:cs="Times New Roman"/>
          <w:sz w:val="22"/>
          <w:szCs w:val="22"/>
        </w:rPr>
        <w:t>) ;</w:t>
      </w:r>
      <w:proofErr w:type="gramEnd"/>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 xml:space="preserve">see </w:t>
      </w:r>
      <w:r w:rsidRPr="006A4DE4">
        <w:rPr>
          <w:rFonts w:ascii="Times New Roman" w:hAnsi="Times New Roman" w:cs="Times New Roman"/>
          <w:sz w:val="22"/>
          <w:szCs w:val="22"/>
        </w:rPr>
        <w:t>Pub. L. No. 94-83 (1975) (amending section 102(2) of NEPA).</w:t>
      </w:r>
    </w:p>
  </w:footnote>
  <w:footnote w:id="22">
    <w:p w14:paraId="48CB5FE6" w14:textId="77777777" w:rsidR="00FA603B" w:rsidRPr="006A4DE4" w:rsidRDefault="00FA603B" w:rsidP="00FA603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NEPA § 102(2)(E); </w:t>
      </w:r>
      <w:r w:rsidRPr="006A4DE4">
        <w:rPr>
          <w:rFonts w:ascii="Times New Roman" w:hAnsi="Times New Roman" w:cs="Times New Roman"/>
          <w:i/>
          <w:sz w:val="22"/>
          <w:szCs w:val="22"/>
        </w:rPr>
        <w:t xml:space="preserve">see </w:t>
      </w:r>
      <w:r w:rsidRPr="006A4DE4">
        <w:rPr>
          <w:rFonts w:ascii="Times New Roman" w:hAnsi="Times New Roman" w:cs="Times New Roman"/>
          <w:sz w:val="22"/>
          <w:szCs w:val="22"/>
        </w:rPr>
        <w:t>Pub. L. No. 94-83 (1975) (amending section 102(2) of NEPA).</w:t>
      </w:r>
    </w:p>
  </w:footnote>
  <w:footnote w:id="23">
    <w:p w14:paraId="3D2AC914" w14:textId="77777777" w:rsidR="00FA603B" w:rsidRPr="006A4DE4" w:rsidRDefault="00FA603B" w:rsidP="00FA603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NEPA § 101(a).</w:t>
      </w:r>
    </w:p>
  </w:footnote>
  <w:footnote w:id="24">
    <w:p w14:paraId="2D70EBE5" w14:textId="77777777" w:rsidR="00FA603B" w:rsidRPr="006A4DE4" w:rsidRDefault="00FA603B" w:rsidP="00FA603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NEPA § 102(2)(G).</w:t>
      </w:r>
    </w:p>
  </w:footnote>
  <w:footnote w:id="25">
    <w:p w14:paraId="11D4BDED" w14:textId="77777777" w:rsidR="003125CC" w:rsidRPr="006A4DE4" w:rsidRDefault="003125CC" w:rsidP="003125CC">
      <w:pPr>
        <w:pStyle w:val="FootnoteText"/>
        <w:rPr>
          <w:rFonts w:ascii="Times New Roman" w:eastAsia="Calibri"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Robert Caro, Power Broker: Robert Moses and the Fall of New York, 848 (</w:t>
      </w:r>
      <w:proofErr w:type="gramStart"/>
      <w:r w:rsidRPr="006A4DE4">
        <w:rPr>
          <w:rFonts w:ascii="Times New Roman" w:hAnsi="Times New Roman" w:cs="Times New Roman"/>
          <w:sz w:val="22"/>
          <w:szCs w:val="22"/>
        </w:rPr>
        <w:t>1975)Joseph</w:t>
      </w:r>
      <w:proofErr w:type="gramEnd"/>
      <w:r w:rsidRPr="006A4DE4">
        <w:rPr>
          <w:rFonts w:ascii="Times New Roman" w:hAnsi="Times New Roman" w:cs="Times New Roman"/>
          <w:sz w:val="22"/>
          <w:szCs w:val="22"/>
        </w:rPr>
        <w:t xml:space="preserve"> F.C. </w:t>
      </w:r>
      <w:proofErr w:type="spellStart"/>
      <w:r w:rsidRPr="006A4DE4">
        <w:rPr>
          <w:rFonts w:ascii="Times New Roman" w:hAnsi="Times New Roman" w:cs="Times New Roman"/>
          <w:sz w:val="22"/>
          <w:szCs w:val="22"/>
        </w:rPr>
        <w:t>DiMento</w:t>
      </w:r>
      <w:proofErr w:type="spellEnd"/>
      <w:r w:rsidRPr="006A4DE4">
        <w:rPr>
          <w:rFonts w:ascii="Times New Roman" w:hAnsi="Times New Roman" w:cs="Times New Roman"/>
          <w:sz w:val="22"/>
          <w:szCs w:val="22"/>
        </w:rPr>
        <w:t xml:space="preserve"> and Cliff </w:t>
      </w:r>
      <w:proofErr w:type="spellStart"/>
      <w:r w:rsidRPr="006A4DE4">
        <w:rPr>
          <w:rFonts w:ascii="Times New Roman" w:hAnsi="Times New Roman" w:cs="Times New Roman"/>
          <w:sz w:val="22"/>
          <w:szCs w:val="22"/>
        </w:rPr>
        <w:t>Eliss</w:t>
      </w:r>
      <w:proofErr w:type="spellEnd"/>
      <w:r w:rsidRPr="006A4DE4">
        <w:rPr>
          <w:rFonts w:ascii="Times New Roman" w:hAnsi="Times New Roman" w:cs="Times New Roman"/>
          <w:sz w:val="22"/>
          <w:szCs w:val="22"/>
        </w:rPr>
        <w:t>, Changing Lanes: Visions and Histories of Urban Freeways, 80 (2013); Alana Samuels, The Atlantic, The Role of Highways in American Poverty (Mar. 8, 2016).</w:t>
      </w:r>
    </w:p>
  </w:footnote>
  <w:footnote w:id="26">
    <w:p w14:paraId="2986D915" w14:textId="77777777" w:rsidR="003125CC" w:rsidRPr="006A4DE4" w:rsidRDefault="003125CC" w:rsidP="003125CC">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Beverly H. Wright, “New Orleans Neighborhoods Under Siege,” in Just Transportation: Dismantling Race and Class Barriers to Mobility, ed. Robert D. Bullard and Glenn S. Johnson (Gabriola Island, BC; Stony Creek, CT: New Society Publishers, 1997), 120–44.; Richard Rothstein, The Color of Law: A Forgotten History of How Our Government Segregated America, 127 (2017). </w:t>
      </w:r>
    </w:p>
  </w:footnote>
  <w:footnote w:id="27">
    <w:p w14:paraId="262A882B" w14:textId="77777777" w:rsidR="00A74868" w:rsidRPr="006A4DE4" w:rsidRDefault="00A74868" w:rsidP="00A74868">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bookmarkStart w:id="0" w:name="_Hlk34142110"/>
      <w:r w:rsidRPr="006A4DE4">
        <w:rPr>
          <w:rFonts w:ascii="Times New Roman" w:hAnsi="Times New Roman" w:cs="Times New Roman"/>
          <w:i/>
          <w:sz w:val="22"/>
          <w:szCs w:val="22"/>
        </w:rPr>
        <w:t xml:space="preserve">Sierra Club v. U.S. Army Corps of </w:t>
      </w:r>
      <w:proofErr w:type="spellStart"/>
      <w:r w:rsidRPr="006A4DE4">
        <w:rPr>
          <w:rFonts w:ascii="Times New Roman" w:hAnsi="Times New Roman" w:cs="Times New Roman"/>
          <w:i/>
          <w:sz w:val="22"/>
          <w:szCs w:val="22"/>
        </w:rPr>
        <w:t>Eng’rs</w:t>
      </w:r>
      <w:proofErr w:type="spellEnd"/>
      <w:r w:rsidRPr="006A4DE4">
        <w:rPr>
          <w:rFonts w:ascii="Times New Roman" w:hAnsi="Times New Roman" w:cs="Times New Roman"/>
          <w:sz w:val="22"/>
          <w:szCs w:val="22"/>
        </w:rPr>
        <w:t>, 772 F.2d 1043, 1049 (2d Cir. 1985)</w:t>
      </w:r>
      <w:bookmarkEnd w:id="0"/>
      <w:r w:rsidRPr="006A4DE4">
        <w:rPr>
          <w:rFonts w:ascii="Times New Roman" w:hAnsi="Times New Roman" w:cs="Times New Roman"/>
          <w:sz w:val="22"/>
          <w:szCs w:val="22"/>
        </w:rPr>
        <w:t>.</w:t>
      </w:r>
    </w:p>
  </w:footnote>
  <w:footnote w:id="28">
    <w:p w14:paraId="48B6AC7E" w14:textId="77777777" w:rsidR="00A74868" w:rsidRPr="006A4DE4" w:rsidRDefault="00A74868" w:rsidP="00A74868">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NEPA § 102(C), </w:t>
      </w:r>
      <w:r w:rsidRPr="006A4DE4">
        <w:rPr>
          <w:rFonts w:ascii="Times New Roman" w:hAnsi="Times New Roman" w:cs="Times New Roman"/>
          <w:i/>
          <w:iCs/>
          <w:sz w:val="22"/>
          <w:szCs w:val="22"/>
        </w:rPr>
        <w:t xml:space="preserve">codified at </w:t>
      </w:r>
      <w:r w:rsidRPr="006A4DE4">
        <w:rPr>
          <w:rFonts w:ascii="Times New Roman" w:hAnsi="Times New Roman" w:cs="Times New Roman"/>
          <w:sz w:val="22"/>
          <w:szCs w:val="22"/>
        </w:rPr>
        <w:t>42 U.S.C. § 4332(C).</w:t>
      </w:r>
    </w:p>
  </w:footnote>
  <w:footnote w:id="29">
    <w:p w14:paraId="23043392" w14:textId="77777777" w:rsidR="00A74868" w:rsidRPr="006A4DE4" w:rsidRDefault="00A74868" w:rsidP="00A74868">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Sierra Club</w:t>
      </w:r>
      <w:r w:rsidRPr="006A4DE4">
        <w:rPr>
          <w:rFonts w:ascii="Times New Roman" w:hAnsi="Times New Roman" w:cs="Times New Roman"/>
          <w:iCs/>
          <w:sz w:val="22"/>
          <w:szCs w:val="22"/>
        </w:rPr>
        <w:t>,</w:t>
      </w:r>
      <w:r w:rsidRPr="006A4DE4">
        <w:rPr>
          <w:rFonts w:ascii="Times New Roman" w:hAnsi="Times New Roman" w:cs="Times New Roman"/>
          <w:i/>
          <w:sz w:val="22"/>
          <w:szCs w:val="22"/>
        </w:rPr>
        <w:t xml:space="preserve"> </w:t>
      </w:r>
      <w:r w:rsidRPr="006A4DE4">
        <w:rPr>
          <w:rFonts w:ascii="Times New Roman" w:hAnsi="Times New Roman" w:cs="Times New Roman"/>
          <w:sz w:val="22"/>
          <w:szCs w:val="22"/>
        </w:rPr>
        <w:t xml:space="preserve">772 F.2d at 1049 (citing </w:t>
      </w:r>
      <w:r w:rsidRPr="006A4DE4">
        <w:rPr>
          <w:rFonts w:ascii="Times New Roman" w:hAnsi="Times New Roman" w:cs="Times New Roman"/>
          <w:i/>
          <w:sz w:val="22"/>
          <w:szCs w:val="22"/>
        </w:rPr>
        <w:t>Vermont Yankee Nuclear Power Corp. v. NRDC</w:t>
      </w:r>
      <w:r w:rsidRPr="006A4DE4">
        <w:rPr>
          <w:rFonts w:ascii="Times New Roman" w:hAnsi="Times New Roman" w:cs="Times New Roman"/>
          <w:sz w:val="22"/>
          <w:szCs w:val="22"/>
        </w:rPr>
        <w:t>, 435 U.S. 519, 558 (1978)).</w:t>
      </w:r>
    </w:p>
  </w:footnote>
  <w:footnote w:id="30">
    <w:p w14:paraId="733B1AB0" w14:textId="77777777" w:rsidR="00A74868" w:rsidRPr="006A4DE4" w:rsidRDefault="00A74868" w:rsidP="00A74868">
      <w:pPr>
        <w:pStyle w:val="FootnoteText"/>
        <w:rPr>
          <w:rFonts w:ascii="Times New Roman" w:hAnsi="Times New Roman" w:cs="Times New Roman"/>
          <w:i/>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Id.</w:t>
      </w:r>
    </w:p>
  </w:footnote>
  <w:footnote w:id="31">
    <w:p w14:paraId="3D7BCA0C" w14:textId="77777777" w:rsidR="00A74868" w:rsidRPr="006A4DE4" w:rsidRDefault="00A74868" w:rsidP="00A74868">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Id.</w:t>
      </w:r>
      <w:r w:rsidRPr="006A4DE4">
        <w:rPr>
          <w:rFonts w:ascii="Times New Roman" w:hAnsi="Times New Roman" w:cs="Times New Roman"/>
          <w:sz w:val="22"/>
          <w:szCs w:val="22"/>
        </w:rPr>
        <w:t xml:space="preserve"> (citing </w:t>
      </w:r>
      <w:r w:rsidRPr="006A4DE4">
        <w:rPr>
          <w:rFonts w:ascii="Times New Roman" w:hAnsi="Times New Roman" w:cs="Times New Roman"/>
          <w:i/>
          <w:sz w:val="22"/>
          <w:szCs w:val="22"/>
        </w:rPr>
        <w:t>Silva v. Lynn</w:t>
      </w:r>
      <w:r w:rsidRPr="006A4DE4">
        <w:rPr>
          <w:rFonts w:ascii="Times New Roman" w:hAnsi="Times New Roman" w:cs="Times New Roman"/>
          <w:sz w:val="22"/>
          <w:szCs w:val="22"/>
        </w:rPr>
        <w:t>, 482 F.2d 1282, 1284–85 (1st Cir. 1973)).</w:t>
      </w:r>
    </w:p>
  </w:footnote>
  <w:footnote w:id="32">
    <w:p w14:paraId="4C7CAF60" w14:textId="77777777" w:rsidR="00AC2CD5" w:rsidRPr="006A4DE4" w:rsidRDefault="00AC2CD5" w:rsidP="00AC2CD5">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NEPA § 102(C), </w:t>
      </w:r>
      <w:r w:rsidRPr="006A4DE4">
        <w:rPr>
          <w:rFonts w:ascii="Times New Roman" w:hAnsi="Times New Roman" w:cs="Times New Roman"/>
          <w:i/>
          <w:iCs/>
          <w:sz w:val="22"/>
          <w:szCs w:val="22"/>
        </w:rPr>
        <w:t xml:space="preserve">codified at </w:t>
      </w:r>
      <w:r w:rsidRPr="006A4DE4">
        <w:rPr>
          <w:rFonts w:ascii="Times New Roman" w:hAnsi="Times New Roman" w:cs="Times New Roman"/>
          <w:sz w:val="22"/>
          <w:szCs w:val="22"/>
        </w:rPr>
        <w:t>42 U.S.C. § 4332(2)(C).</w:t>
      </w:r>
    </w:p>
  </w:footnote>
  <w:footnote w:id="33">
    <w:p w14:paraId="678711EA" w14:textId="77777777" w:rsidR="00B71BEB" w:rsidRPr="006A4DE4" w:rsidRDefault="00B71BEB" w:rsidP="00B71BE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521 F.2d 661, 666, 676-77 (9th Cir. 1975). </w:t>
      </w:r>
    </w:p>
  </w:footnote>
  <w:footnote w:id="34">
    <w:p w14:paraId="43C72675" w14:textId="77777777" w:rsidR="00B71BEB" w:rsidRPr="006A4DE4" w:rsidRDefault="00B71BEB" w:rsidP="00B71BE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Id.</w:t>
      </w:r>
      <w:r w:rsidRPr="006A4DE4">
        <w:rPr>
          <w:rFonts w:ascii="Times New Roman" w:hAnsi="Times New Roman" w:cs="Times New Roman"/>
          <w:sz w:val="22"/>
          <w:szCs w:val="22"/>
        </w:rPr>
        <w:t xml:space="preserve"> at 675. </w:t>
      </w:r>
    </w:p>
  </w:footnote>
  <w:footnote w:id="35">
    <w:p w14:paraId="4A1B3849" w14:textId="77777777" w:rsidR="00B71BEB" w:rsidRPr="006A4DE4" w:rsidRDefault="00B71BEB" w:rsidP="00B71BE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Id.</w:t>
      </w:r>
      <w:r w:rsidRPr="006A4DE4">
        <w:rPr>
          <w:rFonts w:ascii="Times New Roman" w:hAnsi="Times New Roman" w:cs="Times New Roman"/>
          <w:sz w:val="22"/>
          <w:szCs w:val="22"/>
        </w:rPr>
        <w:t xml:space="preserve"> at 676.</w:t>
      </w:r>
    </w:p>
  </w:footnote>
  <w:footnote w:id="36">
    <w:p w14:paraId="114B23EF" w14:textId="77777777" w:rsidR="00B71BEB" w:rsidRPr="006A4DE4" w:rsidRDefault="00B71BEB" w:rsidP="00B71BE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Id.</w:t>
      </w:r>
      <w:r w:rsidRPr="006A4DE4">
        <w:rPr>
          <w:rFonts w:ascii="Times New Roman" w:hAnsi="Times New Roman" w:cs="Times New Roman"/>
          <w:sz w:val="22"/>
          <w:szCs w:val="22"/>
        </w:rPr>
        <w:t xml:space="preserve"> at 675-76. </w:t>
      </w:r>
    </w:p>
  </w:footnote>
  <w:footnote w:id="37">
    <w:p w14:paraId="0AAE5262" w14:textId="77777777" w:rsidR="00B71BEB" w:rsidRPr="006A4DE4" w:rsidRDefault="00B71BEB" w:rsidP="00B71BE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498 F.2d 1314, 1323 (8th Cir. 1974). </w:t>
      </w:r>
    </w:p>
  </w:footnote>
  <w:footnote w:id="38">
    <w:p w14:paraId="5C9B22D0" w14:textId="77777777" w:rsidR="00B71BEB" w:rsidRPr="006A4DE4" w:rsidRDefault="00B71BEB" w:rsidP="00B71BE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Id.</w:t>
      </w:r>
      <w:r w:rsidRPr="006A4DE4">
        <w:rPr>
          <w:rFonts w:ascii="Times New Roman" w:hAnsi="Times New Roman" w:cs="Times New Roman"/>
          <w:sz w:val="22"/>
          <w:szCs w:val="22"/>
        </w:rPr>
        <w:t xml:space="preserve"> at 1322 (footnote omitted).</w:t>
      </w:r>
    </w:p>
  </w:footnote>
  <w:footnote w:id="39">
    <w:p w14:paraId="46935BA8" w14:textId="77777777" w:rsidR="00B71BEB" w:rsidRPr="006A4DE4" w:rsidRDefault="00B71BEB" w:rsidP="00B71BEB">
      <w:pPr>
        <w:pStyle w:val="FootnoteText"/>
        <w:tabs>
          <w:tab w:val="left" w:pos="1600"/>
        </w:tabs>
        <w:rPr>
          <w:rFonts w:ascii="Times New Roman" w:hAnsi="Times New Roman" w:cs="Times New Roman"/>
          <w:i/>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Id.</w:t>
      </w:r>
    </w:p>
  </w:footnote>
  <w:footnote w:id="40">
    <w:p w14:paraId="1E300A8F" w14:textId="77777777" w:rsidR="00B71BEB" w:rsidRPr="006A4DE4" w:rsidRDefault="00B71BEB" w:rsidP="00B71BE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427 U.S. 390, 410 (1976).</w:t>
      </w:r>
    </w:p>
  </w:footnote>
  <w:footnote w:id="41">
    <w:p w14:paraId="3411D136" w14:textId="77777777" w:rsidR="00B71BEB" w:rsidRPr="006A4DE4" w:rsidRDefault="00B71BEB" w:rsidP="00B71BE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Id.</w:t>
      </w:r>
      <w:r w:rsidRPr="006A4DE4">
        <w:rPr>
          <w:rFonts w:ascii="Times New Roman" w:hAnsi="Times New Roman" w:cs="Times New Roman"/>
          <w:sz w:val="22"/>
          <w:szCs w:val="22"/>
        </w:rPr>
        <w:t xml:space="preserve"> In </w:t>
      </w:r>
      <w:r w:rsidRPr="006A4DE4">
        <w:rPr>
          <w:rFonts w:ascii="Times New Roman" w:hAnsi="Times New Roman" w:cs="Times New Roman"/>
          <w:i/>
          <w:sz w:val="22"/>
          <w:szCs w:val="22"/>
        </w:rPr>
        <w:t>Kleppe</w:t>
      </w:r>
      <w:r w:rsidRPr="006A4DE4">
        <w:rPr>
          <w:rFonts w:ascii="Times New Roman" w:hAnsi="Times New Roman" w:cs="Times New Roman"/>
          <w:sz w:val="22"/>
          <w:szCs w:val="22"/>
        </w:rPr>
        <w:t xml:space="preserve">, the Court determined that no such multiple proposals existed, and therefore a regional analysis of the cumulative impacts of a proposed mining operation was not required—particularly when the agency had separately prepared a program-wide EIS for all of its coal-related activities. </w:t>
      </w:r>
      <w:r w:rsidRPr="006A4DE4">
        <w:rPr>
          <w:rFonts w:ascii="Times New Roman" w:hAnsi="Times New Roman" w:cs="Times New Roman"/>
          <w:i/>
          <w:sz w:val="22"/>
          <w:szCs w:val="22"/>
        </w:rPr>
        <w:t>Id.</w:t>
      </w:r>
      <w:r w:rsidRPr="006A4DE4">
        <w:rPr>
          <w:rFonts w:ascii="Times New Roman" w:hAnsi="Times New Roman" w:cs="Times New Roman"/>
          <w:sz w:val="22"/>
          <w:szCs w:val="22"/>
        </w:rPr>
        <w:t xml:space="preserve"> at 398-400.</w:t>
      </w:r>
    </w:p>
  </w:footnote>
  <w:footnote w:id="42">
    <w:p w14:paraId="2A93E67A" w14:textId="77777777" w:rsidR="00B71BEB" w:rsidRPr="006A4DE4" w:rsidRDefault="00B71BEB" w:rsidP="00B71BE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iCs/>
          <w:sz w:val="22"/>
          <w:szCs w:val="22"/>
        </w:rPr>
        <w:t>Balt. Gas &amp; Elec. Co. v. NRDC</w:t>
      </w:r>
      <w:r w:rsidRPr="006A4DE4">
        <w:rPr>
          <w:rFonts w:ascii="Times New Roman" w:hAnsi="Times New Roman" w:cs="Times New Roman"/>
          <w:sz w:val="22"/>
          <w:szCs w:val="22"/>
        </w:rPr>
        <w:t>, 462 U.S. 87, 106–07 (1983) (emphasis added).</w:t>
      </w:r>
    </w:p>
  </w:footnote>
  <w:footnote w:id="43">
    <w:p w14:paraId="06FD9257" w14:textId="77777777" w:rsidR="00B71BEB" w:rsidRPr="006A4DE4" w:rsidRDefault="00B71BEB" w:rsidP="00B71BE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524 F.2d 79, 87-90 (2d Cir. 1975).</w:t>
      </w:r>
    </w:p>
  </w:footnote>
  <w:footnote w:id="44">
    <w:p w14:paraId="48E3DA0A" w14:textId="77777777" w:rsidR="00B71BEB" w:rsidRPr="006A4DE4" w:rsidRDefault="00B71BEB" w:rsidP="00B71BE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Id.</w:t>
      </w:r>
      <w:r w:rsidRPr="006A4DE4">
        <w:rPr>
          <w:rFonts w:ascii="Times New Roman" w:hAnsi="Times New Roman" w:cs="Times New Roman"/>
          <w:sz w:val="22"/>
          <w:szCs w:val="22"/>
        </w:rPr>
        <w:t xml:space="preserve"> at 88.</w:t>
      </w:r>
    </w:p>
  </w:footnote>
  <w:footnote w:id="45">
    <w:p w14:paraId="68308194" w14:textId="77777777" w:rsidR="00B71BEB" w:rsidRPr="006A4DE4" w:rsidRDefault="00B71BEB" w:rsidP="00B71BE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Id.</w:t>
      </w:r>
    </w:p>
  </w:footnote>
  <w:footnote w:id="46">
    <w:p w14:paraId="27E803B4" w14:textId="77777777" w:rsidR="00B71BEB" w:rsidRPr="006A4DE4" w:rsidRDefault="00B71BEB" w:rsidP="00B71BE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471 F.2d 823, 830-31, 836 (2d Cir. 1972).</w:t>
      </w:r>
    </w:p>
  </w:footnote>
  <w:footnote w:id="47">
    <w:p w14:paraId="0AE2CA50" w14:textId="77777777" w:rsidR="00B71BEB" w:rsidRPr="006A4DE4" w:rsidRDefault="00B71BEB" w:rsidP="00B71BEB">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508 F.2d 927, 934-36 (2d Cir. 1974), </w:t>
      </w:r>
      <w:r w:rsidRPr="006A4DE4">
        <w:rPr>
          <w:rFonts w:ascii="Times New Roman" w:hAnsi="Times New Roman" w:cs="Times New Roman"/>
          <w:i/>
          <w:sz w:val="22"/>
          <w:szCs w:val="22"/>
        </w:rPr>
        <w:t>judgment vacated and remanded on other grounds</w:t>
      </w:r>
      <w:r w:rsidRPr="006A4DE4">
        <w:rPr>
          <w:rFonts w:ascii="Times New Roman" w:hAnsi="Times New Roman" w:cs="Times New Roman"/>
          <w:sz w:val="22"/>
          <w:szCs w:val="22"/>
        </w:rPr>
        <w:t>, 423 U.S. 809 (1975).</w:t>
      </w:r>
    </w:p>
  </w:footnote>
  <w:footnote w:id="48">
    <w:p w14:paraId="39782233" w14:textId="77777777" w:rsidR="00B71BEB" w:rsidRPr="006A4DE4" w:rsidRDefault="00B71BEB" w:rsidP="00B71BEB">
      <w:pPr>
        <w:pStyle w:val="FootnoteText"/>
        <w:rPr>
          <w:rFonts w:ascii="Times New Roman" w:hAnsi="Times New Roman" w:cs="Times New Roman"/>
          <w:i/>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541 F.2d 967, 972 (2d Cir. 1976) (citing </w:t>
      </w:r>
      <w:r w:rsidRPr="006A4DE4">
        <w:rPr>
          <w:rFonts w:ascii="Times New Roman" w:hAnsi="Times New Roman" w:cs="Times New Roman"/>
          <w:i/>
          <w:sz w:val="22"/>
          <w:szCs w:val="22"/>
        </w:rPr>
        <w:t>Scientists’ Inst. for Pub. Information v. Atomic Energy Comm’n</w:t>
      </w:r>
      <w:r w:rsidRPr="006A4DE4">
        <w:rPr>
          <w:rFonts w:ascii="Times New Roman" w:hAnsi="Times New Roman" w:cs="Times New Roman"/>
          <w:sz w:val="22"/>
          <w:szCs w:val="22"/>
        </w:rPr>
        <w:t xml:space="preserve">, 481 F.2d 1079, 1086-87 (D.C. Cir. 1973)). </w:t>
      </w:r>
      <w:r w:rsidRPr="006A4DE4">
        <w:rPr>
          <w:rFonts w:ascii="Times New Roman" w:hAnsi="Times New Roman" w:cs="Times New Roman"/>
          <w:i/>
          <w:sz w:val="22"/>
          <w:szCs w:val="22"/>
        </w:rPr>
        <w:t xml:space="preserve"> </w:t>
      </w:r>
    </w:p>
  </w:footnote>
  <w:footnote w:id="49">
    <w:p w14:paraId="2C92BB10" w14:textId="77777777" w:rsidR="00441C3C" w:rsidRPr="006A4DE4" w:rsidRDefault="00441C3C" w:rsidP="00441C3C">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40 C.F.R. § 1508.18.</w:t>
      </w:r>
    </w:p>
  </w:footnote>
  <w:footnote w:id="50">
    <w:p w14:paraId="141F11A8" w14:textId="77777777" w:rsidR="00441C3C" w:rsidRPr="006A4DE4" w:rsidRDefault="00441C3C" w:rsidP="00441C3C">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iCs/>
          <w:sz w:val="22"/>
          <w:szCs w:val="22"/>
        </w:rPr>
        <w:t>Id.</w:t>
      </w:r>
    </w:p>
  </w:footnote>
  <w:footnote w:id="51">
    <w:p w14:paraId="06F52065" w14:textId="77777777" w:rsidR="00441C3C" w:rsidRPr="006A4DE4" w:rsidRDefault="00441C3C" w:rsidP="00441C3C">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iCs/>
          <w:sz w:val="22"/>
          <w:szCs w:val="22"/>
        </w:rPr>
        <w:t>See, e.g.</w:t>
      </w:r>
      <w:r w:rsidRPr="006A4DE4">
        <w:rPr>
          <w:rFonts w:ascii="Times New Roman" w:hAnsi="Times New Roman" w:cs="Times New Roman"/>
          <w:sz w:val="22"/>
          <w:szCs w:val="22"/>
        </w:rPr>
        <w:t xml:space="preserve">, </w:t>
      </w:r>
      <w:r w:rsidRPr="006A4DE4">
        <w:rPr>
          <w:rFonts w:ascii="Times New Roman" w:hAnsi="Times New Roman" w:cs="Times New Roman"/>
          <w:bCs/>
          <w:i/>
          <w:sz w:val="22"/>
          <w:szCs w:val="22"/>
        </w:rPr>
        <w:t>Andrus v. Sierra Club</w:t>
      </w:r>
      <w:r w:rsidRPr="006A4DE4">
        <w:rPr>
          <w:rFonts w:ascii="Times New Roman" w:hAnsi="Times New Roman" w:cs="Times New Roman"/>
          <w:bCs/>
          <w:sz w:val="22"/>
          <w:szCs w:val="22"/>
        </w:rPr>
        <w:t xml:space="preserve">, 442 U.S. 347, 364 n.23 (1979); </w:t>
      </w:r>
      <w:r w:rsidRPr="006A4DE4">
        <w:rPr>
          <w:rFonts w:ascii="Times New Roman" w:eastAsia="Times New Roman" w:hAnsi="Times New Roman" w:cs="Times New Roman"/>
          <w:i/>
          <w:iCs/>
          <w:sz w:val="22"/>
          <w:szCs w:val="22"/>
        </w:rPr>
        <w:t>Idaho Conservation League v. Bonneville Power Administration</w:t>
      </w:r>
      <w:r w:rsidRPr="006A4DE4">
        <w:rPr>
          <w:rFonts w:ascii="Times New Roman" w:eastAsia="Times New Roman" w:hAnsi="Times New Roman" w:cs="Times New Roman"/>
          <w:sz w:val="22"/>
          <w:szCs w:val="22"/>
        </w:rPr>
        <w:t>, 826 F.3d 1173, 1175 (9th Cir. 2016)</w:t>
      </w:r>
      <w:r w:rsidRPr="006A4DE4">
        <w:rPr>
          <w:rFonts w:ascii="Times New Roman" w:eastAsia="Times New Roman" w:hAnsi="Times New Roman" w:cs="Times New Roman"/>
          <w:bCs/>
          <w:sz w:val="22"/>
          <w:szCs w:val="22"/>
        </w:rPr>
        <w:t xml:space="preserve">; </w:t>
      </w:r>
      <w:r w:rsidRPr="006A4DE4">
        <w:rPr>
          <w:rFonts w:ascii="Times New Roman" w:eastAsia="Times New Roman" w:hAnsi="Times New Roman" w:cs="Times New Roman"/>
          <w:bCs/>
          <w:i/>
          <w:iCs/>
          <w:sz w:val="22"/>
          <w:szCs w:val="22"/>
        </w:rPr>
        <w:t>Sierra Club v. U.S. Army Corps of Engineers</w:t>
      </w:r>
      <w:r w:rsidRPr="006A4DE4">
        <w:rPr>
          <w:rFonts w:ascii="Times New Roman" w:eastAsia="Times New Roman" w:hAnsi="Times New Roman" w:cs="Times New Roman"/>
          <w:bCs/>
          <w:sz w:val="22"/>
          <w:szCs w:val="22"/>
        </w:rPr>
        <w:t xml:space="preserve">, 803 F.3d 31, 37 (D.C. Cir. 2015); </w:t>
      </w:r>
      <w:r w:rsidRPr="006A4DE4">
        <w:rPr>
          <w:rFonts w:ascii="Times New Roman" w:eastAsia="Times New Roman" w:hAnsi="Times New Roman" w:cs="Times New Roman"/>
          <w:bCs/>
          <w:i/>
          <w:iCs/>
          <w:sz w:val="22"/>
          <w:szCs w:val="22"/>
        </w:rPr>
        <w:t>Sierra Club v. U.S. Army Corps of Engineer</w:t>
      </w:r>
      <w:r w:rsidRPr="006A4DE4">
        <w:rPr>
          <w:rFonts w:ascii="Times New Roman" w:eastAsia="Times New Roman" w:hAnsi="Times New Roman" w:cs="Times New Roman"/>
          <w:bCs/>
          <w:sz w:val="22"/>
          <w:szCs w:val="22"/>
        </w:rPr>
        <w:t xml:space="preserve">s, 295 F.3d 1209, 1214–15 &amp; n.10 (11th Cir. 2002); </w:t>
      </w:r>
      <w:r w:rsidRPr="006A4DE4">
        <w:rPr>
          <w:rFonts w:ascii="Times New Roman" w:eastAsia="Times New Roman" w:hAnsi="Times New Roman" w:cs="Times New Roman"/>
          <w:bCs/>
          <w:i/>
          <w:iCs/>
          <w:sz w:val="22"/>
          <w:szCs w:val="22"/>
        </w:rPr>
        <w:t>National Audubon Soc. v. Hoffman</w:t>
      </w:r>
      <w:r w:rsidRPr="006A4DE4">
        <w:rPr>
          <w:rFonts w:ascii="Times New Roman" w:eastAsia="Times New Roman" w:hAnsi="Times New Roman" w:cs="Times New Roman"/>
          <w:bCs/>
          <w:sz w:val="22"/>
          <w:szCs w:val="22"/>
        </w:rPr>
        <w:t xml:space="preserve">, 132 F.3d 7, 13 (2d Cir. 1997); </w:t>
      </w:r>
      <w:r w:rsidRPr="006A4DE4">
        <w:rPr>
          <w:rFonts w:ascii="Times New Roman" w:eastAsia="Times New Roman" w:hAnsi="Times New Roman" w:cs="Times New Roman"/>
          <w:bCs/>
          <w:i/>
          <w:iCs/>
          <w:sz w:val="22"/>
          <w:szCs w:val="22"/>
        </w:rPr>
        <w:t>Bunch v. Hodel</w:t>
      </w:r>
      <w:r w:rsidRPr="006A4DE4">
        <w:rPr>
          <w:rFonts w:ascii="Times New Roman" w:eastAsia="Times New Roman" w:hAnsi="Times New Roman" w:cs="Times New Roman"/>
          <w:bCs/>
          <w:sz w:val="22"/>
          <w:szCs w:val="22"/>
        </w:rPr>
        <w:t>, 793 F.2d 129, 135 (6th Cir. 1986); s</w:t>
      </w:r>
      <w:r w:rsidRPr="006A4DE4">
        <w:rPr>
          <w:rFonts w:ascii="Times New Roman" w:hAnsi="Times New Roman" w:cs="Times New Roman"/>
          <w:i/>
          <w:iCs/>
          <w:sz w:val="22"/>
          <w:szCs w:val="22"/>
        </w:rPr>
        <w:t xml:space="preserve">ee also </w:t>
      </w:r>
      <w:r w:rsidRPr="006A4DE4">
        <w:rPr>
          <w:rFonts w:ascii="Times New Roman" w:eastAsia="Times New Roman" w:hAnsi="Times New Roman" w:cs="Times New Roman"/>
          <w:i/>
          <w:iCs/>
          <w:sz w:val="22"/>
          <w:szCs w:val="22"/>
        </w:rPr>
        <w:t>Government of Province of Manitoba v. Zinke</w:t>
      </w:r>
      <w:r w:rsidRPr="006A4DE4">
        <w:rPr>
          <w:rFonts w:ascii="Times New Roman" w:eastAsia="Times New Roman" w:hAnsi="Times New Roman" w:cs="Times New Roman"/>
          <w:sz w:val="22"/>
          <w:szCs w:val="22"/>
        </w:rPr>
        <w:t>, 849 F.3d 1111, 1115 (D.C. Cir. 2017) (treating the question of whether a federal action is “major” as being determined by whether the action has a significant environmental impact)</w:t>
      </w:r>
      <w:r w:rsidRPr="006A4DE4">
        <w:rPr>
          <w:rFonts w:ascii="Times New Roman" w:eastAsia="Times New Roman" w:hAnsi="Times New Roman" w:cs="Times New Roman"/>
          <w:iCs/>
          <w:sz w:val="22"/>
          <w:szCs w:val="22"/>
        </w:rPr>
        <w:t>;</w:t>
      </w:r>
      <w:r w:rsidRPr="006A4DE4">
        <w:rPr>
          <w:rFonts w:ascii="Times New Roman" w:eastAsia="Times New Roman" w:hAnsi="Times New Roman" w:cs="Times New Roman"/>
          <w:i/>
          <w:sz w:val="22"/>
          <w:szCs w:val="22"/>
        </w:rPr>
        <w:t xml:space="preserve"> Monroe County Conservation Council, Inc. v. Volpe</w:t>
      </w:r>
      <w:r w:rsidRPr="006A4DE4">
        <w:rPr>
          <w:rFonts w:ascii="Times New Roman" w:eastAsia="Times New Roman" w:hAnsi="Times New Roman" w:cs="Times New Roman"/>
          <w:sz w:val="22"/>
          <w:szCs w:val="22"/>
        </w:rPr>
        <w:t xml:space="preserve">, 472 F.2d 693, 698 (2d Cir. 1972) (accepting and applying DOT rule that clarified that any federal action significantly affecting the environment </w:t>
      </w:r>
      <w:r w:rsidRPr="006A4DE4">
        <w:rPr>
          <w:rFonts w:ascii="Times New Roman" w:eastAsia="Times New Roman" w:hAnsi="Times New Roman" w:cs="Times New Roman"/>
          <w:i/>
          <w:iCs/>
          <w:sz w:val="22"/>
          <w:szCs w:val="22"/>
        </w:rPr>
        <w:t xml:space="preserve">is </w:t>
      </w:r>
      <w:r w:rsidRPr="006A4DE4">
        <w:rPr>
          <w:rFonts w:ascii="Times New Roman" w:eastAsia="Times New Roman" w:hAnsi="Times New Roman" w:cs="Times New Roman"/>
          <w:sz w:val="22"/>
          <w:szCs w:val="22"/>
        </w:rPr>
        <w:t>major).</w:t>
      </w:r>
    </w:p>
  </w:footnote>
  <w:footnote w:id="52">
    <w:p w14:paraId="04E86550" w14:textId="77777777" w:rsidR="00441C3C" w:rsidRPr="006A4DE4" w:rsidRDefault="00441C3C" w:rsidP="00441C3C">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85 Fed. Reg. at 1708-09.</w:t>
      </w:r>
    </w:p>
  </w:footnote>
  <w:footnote w:id="53">
    <w:p w14:paraId="62835E64" w14:textId="77777777" w:rsidR="00441C3C" w:rsidRPr="006A4DE4" w:rsidRDefault="00441C3C" w:rsidP="00441C3C">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iCs/>
          <w:sz w:val="22"/>
          <w:szCs w:val="22"/>
        </w:rPr>
        <w:t>Dolan v. U.S. Postal Service</w:t>
      </w:r>
      <w:r w:rsidRPr="006A4DE4">
        <w:rPr>
          <w:rFonts w:ascii="Times New Roman" w:hAnsi="Times New Roman" w:cs="Times New Roman"/>
          <w:sz w:val="22"/>
          <w:szCs w:val="22"/>
        </w:rPr>
        <w:t>, 546 U.S. 481, 486 (2006).</w:t>
      </w:r>
    </w:p>
  </w:footnote>
  <w:footnote w:id="54">
    <w:p w14:paraId="64C9023C" w14:textId="77777777" w:rsidR="00441C3C" w:rsidRPr="006A4DE4" w:rsidRDefault="00441C3C" w:rsidP="00441C3C">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iCs/>
          <w:sz w:val="22"/>
          <w:szCs w:val="22"/>
        </w:rPr>
        <w:t>King v. Burwell</w:t>
      </w:r>
      <w:r w:rsidRPr="006A4DE4">
        <w:rPr>
          <w:rFonts w:ascii="Times New Roman" w:hAnsi="Times New Roman" w:cs="Times New Roman"/>
          <w:sz w:val="22"/>
          <w:szCs w:val="22"/>
        </w:rPr>
        <w:t>, 135 S. Ct. 2480, 2492 (internal quotation marks omitted).</w:t>
      </w:r>
    </w:p>
  </w:footnote>
  <w:footnote w:id="55">
    <w:p w14:paraId="0E67A4D2" w14:textId="77777777" w:rsidR="00441C3C" w:rsidRPr="006A4DE4" w:rsidRDefault="00441C3C" w:rsidP="00441C3C">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NEPA § 101(b), </w:t>
      </w:r>
      <w:r w:rsidRPr="006A4DE4">
        <w:rPr>
          <w:rFonts w:ascii="Times New Roman" w:hAnsi="Times New Roman" w:cs="Times New Roman"/>
          <w:i/>
          <w:iCs/>
          <w:sz w:val="22"/>
          <w:szCs w:val="22"/>
        </w:rPr>
        <w:t xml:space="preserve">codified at </w:t>
      </w:r>
      <w:r w:rsidRPr="006A4DE4">
        <w:rPr>
          <w:rFonts w:ascii="Times New Roman" w:hAnsi="Times New Roman" w:cs="Times New Roman"/>
          <w:sz w:val="22"/>
          <w:szCs w:val="22"/>
        </w:rPr>
        <w:t>42 U.S.C. § 4331(b).</w:t>
      </w:r>
    </w:p>
  </w:footnote>
  <w:footnote w:id="56">
    <w:p w14:paraId="392ACAC8" w14:textId="77777777" w:rsidR="00441C3C" w:rsidRPr="006A4DE4" w:rsidRDefault="00441C3C" w:rsidP="00441C3C">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iCs/>
          <w:sz w:val="22"/>
          <w:szCs w:val="22"/>
        </w:rPr>
        <w:t>Chickasaw Nation v. United States</w:t>
      </w:r>
      <w:r w:rsidRPr="006A4DE4">
        <w:rPr>
          <w:rFonts w:ascii="Times New Roman" w:hAnsi="Times New Roman" w:cs="Times New Roman"/>
          <w:sz w:val="22"/>
          <w:szCs w:val="22"/>
        </w:rPr>
        <w:t xml:space="preserve">, 534 U.S. 84, 94 (2001); </w:t>
      </w:r>
      <w:r w:rsidRPr="006A4DE4">
        <w:rPr>
          <w:rFonts w:ascii="Times New Roman" w:hAnsi="Times New Roman" w:cs="Times New Roman"/>
          <w:i/>
          <w:iCs/>
          <w:sz w:val="22"/>
          <w:szCs w:val="22"/>
        </w:rPr>
        <w:t>see also King</w:t>
      </w:r>
      <w:r w:rsidRPr="006A4DE4">
        <w:rPr>
          <w:rFonts w:ascii="Times New Roman" w:hAnsi="Times New Roman" w:cs="Times New Roman"/>
          <w:iCs/>
          <w:sz w:val="22"/>
          <w:szCs w:val="22"/>
        </w:rPr>
        <w:t>,</w:t>
      </w:r>
      <w:r w:rsidRPr="006A4DE4">
        <w:rPr>
          <w:rFonts w:ascii="Times New Roman" w:hAnsi="Times New Roman" w:cs="Times New Roman"/>
          <w:i/>
          <w:iCs/>
          <w:sz w:val="22"/>
          <w:szCs w:val="22"/>
        </w:rPr>
        <w:t xml:space="preserve"> </w:t>
      </w:r>
      <w:r w:rsidRPr="006A4DE4">
        <w:rPr>
          <w:rFonts w:ascii="Times New Roman" w:hAnsi="Times New Roman" w:cs="Times New Roman"/>
          <w:sz w:val="22"/>
          <w:szCs w:val="22"/>
        </w:rPr>
        <w:t xml:space="preserve">135 S. Ct. at 2492 (observing that “our preference for avoiding surplusage constructions is not absolute,” and that </w:t>
      </w:r>
      <w:r w:rsidRPr="006A4DE4">
        <w:rPr>
          <w:rFonts w:ascii="Times New Roman" w:hAnsi="Times New Roman" w:cs="Times New Roman"/>
          <w:i/>
          <w:iCs/>
          <w:sz w:val="22"/>
          <w:szCs w:val="22"/>
        </w:rPr>
        <w:t>“</w:t>
      </w:r>
      <w:r w:rsidRPr="006A4DE4">
        <w:rPr>
          <w:rFonts w:ascii="Times New Roman" w:hAnsi="Times New Roman" w:cs="Times New Roman"/>
          <w:sz w:val="22"/>
          <w:szCs w:val="22"/>
        </w:rPr>
        <w:t>rigorous application of the canon does not seem a particularly useful guide to a fair construction of the [statute at issue in that case]” (internal quotation marks omitted)).</w:t>
      </w:r>
    </w:p>
  </w:footnote>
  <w:footnote w:id="57">
    <w:p w14:paraId="39B220DD" w14:textId="77777777" w:rsidR="00441C3C" w:rsidRPr="006A4DE4" w:rsidRDefault="00441C3C" w:rsidP="00441C3C">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iCs/>
          <w:sz w:val="22"/>
          <w:szCs w:val="22"/>
        </w:rPr>
        <w:t>See, e.g.</w:t>
      </w:r>
      <w:r w:rsidRPr="006A4DE4">
        <w:rPr>
          <w:rFonts w:ascii="Times New Roman" w:hAnsi="Times New Roman" w:cs="Times New Roman"/>
          <w:sz w:val="22"/>
          <w:szCs w:val="22"/>
        </w:rPr>
        <w:t xml:space="preserve">, Abbe R. Gluck &amp; Lisa Schultz </w:t>
      </w:r>
      <w:proofErr w:type="spellStart"/>
      <w:r w:rsidRPr="006A4DE4">
        <w:rPr>
          <w:rFonts w:ascii="Times New Roman" w:hAnsi="Times New Roman" w:cs="Times New Roman"/>
          <w:sz w:val="22"/>
          <w:szCs w:val="22"/>
        </w:rPr>
        <w:t>Bressman</w:t>
      </w:r>
      <w:proofErr w:type="spellEnd"/>
      <w:r w:rsidRPr="006A4DE4">
        <w:rPr>
          <w:rFonts w:ascii="Times New Roman" w:hAnsi="Times New Roman" w:cs="Times New Roman"/>
          <w:sz w:val="22"/>
          <w:szCs w:val="22"/>
        </w:rPr>
        <w:t xml:space="preserve">, Statutory Interpretation from the Inside — An Empirical Study of Congressional Drafting, Delegation, and the Canons (pt. 1), 65 </w:t>
      </w:r>
      <w:r w:rsidRPr="006A4DE4">
        <w:rPr>
          <w:rFonts w:ascii="Times New Roman" w:hAnsi="Times New Roman" w:cs="Times New Roman"/>
          <w:i/>
          <w:iCs/>
          <w:sz w:val="22"/>
          <w:szCs w:val="22"/>
        </w:rPr>
        <w:t>Stan. L. Rev</w:t>
      </w:r>
      <w:r w:rsidRPr="006A4DE4">
        <w:rPr>
          <w:rFonts w:ascii="Times New Roman" w:hAnsi="Times New Roman" w:cs="Times New Roman"/>
          <w:sz w:val="22"/>
          <w:szCs w:val="22"/>
        </w:rPr>
        <w:t xml:space="preserve">. 901, 934-36 (2013). </w:t>
      </w:r>
    </w:p>
  </w:footnote>
  <w:footnote w:id="58">
    <w:p w14:paraId="01A39FB2" w14:textId="77777777" w:rsidR="00441C3C" w:rsidRPr="006A4DE4" w:rsidRDefault="00441C3C" w:rsidP="00441C3C">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iCs/>
          <w:sz w:val="22"/>
          <w:szCs w:val="22"/>
        </w:rPr>
        <w:t>See, e.g.</w:t>
      </w:r>
      <w:r w:rsidRPr="006A4DE4">
        <w:rPr>
          <w:rFonts w:ascii="Times New Roman" w:hAnsi="Times New Roman" w:cs="Times New Roman"/>
          <w:sz w:val="22"/>
          <w:szCs w:val="22"/>
        </w:rPr>
        <w:t xml:space="preserve">, </w:t>
      </w:r>
      <w:r w:rsidRPr="006A4DE4">
        <w:rPr>
          <w:rFonts w:ascii="Times New Roman" w:hAnsi="Times New Roman" w:cs="Times New Roman"/>
          <w:i/>
          <w:iCs/>
          <w:sz w:val="22"/>
          <w:szCs w:val="22"/>
        </w:rPr>
        <w:t>County of Washington v. Gunther</w:t>
      </w:r>
      <w:r w:rsidRPr="006A4DE4">
        <w:rPr>
          <w:rFonts w:ascii="Times New Roman" w:hAnsi="Times New Roman" w:cs="Times New Roman"/>
          <w:sz w:val="22"/>
          <w:szCs w:val="22"/>
        </w:rPr>
        <w:t>, 452 U.S. 161, 169-70 (1981).</w:t>
      </w:r>
    </w:p>
  </w:footnote>
  <w:footnote w:id="59">
    <w:p w14:paraId="083E64F6" w14:textId="77777777" w:rsidR="00441C3C" w:rsidRPr="006A4DE4" w:rsidRDefault="00441C3C" w:rsidP="00441C3C">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See Sierra Club v. Babbitt</w:t>
      </w:r>
      <w:r w:rsidRPr="006A4DE4">
        <w:rPr>
          <w:rFonts w:ascii="Times New Roman" w:hAnsi="Times New Roman" w:cs="Times New Roman"/>
          <w:sz w:val="22"/>
          <w:szCs w:val="22"/>
        </w:rPr>
        <w:t>, 65 F.3d 1502, 1509 (9th Cir. 1995).</w:t>
      </w:r>
    </w:p>
  </w:footnote>
  <w:footnote w:id="60">
    <w:p w14:paraId="5CB3E43E" w14:textId="77777777" w:rsidR="00441C3C" w:rsidRPr="006A4DE4" w:rsidRDefault="00441C3C" w:rsidP="00441C3C">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iCs/>
          <w:sz w:val="22"/>
          <w:szCs w:val="22"/>
        </w:rPr>
        <w:t xml:space="preserve">Sw. Williamson </w:t>
      </w:r>
      <w:proofErr w:type="spellStart"/>
      <w:r w:rsidRPr="006A4DE4">
        <w:rPr>
          <w:rFonts w:ascii="Times New Roman" w:hAnsi="Times New Roman" w:cs="Times New Roman"/>
          <w:i/>
          <w:iCs/>
          <w:sz w:val="22"/>
          <w:szCs w:val="22"/>
        </w:rPr>
        <w:t>Cty</w:t>
      </w:r>
      <w:proofErr w:type="spellEnd"/>
      <w:r w:rsidRPr="006A4DE4">
        <w:rPr>
          <w:rFonts w:ascii="Times New Roman" w:hAnsi="Times New Roman" w:cs="Times New Roman"/>
          <w:i/>
          <w:iCs/>
          <w:sz w:val="22"/>
          <w:szCs w:val="22"/>
        </w:rPr>
        <w:t xml:space="preserve">. </w:t>
      </w:r>
      <w:proofErr w:type="spellStart"/>
      <w:r w:rsidRPr="006A4DE4">
        <w:rPr>
          <w:rFonts w:ascii="Times New Roman" w:hAnsi="Times New Roman" w:cs="Times New Roman"/>
          <w:i/>
          <w:iCs/>
          <w:sz w:val="22"/>
          <w:szCs w:val="22"/>
        </w:rPr>
        <w:t>Cmty</w:t>
      </w:r>
      <w:proofErr w:type="spellEnd"/>
      <w:r w:rsidRPr="006A4DE4">
        <w:rPr>
          <w:rFonts w:ascii="Times New Roman" w:hAnsi="Times New Roman" w:cs="Times New Roman"/>
          <w:i/>
          <w:iCs/>
          <w:sz w:val="22"/>
          <w:szCs w:val="22"/>
        </w:rPr>
        <w:t xml:space="preserve">. </w:t>
      </w:r>
      <w:proofErr w:type="spellStart"/>
      <w:r w:rsidRPr="006A4DE4">
        <w:rPr>
          <w:rFonts w:ascii="Times New Roman" w:hAnsi="Times New Roman" w:cs="Times New Roman"/>
          <w:i/>
          <w:iCs/>
          <w:sz w:val="22"/>
          <w:szCs w:val="22"/>
        </w:rPr>
        <w:t>Ass’n</w:t>
      </w:r>
      <w:proofErr w:type="spellEnd"/>
      <w:r w:rsidRPr="006A4DE4">
        <w:rPr>
          <w:rFonts w:ascii="Times New Roman" w:hAnsi="Times New Roman" w:cs="Times New Roman"/>
          <w:i/>
          <w:iCs/>
          <w:sz w:val="22"/>
          <w:szCs w:val="22"/>
        </w:rPr>
        <w:t>, Inc</w:t>
      </w:r>
      <w:r w:rsidRPr="006A4DE4">
        <w:rPr>
          <w:rFonts w:ascii="Times New Roman" w:hAnsi="Times New Roman" w:cs="Times New Roman"/>
          <w:i/>
          <w:sz w:val="22"/>
          <w:szCs w:val="22"/>
        </w:rPr>
        <w:t>. v. Slater</w:t>
      </w:r>
      <w:r w:rsidRPr="006A4DE4">
        <w:rPr>
          <w:rFonts w:ascii="Times New Roman" w:hAnsi="Times New Roman" w:cs="Times New Roman"/>
          <w:sz w:val="22"/>
          <w:szCs w:val="22"/>
        </w:rPr>
        <w:t>, 243 F.3d 270, 281 (6th Cir. 2001).</w:t>
      </w:r>
    </w:p>
  </w:footnote>
  <w:footnote w:id="61">
    <w:p w14:paraId="7C48052C" w14:textId="77777777" w:rsidR="00441C3C" w:rsidRPr="006A4DE4" w:rsidRDefault="00441C3C" w:rsidP="00441C3C">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iCs/>
          <w:sz w:val="22"/>
          <w:szCs w:val="22"/>
        </w:rPr>
        <w:t>See Scottsdale Mall v. State of Ind</w:t>
      </w:r>
      <w:r w:rsidRPr="006A4DE4">
        <w:rPr>
          <w:rFonts w:ascii="Times New Roman" w:hAnsi="Times New Roman" w:cs="Times New Roman"/>
          <w:sz w:val="22"/>
          <w:szCs w:val="22"/>
        </w:rPr>
        <w:t xml:space="preserve">., 549 F.2d 484, 489 (7th Cir. 1977); </w:t>
      </w:r>
      <w:r w:rsidRPr="006A4DE4">
        <w:rPr>
          <w:rFonts w:ascii="Times New Roman" w:hAnsi="Times New Roman" w:cs="Times New Roman"/>
          <w:i/>
          <w:iCs/>
          <w:sz w:val="22"/>
          <w:szCs w:val="22"/>
        </w:rPr>
        <w:t>Ross v. Fed. Highway Admin.</w:t>
      </w:r>
      <w:r w:rsidRPr="006A4DE4">
        <w:rPr>
          <w:rFonts w:ascii="Times New Roman" w:hAnsi="Times New Roman" w:cs="Times New Roman"/>
          <w:sz w:val="22"/>
          <w:szCs w:val="22"/>
        </w:rPr>
        <w:t>, 162 F.3d 1046, 1052 (10th Cir. 1998).</w:t>
      </w:r>
    </w:p>
  </w:footnote>
  <w:footnote w:id="62">
    <w:p w14:paraId="71FB6357" w14:textId="77777777" w:rsidR="00441C3C" w:rsidRPr="006A4DE4" w:rsidRDefault="00441C3C" w:rsidP="00441C3C">
      <w:pPr>
        <w:pStyle w:val="FootnoteText"/>
        <w:rPr>
          <w:rFonts w:ascii="Times New Roman" w:hAnsi="Times New Roman" w:cs="Times New Roman"/>
          <w:sz w:val="22"/>
          <w:szCs w:val="22"/>
        </w:rPr>
      </w:pPr>
      <w:r w:rsidRPr="006A4DE4">
        <w:rPr>
          <w:rStyle w:val="FootnoteReference"/>
          <w:rFonts w:ascii="Times New Roman" w:hAnsi="Times New Roman" w:cs="Times New Roman"/>
          <w:sz w:val="22"/>
          <w:szCs w:val="22"/>
        </w:rPr>
        <w:footnoteRef/>
      </w:r>
      <w:r w:rsidRPr="006A4DE4">
        <w:rPr>
          <w:rFonts w:ascii="Times New Roman" w:hAnsi="Times New Roman" w:cs="Times New Roman"/>
          <w:sz w:val="22"/>
          <w:szCs w:val="22"/>
        </w:rPr>
        <w:t xml:space="preserve"> </w:t>
      </w:r>
      <w:r w:rsidRPr="006A4DE4">
        <w:rPr>
          <w:rFonts w:ascii="Times New Roman" w:hAnsi="Times New Roman" w:cs="Times New Roman"/>
          <w:i/>
          <w:sz w:val="22"/>
          <w:szCs w:val="22"/>
        </w:rPr>
        <w:t xml:space="preserve">See </w:t>
      </w:r>
      <w:r w:rsidRPr="006A4DE4">
        <w:rPr>
          <w:rFonts w:ascii="Times New Roman" w:hAnsi="Times New Roman" w:cs="Times New Roman"/>
          <w:i/>
          <w:iCs/>
          <w:sz w:val="22"/>
          <w:szCs w:val="22"/>
        </w:rPr>
        <w:t>Sierra Club v. Fish &amp; Wildlife Serv.</w:t>
      </w:r>
      <w:r w:rsidRPr="006A4DE4">
        <w:rPr>
          <w:rFonts w:ascii="Times New Roman" w:hAnsi="Times New Roman" w:cs="Times New Roman"/>
          <w:sz w:val="22"/>
          <w:szCs w:val="22"/>
        </w:rPr>
        <w:t>, 235 F. Supp. 2d 1109, 1121 (D. Or. 2002) (holding a private project “federal” because it received more than $3 million in federal funding “</w:t>
      </w:r>
      <w:r w:rsidRPr="006A4DE4">
        <w:rPr>
          <w:rFonts w:ascii="Times New Roman" w:hAnsi="Times New Roman" w:cs="Times New Roman"/>
          <w:iCs/>
          <w:sz w:val="22"/>
          <w:szCs w:val="22"/>
        </w:rPr>
        <w:t>regardless of the percentage [of the total project cost] it represents”).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04216" w14:textId="20528D69" w:rsidR="0019431B" w:rsidRPr="0019431B" w:rsidRDefault="0019431B" w:rsidP="0019431B">
    <w:pPr>
      <w:pStyle w:val="Header"/>
      <w:jc w:val="center"/>
      <w:rPr>
        <w:i/>
        <w:iCs/>
      </w:rPr>
    </w:pPr>
    <w:r w:rsidRPr="0019431B">
      <w:rPr>
        <w:i/>
        <w:iCs/>
      </w:rPr>
      <w:t>DRAFT COMMENTS ON DOT RULEMAKING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3020"/>
    <w:multiLevelType w:val="hybridMultilevel"/>
    <w:tmpl w:val="FF2AA01C"/>
    <w:lvl w:ilvl="0" w:tplc="CC2A1100">
      <w:start w:val="3"/>
      <w:numFmt w:val="upperRoman"/>
      <w:lvlText w:val="%1."/>
      <w:lvlJc w:val="right"/>
      <w:pPr>
        <w:tabs>
          <w:tab w:val="num" w:pos="720"/>
        </w:tabs>
        <w:ind w:left="720" w:hanging="360"/>
      </w:pPr>
    </w:lvl>
    <w:lvl w:ilvl="1" w:tplc="920ECC2C" w:tentative="1">
      <w:start w:val="1"/>
      <w:numFmt w:val="decimal"/>
      <w:lvlText w:val="%2."/>
      <w:lvlJc w:val="left"/>
      <w:pPr>
        <w:tabs>
          <w:tab w:val="num" w:pos="1440"/>
        </w:tabs>
        <w:ind w:left="1440" w:hanging="360"/>
      </w:pPr>
    </w:lvl>
    <w:lvl w:ilvl="2" w:tplc="3A343850" w:tentative="1">
      <w:start w:val="1"/>
      <w:numFmt w:val="decimal"/>
      <w:lvlText w:val="%3."/>
      <w:lvlJc w:val="left"/>
      <w:pPr>
        <w:tabs>
          <w:tab w:val="num" w:pos="2160"/>
        </w:tabs>
        <w:ind w:left="2160" w:hanging="360"/>
      </w:pPr>
    </w:lvl>
    <w:lvl w:ilvl="3" w:tplc="C032BE4E" w:tentative="1">
      <w:start w:val="1"/>
      <w:numFmt w:val="decimal"/>
      <w:lvlText w:val="%4."/>
      <w:lvlJc w:val="left"/>
      <w:pPr>
        <w:tabs>
          <w:tab w:val="num" w:pos="2880"/>
        </w:tabs>
        <w:ind w:left="2880" w:hanging="360"/>
      </w:pPr>
    </w:lvl>
    <w:lvl w:ilvl="4" w:tplc="6A549386" w:tentative="1">
      <w:start w:val="1"/>
      <w:numFmt w:val="decimal"/>
      <w:lvlText w:val="%5."/>
      <w:lvlJc w:val="left"/>
      <w:pPr>
        <w:tabs>
          <w:tab w:val="num" w:pos="3600"/>
        </w:tabs>
        <w:ind w:left="3600" w:hanging="360"/>
      </w:pPr>
    </w:lvl>
    <w:lvl w:ilvl="5" w:tplc="F4D6817C" w:tentative="1">
      <w:start w:val="1"/>
      <w:numFmt w:val="decimal"/>
      <w:lvlText w:val="%6."/>
      <w:lvlJc w:val="left"/>
      <w:pPr>
        <w:tabs>
          <w:tab w:val="num" w:pos="4320"/>
        </w:tabs>
        <w:ind w:left="4320" w:hanging="360"/>
      </w:pPr>
    </w:lvl>
    <w:lvl w:ilvl="6" w:tplc="0A409AD2" w:tentative="1">
      <w:start w:val="1"/>
      <w:numFmt w:val="decimal"/>
      <w:lvlText w:val="%7."/>
      <w:lvlJc w:val="left"/>
      <w:pPr>
        <w:tabs>
          <w:tab w:val="num" w:pos="5040"/>
        </w:tabs>
        <w:ind w:left="5040" w:hanging="360"/>
      </w:pPr>
    </w:lvl>
    <w:lvl w:ilvl="7" w:tplc="05061668" w:tentative="1">
      <w:start w:val="1"/>
      <w:numFmt w:val="decimal"/>
      <w:lvlText w:val="%8."/>
      <w:lvlJc w:val="left"/>
      <w:pPr>
        <w:tabs>
          <w:tab w:val="num" w:pos="5760"/>
        </w:tabs>
        <w:ind w:left="5760" w:hanging="360"/>
      </w:pPr>
    </w:lvl>
    <w:lvl w:ilvl="8" w:tplc="0E50873C" w:tentative="1">
      <w:start w:val="1"/>
      <w:numFmt w:val="decimal"/>
      <w:lvlText w:val="%9."/>
      <w:lvlJc w:val="left"/>
      <w:pPr>
        <w:tabs>
          <w:tab w:val="num" w:pos="6480"/>
        </w:tabs>
        <w:ind w:left="6480" w:hanging="360"/>
      </w:pPr>
    </w:lvl>
  </w:abstractNum>
  <w:abstractNum w:abstractNumId="1" w15:restartNumberingAfterBreak="0">
    <w:nsid w:val="02DD0981"/>
    <w:multiLevelType w:val="hybridMultilevel"/>
    <w:tmpl w:val="E2C4F71C"/>
    <w:lvl w:ilvl="0" w:tplc="A53213E8">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3D40D69"/>
    <w:multiLevelType w:val="hybridMultilevel"/>
    <w:tmpl w:val="33CC850A"/>
    <w:lvl w:ilvl="0" w:tplc="0EA2D870">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66170"/>
    <w:multiLevelType w:val="hybridMultilevel"/>
    <w:tmpl w:val="8536FEC6"/>
    <w:lvl w:ilvl="0" w:tplc="01E6337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C35F3"/>
    <w:multiLevelType w:val="hybridMultilevel"/>
    <w:tmpl w:val="ECC26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516B5"/>
    <w:multiLevelType w:val="hybridMultilevel"/>
    <w:tmpl w:val="A80448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86328"/>
    <w:multiLevelType w:val="hybridMultilevel"/>
    <w:tmpl w:val="923A5532"/>
    <w:lvl w:ilvl="0" w:tplc="F5CE945E">
      <w:start w:val="2"/>
      <w:numFmt w:val="upperRoman"/>
      <w:lvlText w:val="%1."/>
      <w:lvlJc w:val="right"/>
      <w:pPr>
        <w:tabs>
          <w:tab w:val="num" w:pos="720"/>
        </w:tabs>
        <w:ind w:left="720" w:hanging="360"/>
      </w:pPr>
    </w:lvl>
    <w:lvl w:ilvl="1" w:tplc="54E0A49A">
      <w:start w:val="1"/>
      <w:numFmt w:val="decimal"/>
      <w:lvlText w:val="%2."/>
      <w:lvlJc w:val="left"/>
      <w:pPr>
        <w:tabs>
          <w:tab w:val="num" w:pos="1440"/>
        </w:tabs>
        <w:ind w:left="1440" w:hanging="360"/>
      </w:pPr>
    </w:lvl>
    <w:lvl w:ilvl="2" w:tplc="4E707F5C" w:tentative="1">
      <w:start w:val="1"/>
      <w:numFmt w:val="decimal"/>
      <w:lvlText w:val="%3."/>
      <w:lvlJc w:val="left"/>
      <w:pPr>
        <w:tabs>
          <w:tab w:val="num" w:pos="2160"/>
        </w:tabs>
        <w:ind w:left="2160" w:hanging="360"/>
      </w:pPr>
    </w:lvl>
    <w:lvl w:ilvl="3" w:tplc="8162082A" w:tentative="1">
      <w:start w:val="1"/>
      <w:numFmt w:val="decimal"/>
      <w:lvlText w:val="%4."/>
      <w:lvlJc w:val="left"/>
      <w:pPr>
        <w:tabs>
          <w:tab w:val="num" w:pos="2880"/>
        </w:tabs>
        <w:ind w:left="2880" w:hanging="360"/>
      </w:pPr>
    </w:lvl>
    <w:lvl w:ilvl="4" w:tplc="90E06612" w:tentative="1">
      <w:start w:val="1"/>
      <w:numFmt w:val="decimal"/>
      <w:lvlText w:val="%5."/>
      <w:lvlJc w:val="left"/>
      <w:pPr>
        <w:tabs>
          <w:tab w:val="num" w:pos="3600"/>
        </w:tabs>
        <w:ind w:left="3600" w:hanging="360"/>
      </w:pPr>
    </w:lvl>
    <w:lvl w:ilvl="5" w:tplc="44284714" w:tentative="1">
      <w:start w:val="1"/>
      <w:numFmt w:val="decimal"/>
      <w:lvlText w:val="%6."/>
      <w:lvlJc w:val="left"/>
      <w:pPr>
        <w:tabs>
          <w:tab w:val="num" w:pos="4320"/>
        </w:tabs>
        <w:ind w:left="4320" w:hanging="360"/>
      </w:pPr>
    </w:lvl>
    <w:lvl w:ilvl="6" w:tplc="5990531E" w:tentative="1">
      <w:start w:val="1"/>
      <w:numFmt w:val="decimal"/>
      <w:lvlText w:val="%7."/>
      <w:lvlJc w:val="left"/>
      <w:pPr>
        <w:tabs>
          <w:tab w:val="num" w:pos="5040"/>
        </w:tabs>
        <w:ind w:left="5040" w:hanging="360"/>
      </w:pPr>
    </w:lvl>
    <w:lvl w:ilvl="7" w:tplc="0338D562" w:tentative="1">
      <w:start w:val="1"/>
      <w:numFmt w:val="decimal"/>
      <w:lvlText w:val="%8."/>
      <w:lvlJc w:val="left"/>
      <w:pPr>
        <w:tabs>
          <w:tab w:val="num" w:pos="5760"/>
        </w:tabs>
        <w:ind w:left="5760" w:hanging="360"/>
      </w:pPr>
    </w:lvl>
    <w:lvl w:ilvl="8" w:tplc="D1646F2C" w:tentative="1">
      <w:start w:val="1"/>
      <w:numFmt w:val="decimal"/>
      <w:lvlText w:val="%9."/>
      <w:lvlJc w:val="left"/>
      <w:pPr>
        <w:tabs>
          <w:tab w:val="num" w:pos="6480"/>
        </w:tabs>
        <w:ind w:left="6480" w:hanging="360"/>
      </w:pPr>
    </w:lvl>
  </w:abstractNum>
  <w:abstractNum w:abstractNumId="7" w15:restartNumberingAfterBreak="0">
    <w:nsid w:val="0F166298"/>
    <w:multiLevelType w:val="hybridMultilevel"/>
    <w:tmpl w:val="A5AC4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C4C16"/>
    <w:multiLevelType w:val="multilevel"/>
    <w:tmpl w:val="66B0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67385"/>
    <w:multiLevelType w:val="hybridMultilevel"/>
    <w:tmpl w:val="F6ACECBE"/>
    <w:lvl w:ilvl="0" w:tplc="01E6337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A567D"/>
    <w:multiLevelType w:val="hybridMultilevel"/>
    <w:tmpl w:val="81588CD2"/>
    <w:lvl w:ilvl="0" w:tplc="FCE44526">
      <w:start w:val="1"/>
      <w:numFmt w:val="upperRoman"/>
      <w:lvlText w:val="%1."/>
      <w:lvlJc w:val="left"/>
      <w:pPr>
        <w:ind w:left="720" w:hanging="360"/>
      </w:pPr>
      <w:rPr>
        <w:rFonts w:hint="default"/>
        <w:b/>
        <w:bC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A32C8"/>
    <w:multiLevelType w:val="hybridMultilevel"/>
    <w:tmpl w:val="C55AB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01372"/>
    <w:multiLevelType w:val="hybridMultilevel"/>
    <w:tmpl w:val="9D4A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4387C"/>
    <w:multiLevelType w:val="hybridMultilevel"/>
    <w:tmpl w:val="6FF0B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E7E4D"/>
    <w:multiLevelType w:val="hybridMultilevel"/>
    <w:tmpl w:val="BCEC2C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E5BCF"/>
    <w:multiLevelType w:val="hybridMultilevel"/>
    <w:tmpl w:val="C67E5CAC"/>
    <w:lvl w:ilvl="0" w:tplc="C39CEAFC">
      <w:start w:val="4"/>
      <w:numFmt w:val="upperLetter"/>
      <w:lvlText w:val="%1."/>
      <w:lvlJc w:val="left"/>
      <w:pPr>
        <w:tabs>
          <w:tab w:val="num" w:pos="720"/>
        </w:tabs>
        <w:ind w:left="720" w:hanging="360"/>
      </w:pPr>
    </w:lvl>
    <w:lvl w:ilvl="1" w:tplc="599ACCDE" w:tentative="1">
      <w:start w:val="1"/>
      <w:numFmt w:val="decimal"/>
      <w:lvlText w:val="%2."/>
      <w:lvlJc w:val="left"/>
      <w:pPr>
        <w:tabs>
          <w:tab w:val="num" w:pos="1440"/>
        </w:tabs>
        <w:ind w:left="1440" w:hanging="360"/>
      </w:pPr>
    </w:lvl>
    <w:lvl w:ilvl="2" w:tplc="0ACC8070" w:tentative="1">
      <w:start w:val="1"/>
      <w:numFmt w:val="decimal"/>
      <w:lvlText w:val="%3."/>
      <w:lvlJc w:val="left"/>
      <w:pPr>
        <w:tabs>
          <w:tab w:val="num" w:pos="2160"/>
        </w:tabs>
        <w:ind w:left="2160" w:hanging="360"/>
      </w:pPr>
    </w:lvl>
    <w:lvl w:ilvl="3" w:tplc="CF9896FE" w:tentative="1">
      <w:start w:val="1"/>
      <w:numFmt w:val="decimal"/>
      <w:lvlText w:val="%4."/>
      <w:lvlJc w:val="left"/>
      <w:pPr>
        <w:tabs>
          <w:tab w:val="num" w:pos="2880"/>
        </w:tabs>
        <w:ind w:left="2880" w:hanging="360"/>
      </w:pPr>
    </w:lvl>
    <w:lvl w:ilvl="4" w:tplc="0DEA3420" w:tentative="1">
      <w:start w:val="1"/>
      <w:numFmt w:val="decimal"/>
      <w:lvlText w:val="%5."/>
      <w:lvlJc w:val="left"/>
      <w:pPr>
        <w:tabs>
          <w:tab w:val="num" w:pos="3600"/>
        </w:tabs>
        <w:ind w:left="3600" w:hanging="360"/>
      </w:pPr>
    </w:lvl>
    <w:lvl w:ilvl="5" w:tplc="34447E24" w:tentative="1">
      <w:start w:val="1"/>
      <w:numFmt w:val="decimal"/>
      <w:lvlText w:val="%6."/>
      <w:lvlJc w:val="left"/>
      <w:pPr>
        <w:tabs>
          <w:tab w:val="num" w:pos="4320"/>
        </w:tabs>
        <w:ind w:left="4320" w:hanging="360"/>
      </w:pPr>
    </w:lvl>
    <w:lvl w:ilvl="6" w:tplc="B98E1AFC" w:tentative="1">
      <w:start w:val="1"/>
      <w:numFmt w:val="decimal"/>
      <w:lvlText w:val="%7."/>
      <w:lvlJc w:val="left"/>
      <w:pPr>
        <w:tabs>
          <w:tab w:val="num" w:pos="5040"/>
        </w:tabs>
        <w:ind w:left="5040" w:hanging="360"/>
      </w:pPr>
    </w:lvl>
    <w:lvl w:ilvl="7" w:tplc="A0020E0A" w:tentative="1">
      <w:start w:val="1"/>
      <w:numFmt w:val="decimal"/>
      <w:lvlText w:val="%8."/>
      <w:lvlJc w:val="left"/>
      <w:pPr>
        <w:tabs>
          <w:tab w:val="num" w:pos="5760"/>
        </w:tabs>
        <w:ind w:left="5760" w:hanging="360"/>
      </w:pPr>
    </w:lvl>
    <w:lvl w:ilvl="8" w:tplc="DB7E00FC" w:tentative="1">
      <w:start w:val="1"/>
      <w:numFmt w:val="decimal"/>
      <w:lvlText w:val="%9."/>
      <w:lvlJc w:val="left"/>
      <w:pPr>
        <w:tabs>
          <w:tab w:val="num" w:pos="6480"/>
        </w:tabs>
        <w:ind w:left="6480" w:hanging="360"/>
      </w:pPr>
    </w:lvl>
  </w:abstractNum>
  <w:abstractNum w:abstractNumId="16" w15:restartNumberingAfterBreak="0">
    <w:nsid w:val="290853FA"/>
    <w:multiLevelType w:val="hybridMultilevel"/>
    <w:tmpl w:val="DA347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457C0"/>
    <w:multiLevelType w:val="hybridMultilevel"/>
    <w:tmpl w:val="4E36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3193C"/>
    <w:multiLevelType w:val="hybridMultilevel"/>
    <w:tmpl w:val="AFEEE8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83BBD"/>
    <w:multiLevelType w:val="hybridMultilevel"/>
    <w:tmpl w:val="8DEAC3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0F7F1D"/>
    <w:multiLevelType w:val="hybridMultilevel"/>
    <w:tmpl w:val="F9A26C78"/>
    <w:lvl w:ilvl="0" w:tplc="B64ACE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BB78B5"/>
    <w:multiLevelType w:val="hybridMultilevel"/>
    <w:tmpl w:val="1F5EC6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9B04FB"/>
    <w:multiLevelType w:val="multilevel"/>
    <w:tmpl w:val="71D0C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A6171A"/>
    <w:multiLevelType w:val="multilevel"/>
    <w:tmpl w:val="088A0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CD031B"/>
    <w:multiLevelType w:val="hybridMultilevel"/>
    <w:tmpl w:val="579A2F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02F99"/>
    <w:multiLevelType w:val="hybridMultilevel"/>
    <w:tmpl w:val="790417E4"/>
    <w:lvl w:ilvl="0" w:tplc="01E6337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43F7C"/>
    <w:multiLevelType w:val="hybridMultilevel"/>
    <w:tmpl w:val="1C182C86"/>
    <w:lvl w:ilvl="0" w:tplc="6D1E71E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8F3DB5"/>
    <w:multiLevelType w:val="hybridMultilevel"/>
    <w:tmpl w:val="119E2F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E82241"/>
    <w:multiLevelType w:val="hybridMultilevel"/>
    <w:tmpl w:val="927C352E"/>
    <w:lvl w:ilvl="0" w:tplc="01E6337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F101F3"/>
    <w:multiLevelType w:val="hybridMultilevel"/>
    <w:tmpl w:val="057A82FC"/>
    <w:lvl w:ilvl="0" w:tplc="01E6337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785C70"/>
    <w:multiLevelType w:val="hybridMultilevel"/>
    <w:tmpl w:val="E9CCBBD0"/>
    <w:lvl w:ilvl="0" w:tplc="B666F070">
      <w:start w:val="2"/>
      <w:numFmt w:val="upperLetter"/>
      <w:lvlText w:val="%1."/>
      <w:lvlJc w:val="left"/>
      <w:pPr>
        <w:tabs>
          <w:tab w:val="num" w:pos="720"/>
        </w:tabs>
        <w:ind w:left="720" w:hanging="360"/>
      </w:pPr>
    </w:lvl>
    <w:lvl w:ilvl="1" w:tplc="94B0C07C" w:tentative="1">
      <w:start w:val="1"/>
      <w:numFmt w:val="decimal"/>
      <w:lvlText w:val="%2."/>
      <w:lvlJc w:val="left"/>
      <w:pPr>
        <w:tabs>
          <w:tab w:val="num" w:pos="1440"/>
        </w:tabs>
        <w:ind w:left="1440" w:hanging="360"/>
      </w:pPr>
    </w:lvl>
    <w:lvl w:ilvl="2" w:tplc="F6ACA4CC" w:tentative="1">
      <w:start w:val="1"/>
      <w:numFmt w:val="decimal"/>
      <w:lvlText w:val="%3."/>
      <w:lvlJc w:val="left"/>
      <w:pPr>
        <w:tabs>
          <w:tab w:val="num" w:pos="2160"/>
        </w:tabs>
        <w:ind w:left="2160" w:hanging="360"/>
      </w:pPr>
    </w:lvl>
    <w:lvl w:ilvl="3" w:tplc="CB0C2C1E" w:tentative="1">
      <w:start w:val="1"/>
      <w:numFmt w:val="decimal"/>
      <w:lvlText w:val="%4."/>
      <w:lvlJc w:val="left"/>
      <w:pPr>
        <w:tabs>
          <w:tab w:val="num" w:pos="2880"/>
        </w:tabs>
        <w:ind w:left="2880" w:hanging="360"/>
      </w:pPr>
    </w:lvl>
    <w:lvl w:ilvl="4" w:tplc="D8BC2B66" w:tentative="1">
      <w:start w:val="1"/>
      <w:numFmt w:val="decimal"/>
      <w:lvlText w:val="%5."/>
      <w:lvlJc w:val="left"/>
      <w:pPr>
        <w:tabs>
          <w:tab w:val="num" w:pos="3600"/>
        </w:tabs>
        <w:ind w:left="3600" w:hanging="360"/>
      </w:pPr>
    </w:lvl>
    <w:lvl w:ilvl="5" w:tplc="74BA8052" w:tentative="1">
      <w:start w:val="1"/>
      <w:numFmt w:val="decimal"/>
      <w:lvlText w:val="%6."/>
      <w:lvlJc w:val="left"/>
      <w:pPr>
        <w:tabs>
          <w:tab w:val="num" w:pos="4320"/>
        </w:tabs>
        <w:ind w:left="4320" w:hanging="360"/>
      </w:pPr>
    </w:lvl>
    <w:lvl w:ilvl="6" w:tplc="3AECB7CE" w:tentative="1">
      <w:start w:val="1"/>
      <w:numFmt w:val="decimal"/>
      <w:lvlText w:val="%7."/>
      <w:lvlJc w:val="left"/>
      <w:pPr>
        <w:tabs>
          <w:tab w:val="num" w:pos="5040"/>
        </w:tabs>
        <w:ind w:left="5040" w:hanging="360"/>
      </w:pPr>
    </w:lvl>
    <w:lvl w:ilvl="7" w:tplc="D0388A88" w:tentative="1">
      <w:start w:val="1"/>
      <w:numFmt w:val="decimal"/>
      <w:lvlText w:val="%8."/>
      <w:lvlJc w:val="left"/>
      <w:pPr>
        <w:tabs>
          <w:tab w:val="num" w:pos="5760"/>
        </w:tabs>
        <w:ind w:left="5760" w:hanging="360"/>
      </w:pPr>
    </w:lvl>
    <w:lvl w:ilvl="8" w:tplc="034CDBC8" w:tentative="1">
      <w:start w:val="1"/>
      <w:numFmt w:val="decimal"/>
      <w:lvlText w:val="%9."/>
      <w:lvlJc w:val="left"/>
      <w:pPr>
        <w:tabs>
          <w:tab w:val="num" w:pos="6480"/>
        </w:tabs>
        <w:ind w:left="6480" w:hanging="360"/>
      </w:pPr>
    </w:lvl>
  </w:abstractNum>
  <w:abstractNum w:abstractNumId="31" w15:restartNumberingAfterBreak="0">
    <w:nsid w:val="489425D3"/>
    <w:multiLevelType w:val="hybridMultilevel"/>
    <w:tmpl w:val="BBA8D59C"/>
    <w:lvl w:ilvl="0" w:tplc="73447F1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F4341"/>
    <w:multiLevelType w:val="hybridMultilevel"/>
    <w:tmpl w:val="ACE0BA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ED5DB6"/>
    <w:multiLevelType w:val="hybridMultilevel"/>
    <w:tmpl w:val="ADC604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C37858"/>
    <w:multiLevelType w:val="multilevel"/>
    <w:tmpl w:val="10F60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A946A0"/>
    <w:multiLevelType w:val="hybridMultilevel"/>
    <w:tmpl w:val="81C03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DE7080"/>
    <w:multiLevelType w:val="hybridMultilevel"/>
    <w:tmpl w:val="5874D9F2"/>
    <w:lvl w:ilvl="0" w:tplc="01E6337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AC4B2A"/>
    <w:multiLevelType w:val="hybridMultilevel"/>
    <w:tmpl w:val="51186A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611BE7"/>
    <w:multiLevelType w:val="hybridMultilevel"/>
    <w:tmpl w:val="654A42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A6154E"/>
    <w:multiLevelType w:val="hybridMultilevel"/>
    <w:tmpl w:val="B554F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3A5EA1"/>
    <w:multiLevelType w:val="hybridMultilevel"/>
    <w:tmpl w:val="62D05C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03B88"/>
    <w:multiLevelType w:val="hybridMultilevel"/>
    <w:tmpl w:val="2AC64804"/>
    <w:lvl w:ilvl="0" w:tplc="1B947F0C">
      <w:start w:val="2"/>
      <w:numFmt w:val="upperLetter"/>
      <w:lvlText w:val="%1."/>
      <w:lvlJc w:val="left"/>
      <w:pPr>
        <w:tabs>
          <w:tab w:val="num" w:pos="720"/>
        </w:tabs>
        <w:ind w:left="720" w:hanging="360"/>
      </w:pPr>
    </w:lvl>
    <w:lvl w:ilvl="1" w:tplc="525060C8" w:tentative="1">
      <w:start w:val="1"/>
      <w:numFmt w:val="decimal"/>
      <w:lvlText w:val="%2."/>
      <w:lvlJc w:val="left"/>
      <w:pPr>
        <w:tabs>
          <w:tab w:val="num" w:pos="1440"/>
        </w:tabs>
        <w:ind w:left="1440" w:hanging="360"/>
      </w:pPr>
    </w:lvl>
    <w:lvl w:ilvl="2" w:tplc="2FF63F60" w:tentative="1">
      <w:start w:val="1"/>
      <w:numFmt w:val="decimal"/>
      <w:lvlText w:val="%3."/>
      <w:lvlJc w:val="left"/>
      <w:pPr>
        <w:tabs>
          <w:tab w:val="num" w:pos="2160"/>
        </w:tabs>
        <w:ind w:left="2160" w:hanging="360"/>
      </w:pPr>
    </w:lvl>
    <w:lvl w:ilvl="3" w:tplc="94B689BC" w:tentative="1">
      <w:start w:val="1"/>
      <w:numFmt w:val="decimal"/>
      <w:lvlText w:val="%4."/>
      <w:lvlJc w:val="left"/>
      <w:pPr>
        <w:tabs>
          <w:tab w:val="num" w:pos="2880"/>
        </w:tabs>
        <w:ind w:left="2880" w:hanging="360"/>
      </w:pPr>
    </w:lvl>
    <w:lvl w:ilvl="4" w:tplc="70E2E82A" w:tentative="1">
      <w:start w:val="1"/>
      <w:numFmt w:val="decimal"/>
      <w:lvlText w:val="%5."/>
      <w:lvlJc w:val="left"/>
      <w:pPr>
        <w:tabs>
          <w:tab w:val="num" w:pos="3600"/>
        </w:tabs>
        <w:ind w:left="3600" w:hanging="360"/>
      </w:pPr>
    </w:lvl>
    <w:lvl w:ilvl="5" w:tplc="304E7650" w:tentative="1">
      <w:start w:val="1"/>
      <w:numFmt w:val="decimal"/>
      <w:lvlText w:val="%6."/>
      <w:lvlJc w:val="left"/>
      <w:pPr>
        <w:tabs>
          <w:tab w:val="num" w:pos="4320"/>
        </w:tabs>
        <w:ind w:left="4320" w:hanging="360"/>
      </w:pPr>
    </w:lvl>
    <w:lvl w:ilvl="6" w:tplc="80D83DF8" w:tentative="1">
      <w:start w:val="1"/>
      <w:numFmt w:val="decimal"/>
      <w:lvlText w:val="%7."/>
      <w:lvlJc w:val="left"/>
      <w:pPr>
        <w:tabs>
          <w:tab w:val="num" w:pos="5040"/>
        </w:tabs>
        <w:ind w:left="5040" w:hanging="360"/>
      </w:pPr>
    </w:lvl>
    <w:lvl w:ilvl="7" w:tplc="BF28125C" w:tentative="1">
      <w:start w:val="1"/>
      <w:numFmt w:val="decimal"/>
      <w:lvlText w:val="%8."/>
      <w:lvlJc w:val="left"/>
      <w:pPr>
        <w:tabs>
          <w:tab w:val="num" w:pos="5760"/>
        </w:tabs>
        <w:ind w:left="5760" w:hanging="360"/>
      </w:pPr>
    </w:lvl>
    <w:lvl w:ilvl="8" w:tplc="9ECC9F46" w:tentative="1">
      <w:start w:val="1"/>
      <w:numFmt w:val="decimal"/>
      <w:lvlText w:val="%9."/>
      <w:lvlJc w:val="left"/>
      <w:pPr>
        <w:tabs>
          <w:tab w:val="num" w:pos="6480"/>
        </w:tabs>
        <w:ind w:left="6480" w:hanging="360"/>
      </w:pPr>
    </w:lvl>
  </w:abstractNum>
  <w:abstractNum w:abstractNumId="42" w15:restartNumberingAfterBreak="0">
    <w:nsid w:val="70A36251"/>
    <w:multiLevelType w:val="hybridMultilevel"/>
    <w:tmpl w:val="067077A6"/>
    <w:lvl w:ilvl="0" w:tplc="01E6337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A596C"/>
    <w:multiLevelType w:val="hybridMultilevel"/>
    <w:tmpl w:val="88E8AB74"/>
    <w:lvl w:ilvl="0" w:tplc="0EA2D870">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285C85"/>
    <w:multiLevelType w:val="hybridMultilevel"/>
    <w:tmpl w:val="253EFD0A"/>
    <w:lvl w:ilvl="0" w:tplc="F5321DE2">
      <w:start w:val="3"/>
      <w:numFmt w:val="upperLetter"/>
      <w:lvlText w:val="%1."/>
      <w:lvlJc w:val="left"/>
      <w:pPr>
        <w:tabs>
          <w:tab w:val="num" w:pos="720"/>
        </w:tabs>
        <w:ind w:left="720" w:hanging="360"/>
      </w:pPr>
    </w:lvl>
    <w:lvl w:ilvl="1" w:tplc="AA343766" w:tentative="1">
      <w:start w:val="1"/>
      <w:numFmt w:val="decimal"/>
      <w:lvlText w:val="%2."/>
      <w:lvlJc w:val="left"/>
      <w:pPr>
        <w:tabs>
          <w:tab w:val="num" w:pos="1440"/>
        </w:tabs>
        <w:ind w:left="1440" w:hanging="360"/>
      </w:pPr>
    </w:lvl>
    <w:lvl w:ilvl="2" w:tplc="9BC2C992" w:tentative="1">
      <w:start w:val="1"/>
      <w:numFmt w:val="decimal"/>
      <w:lvlText w:val="%3."/>
      <w:lvlJc w:val="left"/>
      <w:pPr>
        <w:tabs>
          <w:tab w:val="num" w:pos="2160"/>
        </w:tabs>
        <w:ind w:left="2160" w:hanging="360"/>
      </w:pPr>
    </w:lvl>
    <w:lvl w:ilvl="3" w:tplc="7AAED252" w:tentative="1">
      <w:start w:val="1"/>
      <w:numFmt w:val="decimal"/>
      <w:lvlText w:val="%4."/>
      <w:lvlJc w:val="left"/>
      <w:pPr>
        <w:tabs>
          <w:tab w:val="num" w:pos="2880"/>
        </w:tabs>
        <w:ind w:left="2880" w:hanging="360"/>
      </w:pPr>
    </w:lvl>
    <w:lvl w:ilvl="4" w:tplc="1EBEC2D8" w:tentative="1">
      <w:start w:val="1"/>
      <w:numFmt w:val="decimal"/>
      <w:lvlText w:val="%5."/>
      <w:lvlJc w:val="left"/>
      <w:pPr>
        <w:tabs>
          <w:tab w:val="num" w:pos="3600"/>
        </w:tabs>
        <w:ind w:left="3600" w:hanging="360"/>
      </w:pPr>
    </w:lvl>
    <w:lvl w:ilvl="5" w:tplc="723CFB94" w:tentative="1">
      <w:start w:val="1"/>
      <w:numFmt w:val="decimal"/>
      <w:lvlText w:val="%6."/>
      <w:lvlJc w:val="left"/>
      <w:pPr>
        <w:tabs>
          <w:tab w:val="num" w:pos="4320"/>
        </w:tabs>
        <w:ind w:left="4320" w:hanging="360"/>
      </w:pPr>
    </w:lvl>
    <w:lvl w:ilvl="6" w:tplc="04A6C55A" w:tentative="1">
      <w:start w:val="1"/>
      <w:numFmt w:val="decimal"/>
      <w:lvlText w:val="%7."/>
      <w:lvlJc w:val="left"/>
      <w:pPr>
        <w:tabs>
          <w:tab w:val="num" w:pos="5040"/>
        </w:tabs>
        <w:ind w:left="5040" w:hanging="360"/>
      </w:pPr>
    </w:lvl>
    <w:lvl w:ilvl="7" w:tplc="9B5A3BFE" w:tentative="1">
      <w:start w:val="1"/>
      <w:numFmt w:val="decimal"/>
      <w:lvlText w:val="%8."/>
      <w:lvlJc w:val="left"/>
      <w:pPr>
        <w:tabs>
          <w:tab w:val="num" w:pos="5760"/>
        </w:tabs>
        <w:ind w:left="5760" w:hanging="360"/>
      </w:pPr>
    </w:lvl>
    <w:lvl w:ilvl="8" w:tplc="DEB8FE4A" w:tentative="1">
      <w:start w:val="1"/>
      <w:numFmt w:val="decimal"/>
      <w:lvlText w:val="%9."/>
      <w:lvlJc w:val="left"/>
      <w:pPr>
        <w:tabs>
          <w:tab w:val="num" w:pos="6480"/>
        </w:tabs>
        <w:ind w:left="6480" w:hanging="360"/>
      </w:pPr>
    </w:lvl>
  </w:abstractNum>
  <w:abstractNum w:abstractNumId="45" w15:restartNumberingAfterBreak="0">
    <w:nsid w:val="7F8D108F"/>
    <w:multiLevelType w:val="hybridMultilevel"/>
    <w:tmpl w:val="0396DC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lvlOverride w:ilvl="0">
      <w:lvl w:ilvl="0">
        <w:numFmt w:val="upperRoman"/>
        <w:lvlText w:val="%1."/>
        <w:lvlJc w:val="right"/>
      </w:lvl>
    </w:lvlOverride>
  </w:num>
  <w:num w:numId="2">
    <w:abstractNumId w:val="34"/>
    <w:lvlOverride w:ilvl="0">
      <w:lvl w:ilvl="0">
        <w:numFmt w:val="upperRoman"/>
        <w:lvlText w:val="%1."/>
        <w:lvlJc w:val="right"/>
      </w:lvl>
    </w:lvlOverride>
    <w:lvlOverride w:ilvl="1">
      <w:lvl w:ilvl="1">
        <w:numFmt w:val="upperLetter"/>
        <w:lvlText w:val="%2."/>
        <w:lvlJc w:val="left"/>
      </w:lvl>
    </w:lvlOverride>
  </w:num>
  <w:num w:numId="3">
    <w:abstractNumId w:val="6"/>
  </w:num>
  <w:num w:numId="4">
    <w:abstractNumId w:val="6"/>
    <w:lvlOverride w:ilvl="0"/>
  </w:num>
  <w:num w:numId="5">
    <w:abstractNumId w:val="0"/>
  </w:num>
  <w:num w:numId="6">
    <w:abstractNumId w:val="23"/>
    <w:lvlOverride w:ilvl="0">
      <w:lvl w:ilvl="0">
        <w:numFmt w:val="upperLetter"/>
        <w:lvlText w:val="%1."/>
        <w:lvlJc w:val="left"/>
      </w:lvl>
    </w:lvlOverride>
  </w:num>
  <w:num w:numId="7">
    <w:abstractNumId w:val="30"/>
  </w:num>
  <w:num w:numId="8">
    <w:abstractNumId w:val="44"/>
  </w:num>
  <w:num w:numId="9">
    <w:abstractNumId w:val="15"/>
  </w:num>
  <w:num w:numId="10">
    <w:abstractNumId w:val="8"/>
    <w:lvlOverride w:ilvl="0">
      <w:lvl w:ilvl="0">
        <w:numFmt w:val="upperLetter"/>
        <w:lvlText w:val="%1."/>
        <w:lvlJc w:val="left"/>
      </w:lvl>
    </w:lvlOverride>
  </w:num>
  <w:num w:numId="11">
    <w:abstractNumId w:val="22"/>
    <w:lvlOverride w:ilvl="0">
      <w:lvl w:ilvl="0">
        <w:numFmt w:val="upperLetter"/>
        <w:lvlText w:val="%1."/>
        <w:lvlJc w:val="left"/>
      </w:lvl>
    </w:lvlOverride>
  </w:num>
  <w:num w:numId="12">
    <w:abstractNumId w:val="41"/>
  </w:num>
  <w:num w:numId="13">
    <w:abstractNumId w:val="10"/>
  </w:num>
  <w:num w:numId="14">
    <w:abstractNumId w:val="2"/>
  </w:num>
  <w:num w:numId="15">
    <w:abstractNumId w:val="38"/>
  </w:num>
  <w:num w:numId="16">
    <w:abstractNumId w:val="19"/>
  </w:num>
  <w:num w:numId="17">
    <w:abstractNumId w:val="16"/>
  </w:num>
  <w:num w:numId="18">
    <w:abstractNumId w:val="17"/>
  </w:num>
  <w:num w:numId="19">
    <w:abstractNumId w:val="18"/>
  </w:num>
  <w:num w:numId="20">
    <w:abstractNumId w:val="13"/>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1"/>
  </w:num>
  <w:num w:numId="26">
    <w:abstractNumId w:val="35"/>
  </w:num>
  <w:num w:numId="27">
    <w:abstractNumId w:val="7"/>
  </w:num>
  <w:num w:numId="28">
    <w:abstractNumId w:val="28"/>
  </w:num>
  <w:num w:numId="29">
    <w:abstractNumId w:val="9"/>
  </w:num>
  <w:num w:numId="30">
    <w:abstractNumId w:val="36"/>
  </w:num>
  <w:num w:numId="31">
    <w:abstractNumId w:val="24"/>
  </w:num>
  <w:num w:numId="32">
    <w:abstractNumId w:val="5"/>
  </w:num>
  <w:num w:numId="33">
    <w:abstractNumId w:val="45"/>
  </w:num>
  <w:num w:numId="34">
    <w:abstractNumId w:val="3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9"/>
  </w:num>
  <w:num w:numId="38">
    <w:abstractNumId w:val="27"/>
  </w:num>
  <w:num w:numId="39">
    <w:abstractNumId w:val="40"/>
  </w:num>
  <w:num w:numId="40">
    <w:abstractNumId w:val="3"/>
  </w:num>
  <w:num w:numId="41">
    <w:abstractNumId w:val="31"/>
  </w:num>
  <w:num w:numId="42">
    <w:abstractNumId w:val="29"/>
  </w:num>
  <w:num w:numId="43">
    <w:abstractNumId w:val="4"/>
  </w:num>
  <w:num w:numId="44">
    <w:abstractNumId w:val="26"/>
  </w:num>
  <w:num w:numId="45">
    <w:abstractNumId w:val="42"/>
  </w:num>
  <w:num w:numId="46">
    <w:abstractNumId w:val="25"/>
  </w:num>
  <w:num w:numId="47">
    <w:abstractNumId w:val="43"/>
  </w:num>
  <w:num w:numId="48">
    <w:abstractNumId w:val="1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3tLAwMDMwMza3NLRQ0lEKTi0uzszPAykwrAUAhxu6YCwAAAA="/>
  </w:docVars>
  <w:rsids>
    <w:rsidRoot w:val="00E45D32"/>
    <w:rsid w:val="00001A0F"/>
    <w:rsid w:val="000260E2"/>
    <w:rsid w:val="00051952"/>
    <w:rsid w:val="0006644B"/>
    <w:rsid w:val="000808D7"/>
    <w:rsid w:val="00086CA2"/>
    <w:rsid w:val="000911A8"/>
    <w:rsid w:val="00091224"/>
    <w:rsid w:val="00091FEB"/>
    <w:rsid w:val="00097970"/>
    <w:rsid w:val="000A78F3"/>
    <w:rsid w:val="000B09D8"/>
    <w:rsid w:val="000B1EFB"/>
    <w:rsid w:val="000B3650"/>
    <w:rsid w:val="001027E6"/>
    <w:rsid w:val="00121C6C"/>
    <w:rsid w:val="001263D7"/>
    <w:rsid w:val="00127F0D"/>
    <w:rsid w:val="001316FE"/>
    <w:rsid w:val="00140A87"/>
    <w:rsid w:val="00142158"/>
    <w:rsid w:val="00165181"/>
    <w:rsid w:val="0017099F"/>
    <w:rsid w:val="0017107C"/>
    <w:rsid w:val="00184B4C"/>
    <w:rsid w:val="0019431B"/>
    <w:rsid w:val="001C4A26"/>
    <w:rsid w:val="001D6A1C"/>
    <w:rsid w:val="001F1E73"/>
    <w:rsid w:val="002032EC"/>
    <w:rsid w:val="002100BB"/>
    <w:rsid w:val="002170D3"/>
    <w:rsid w:val="00243F30"/>
    <w:rsid w:val="002472EC"/>
    <w:rsid w:val="00251243"/>
    <w:rsid w:val="00251EB5"/>
    <w:rsid w:val="00253598"/>
    <w:rsid w:val="002C1365"/>
    <w:rsid w:val="002C4D77"/>
    <w:rsid w:val="002D720D"/>
    <w:rsid w:val="002E1E2C"/>
    <w:rsid w:val="002F43E6"/>
    <w:rsid w:val="00300E7A"/>
    <w:rsid w:val="003125CC"/>
    <w:rsid w:val="0032061A"/>
    <w:rsid w:val="00332258"/>
    <w:rsid w:val="00340CFD"/>
    <w:rsid w:val="00356D47"/>
    <w:rsid w:val="003715CB"/>
    <w:rsid w:val="003730BD"/>
    <w:rsid w:val="003A61EE"/>
    <w:rsid w:val="003E7844"/>
    <w:rsid w:val="003F181B"/>
    <w:rsid w:val="003F6DCB"/>
    <w:rsid w:val="004016ED"/>
    <w:rsid w:val="004208AE"/>
    <w:rsid w:val="00436EDB"/>
    <w:rsid w:val="00441456"/>
    <w:rsid w:val="00441C3C"/>
    <w:rsid w:val="00452863"/>
    <w:rsid w:val="00460F85"/>
    <w:rsid w:val="004666C0"/>
    <w:rsid w:val="00482374"/>
    <w:rsid w:val="00491EFD"/>
    <w:rsid w:val="004A73F9"/>
    <w:rsid w:val="004B4A14"/>
    <w:rsid w:val="004D1D94"/>
    <w:rsid w:val="00500E2C"/>
    <w:rsid w:val="005172E0"/>
    <w:rsid w:val="00537CDA"/>
    <w:rsid w:val="005615F3"/>
    <w:rsid w:val="00561DF0"/>
    <w:rsid w:val="0056218D"/>
    <w:rsid w:val="00562482"/>
    <w:rsid w:val="00577CD8"/>
    <w:rsid w:val="00583802"/>
    <w:rsid w:val="005859C5"/>
    <w:rsid w:val="00592E35"/>
    <w:rsid w:val="005B3C50"/>
    <w:rsid w:val="005B49A7"/>
    <w:rsid w:val="005C494C"/>
    <w:rsid w:val="005F0814"/>
    <w:rsid w:val="005F6D4B"/>
    <w:rsid w:val="006019BD"/>
    <w:rsid w:val="006021AF"/>
    <w:rsid w:val="00604328"/>
    <w:rsid w:val="006127C8"/>
    <w:rsid w:val="006215DB"/>
    <w:rsid w:val="00622D43"/>
    <w:rsid w:val="00633C33"/>
    <w:rsid w:val="006359E8"/>
    <w:rsid w:val="0064504E"/>
    <w:rsid w:val="00696D3B"/>
    <w:rsid w:val="006A4DE4"/>
    <w:rsid w:val="006F64B7"/>
    <w:rsid w:val="0070329B"/>
    <w:rsid w:val="007102A7"/>
    <w:rsid w:val="00712C30"/>
    <w:rsid w:val="00716176"/>
    <w:rsid w:val="007413EC"/>
    <w:rsid w:val="007543F7"/>
    <w:rsid w:val="00771F18"/>
    <w:rsid w:val="00772C62"/>
    <w:rsid w:val="00773B55"/>
    <w:rsid w:val="00782ADA"/>
    <w:rsid w:val="00782BFB"/>
    <w:rsid w:val="00793827"/>
    <w:rsid w:val="007978D8"/>
    <w:rsid w:val="007A23EA"/>
    <w:rsid w:val="007A4F6D"/>
    <w:rsid w:val="007B326F"/>
    <w:rsid w:val="007B4ABE"/>
    <w:rsid w:val="007D4B6F"/>
    <w:rsid w:val="007E388F"/>
    <w:rsid w:val="007E3D6E"/>
    <w:rsid w:val="007E6E8C"/>
    <w:rsid w:val="007F4021"/>
    <w:rsid w:val="00805691"/>
    <w:rsid w:val="0080575B"/>
    <w:rsid w:val="008134D8"/>
    <w:rsid w:val="0081693E"/>
    <w:rsid w:val="00816A3B"/>
    <w:rsid w:val="00832B42"/>
    <w:rsid w:val="008475C9"/>
    <w:rsid w:val="00847F82"/>
    <w:rsid w:val="00860F8A"/>
    <w:rsid w:val="00862F07"/>
    <w:rsid w:val="00871A1B"/>
    <w:rsid w:val="00877EC7"/>
    <w:rsid w:val="0088338A"/>
    <w:rsid w:val="0089221E"/>
    <w:rsid w:val="008944BA"/>
    <w:rsid w:val="0089696C"/>
    <w:rsid w:val="008A199A"/>
    <w:rsid w:val="008B115C"/>
    <w:rsid w:val="008B552E"/>
    <w:rsid w:val="008C0E50"/>
    <w:rsid w:val="008D5FFB"/>
    <w:rsid w:val="008E1386"/>
    <w:rsid w:val="008E42E8"/>
    <w:rsid w:val="00914419"/>
    <w:rsid w:val="00923208"/>
    <w:rsid w:val="00934DEB"/>
    <w:rsid w:val="00941413"/>
    <w:rsid w:val="009539D1"/>
    <w:rsid w:val="00960B06"/>
    <w:rsid w:val="009755B2"/>
    <w:rsid w:val="00980926"/>
    <w:rsid w:val="00985855"/>
    <w:rsid w:val="009E42F4"/>
    <w:rsid w:val="00A11E9B"/>
    <w:rsid w:val="00A25A23"/>
    <w:rsid w:val="00A25E34"/>
    <w:rsid w:val="00A43787"/>
    <w:rsid w:val="00A50F6C"/>
    <w:rsid w:val="00A55429"/>
    <w:rsid w:val="00A74868"/>
    <w:rsid w:val="00A90DCA"/>
    <w:rsid w:val="00AA409D"/>
    <w:rsid w:val="00AA5A25"/>
    <w:rsid w:val="00AC2CD5"/>
    <w:rsid w:val="00AC78D7"/>
    <w:rsid w:val="00AD130E"/>
    <w:rsid w:val="00AE5C4A"/>
    <w:rsid w:val="00AF221A"/>
    <w:rsid w:val="00AF61EA"/>
    <w:rsid w:val="00B104D4"/>
    <w:rsid w:val="00B14876"/>
    <w:rsid w:val="00B46423"/>
    <w:rsid w:val="00B51E62"/>
    <w:rsid w:val="00B5400D"/>
    <w:rsid w:val="00B540F1"/>
    <w:rsid w:val="00B57CAD"/>
    <w:rsid w:val="00B71BEB"/>
    <w:rsid w:val="00B85AD8"/>
    <w:rsid w:val="00BA2794"/>
    <w:rsid w:val="00BA451F"/>
    <w:rsid w:val="00BB75D6"/>
    <w:rsid w:val="00BD2A5D"/>
    <w:rsid w:val="00BD4AE2"/>
    <w:rsid w:val="00BF6161"/>
    <w:rsid w:val="00C02BBB"/>
    <w:rsid w:val="00C24516"/>
    <w:rsid w:val="00C47D93"/>
    <w:rsid w:val="00C51AB5"/>
    <w:rsid w:val="00C6331A"/>
    <w:rsid w:val="00C86446"/>
    <w:rsid w:val="00C900E7"/>
    <w:rsid w:val="00CA0495"/>
    <w:rsid w:val="00CB0357"/>
    <w:rsid w:val="00CB1B66"/>
    <w:rsid w:val="00CC3901"/>
    <w:rsid w:val="00CD5E33"/>
    <w:rsid w:val="00CF250E"/>
    <w:rsid w:val="00CF6A7C"/>
    <w:rsid w:val="00D03E25"/>
    <w:rsid w:val="00D10230"/>
    <w:rsid w:val="00D14B64"/>
    <w:rsid w:val="00D21AF2"/>
    <w:rsid w:val="00D30D96"/>
    <w:rsid w:val="00D521F9"/>
    <w:rsid w:val="00D53BC9"/>
    <w:rsid w:val="00D54633"/>
    <w:rsid w:val="00D70F11"/>
    <w:rsid w:val="00D9445C"/>
    <w:rsid w:val="00DC1D4A"/>
    <w:rsid w:val="00DD0773"/>
    <w:rsid w:val="00DD775A"/>
    <w:rsid w:val="00DF26E7"/>
    <w:rsid w:val="00DF7186"/>
    <w:rsid w:val="00E14EED"/>
    <w:rsid w:val="00E23484"/>
    <w:rsid w:val="00E2697E"/>
    <w:rsid w:val="00E45D32"/>
    <w:rsid w:val="00E6469E"/>
    <w:rsid w:val="00E71307"/>
    <w:rsid w:val="00E83D28"/>
    <w:rsid w:val="00E9454B"/>
    <w:rsid w:val="00E96413"/>
    <w:rsid w:val="00E9667A"/>
    <w:rsid w:val="00E96C26"/>
    <w:rsid w:val="00EE10CF"/>
    <w:rsid w:val="00EE2536"/>
    <w:rsid w:val="00EE716A"/>
    <w:rsid w:val="00EF3480"/>
    <w:rsid w:val="00F002AA"/>
    <w:rsid w:val="00F007F3"/>
    <w:rsid w:val="00F074CE"/>
    <w:rsid w:val="00F30438"/>
    <w:rsid w:val="00F30FA0"/>
    <w:rsid w:val="00F322CD"/>
    <w:rsid w:val="00F40168"/>
    <w:rsid w:val="00F436FF"/>
    <w:rsid w:val="00F60FEB"/>
    <w:rsid w:val="00F8134D"/>
    <w:rsid w:val="00F8732D"/>
    <w:rsid w:val="00FA4736"/>
    <w:rsid w:val="00FA603B"/>
    <w:rsid w:val="00FC5053"/>
    <w:rsid w:val="00FD31CD"/>
    <w:rsid w:val="00FE5633"/>
    <w:rsid w:val="00FE766B"/>
    <w:rsid w:val="00FF2B4A"/>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56BC"/>
  <w15:chartTrackingRefBased/>
  <w15:docId w15:val="{0075D1FE-D3DE-4072-B200-868E98BC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0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60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6A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912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0230"/>
    <w:pPr>
      <w:ind w:left="720"/>
      <w:contextualSpacing/>
    </w:pPr>
  </w:style>
  <w:style w:type="paragraph" w:styleId="FootnoteText">
    <w:name w:val="footnote text"/>
    <w:aliases w:val="Char,Footnote Text Char1,Ftnote Txt 11ptG,Footnote Text Char Char Char,Footnote Text Char Char1,Footnote Text Char1 Char1 Char Char Char,Footnote Text Char Char Char1 Char Char Char,Footnote Text Char1 Char Char Char1 Char Char Char, Char"/>
    <w:basedOn w:val="Normal"/>
    <w:link w:val="FootnoteTextChar"/>
    <w:uiPriority w:val="99"/>
    <w:unhideWhenUsed/>
    <w:qFormat/>
    <w:rsid w:val="00FA603B"/>
    <w:pPr>
      <w:spacing w:after="0" w:line="240" w:lineRule="auto"/>
      <w:ind w:firstLine="216"/>
    </w:pPr>
    <w:rPr>
      <w:rFonts w:ascii="Book Antiqua" w:hAnsi="Book Antiqua"/>
      <w:sz w:val="24"/>
      <w:szCs w:val="20"/>
    </w:rPr>
  </w:style>
  <w:style w:type="character" w:customStyle="1" w:styleId="FootnoteTextChar">
    <w:name w:val="Footnote Text Char"/>
    <w:aliases w:val="Char Char,Footnote Text Char1 Char,Ftnote Txt 11ptG Char,Footnote Text Char Char Char Char,Footnote Text Char Char1 Char,Footnote Text Char1 Char1 Char Char Char Char,Footnote Text Char Char Char1 Char Char Char Char, Char Char"/>
    <w:basedOn w:val="DefaultParagraphFont"/>
    <w:link w:val="FootnoteText"/>
    <w:uiPriority w:val="99"/>
    <w:rsid w:val="00FA603B"/>
    <w:rPr>
      <w:rFonts w:ascii="Book Antiqua" w:hAnsi="Book Antiqua"/>
      <w:sz w:val="24"/>
      <w:szCs w:val="20"/>
    </w:rPr>
  </w:style>
  <w:style w:type="character" w:styleId="FootnoteReference">
    <w:name w:val="footnote reference"/>
    <w:aliases w:val="Footnote Reference Anglo,Ref,de nota al pie,o,fr,Style 13,Style 12,Style 15,Style 17,Style 9,o1,fr1,o2,fr2,o3,fr3,Style 18,(NECG) Footnote Reference,Style 20,Style 7,Style 8,Style 19,Style 28,Style 11,Style 16,Styl,fnr,Style 30,.,FR"/>
    <w:basedOn w:val="DefaultParagraphFont"/>
    <w:uiPriority w:val="99"/>
    <w:unhideWhenUsed/>
    <w:qFormat/>
    <w:rsid w:val="00FA603B"/>
    <w:rPr>
      <w:vertAlign w:val="superscript"/>
    </w:rPr>
  </w:style>
  <w:style w:type="paragraph" w:styleId="Quote">
    <w:name w:val="Quote"/>
    <w:basedOn w:val="Normal"/>
    <w:next w:val="Normal"/>
    <w:link w:val="QuoteChar"/>
    <w:uiPriority w:val="29"/>
    <w:qFormat/>
    <w:rsid w:val="00FA603B"/>
    <w:pPr>
      <w:spacing w:before="200" w:line="240" w:lineRule="auto"/>
      <w:ind w:left="864" w:right="864"/>
    </w:pPr>
    <w:rPr>
      <w:rFonts w:ascii="Book Antiqua" w:eastAsiaTheme="minorEastAsia" w:hAnsi="Book Antiqua" w:cs="Times New Roman"/>
      <w:iCs/>
      <w:color w:val="404040" w:themeColor="text1" w:themeTint="BF"/>
      <w:sz w:val="24"/>
      <w:szCs w:val="24"/>
    </w:rPr>
  </w:style>
  <w:style w:type="character" w:customStyle="1" w:styleId="QuoteChar">
    <w:name w:val="Quote Char"/>
    <w:basedOn w:val="DefaultParagraphFont"/>
    <w:link w:val="Quote"/>
    <w:uiPriority w:val="29"/>
    <w:rsid w:val="00FA603B"/>
    <w:rPr>
      <w:rFonts w:ascii="Book Antiqua" w:eastAsiaTheme="minorEastAsia" w:hAnsi="Book Antiqua" w:cs="Times New Roman"/>
      <w:iCs/>
      <w:color w:val="404040" w:themeColor="text1" w:themeTint="BF"/>
      <w:sz w:val="24"/>
      <w:szCs w:val="24"/>
    </w:rPr>
  </w:style>
  <w:style w:type="character" w:customStyle="1" w:styleId="ListParagraphChar">
    <w:name w:val="List Paragraph Char"/>
    <w:basedOn w:val="DefaultParagraphFont"/>
    <w:link w:val="ListParagraph"/>
    <w:uiPriority w:val="34"/>
    <w:rsid w:val="00FA603B"/>
  </w:style>
  <w:style w:type="character" w:customStyle="1" w:styleId="Heading1Char">
    <w:name w:val="Heading 1 Char"/>
    <w:basedOn w:val="DefaultParagraphFont"/>
    <w:link w:val="Heading1"/>
    <w:uiPriority w:val="9"/>
    <w:rsid w:val="00FA60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A603B"/>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21AF2"/>
    <w:rPr>
      <w:sz w:val="16"/>
      <w:szCs w:val="16"/>
    </w:rPr>
  </w:style>
  <w:style w:type="paragraph" w:styleId="CommentText">
    <w:name w:val="annotation text"/>
    <w:basedOn w:val="Normal"/>
    <w:link w:val="CommentTextChar"/>
    <w:uiPriority w:val="99"/>
    <w:unhideWhenUsed/>
    <w:rsid w:val="00D21AF2"/>
    <w:pPr>
      <w:spacing w:line="240" w:lineRule="auto"/>
    </w:pPr>
    <w:rPr>
      <w:sz w:val="20"/>
      <w:szCs w:val="20"/>
    </w:rPr>
  </w:style>
  <w:style w:type="character" w:customStyle="1" w:styleId="CommentTextChar">
    <w:name w:val="Comment Text Char"/>
    <w:basedOn w:val="DefaultParagraphFont"/>
    <w:link w:val="CommentText"/>
    <w:uiPriority w:val="99"/>
    <w:rsid w:val="00D21AF2"/>
    <w:rPr>
      <w:sz w:val="20"/>
      <w:szCs w:val="20"/>
    </w:rPr>
  </w:style>
  <w:style w:type="paragraph" w:styleId="CommentSubject">
    <w:name w:val="annotation subject"/>
    <w:basedOn w:val="CommentText"/>
    <w:next w:val="CommentText"/>
    <w:link w:val="CommentSubjectChar"/>
    <w:uiPriority w:val="99"/>
    <w:semiHidden/>
    <w:unhideWhenUsed/>
    <w:rsid w:val="00D21AF2"/>
    <w:rPr>
      <w:b/>
      <w:bCs/>
    </w:rPr>
  </w:style>
  <w:style w:type="character" w:customStyle="1" w:styleId="CommentSubjectChar">
    <w:name w:val="Comment Subject Char"/>
    <w:basedOn w:val="CommentTextChar"/>
    <w:link w:val="CommentSubject"/>
    <w:uiPriority w:val="99"/>
    <w:semiHidden/>
    <w:rsid w:val="00D21AF2"/>
    <w:rPr>
      <w:b/>
      <w:bCs/>
      <w:sz w:val="20"/>
      <w:szCs w:val="20"/>
    </w:rPr>
  </w:style>
  <w:style w:type="paragraph" w:styleId="BalloonText">
    <w:name w:val="Balloon Text"/>
    <w:basedOn w:val="Normal"/>
    <w:link w:val="BalloonTextChar"/>
    <w:uiPriority w:val="99"/>
    <w:semiHidden/>
    <w:unhideWhenUsed/>
    <w:rsid w:val="00D21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F2"/>
    <w:rPr>
      <w:rFonts w:ascii="Segoe UI" w:hAnsi="Segoe UI" w:cs="Segoe UI"/>
      <w:sz w:val="18"/>
      <w:szCs w:val="18"/>
    </w:rPr>
  </w:style>
  <w:style w:type="character" w:customStyle="1" w:styleId="Heading3Char">
    <w:name w:val="Heading 3 Char"/>
    <w:basedOn w:val="DefaultParagraphFont"/>
    <w:link w:val="Heading3"/>
    <w:uiPriority w:val="9"/>
    <w:rsid w:val="00816A3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91224"/>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40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FD"/>
  </w:style>
  <w:style w:type="paragraph" w:styleId="Footer">
    <w:name w:val="footer"/>
    <w:basedOn w:val="Normal"/>
    <w:link w:val="FooterChar"/>
    <w:uiPriority w:val="99"/>
    <w:unhideWhenUsed/>
    <w:rsid w:val="00340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FD"/>
  </w:style>
  <w:style w:type="character" w:styleId="Hyperlink">
    <w:name w:val="Hyperlink"/>
    <w:basedOn w:val="DefaultParagraphFont"/>
    <w:uiPriority w:val="99"/>
    <w:unhideWhenUsed/>
    <w:rsid w:val="00FF2B4A"/>
    <w:rPr>
      <w:color w:val="0563C1" w:themeColor="hyperlink"/>
      <w:u w:val="single"/>
    </w:rPr>
  </w:style>
  <w:style w:type="character" w:styleId="UnresolvedMention">
    <w:name w:val="Unresolved Mention"/>
    <w:basedOn w:val="DefaultParagraphFont"/>
    <w:uiPriority w:val="99"/>
    <w:semiHidden/>
    <w:unhideWhenUsed/>
    <w:rsid w:val="00FF2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1820">
      <w:bodyDiv w:val="1"/>
      <w:marLeft w:val="0"/>
      <w:marRight w:val="0"/>
      <w:marTop w:val="0"/>
      <w:marBottom w:val="0"/>
      <w:divBdr>
        <w:top w:val="none" w:sz="0" w:space="0" w:color="auto"/>
        <w:left w:val="none" w:sz="0" w:space="0" w:color="auto"/>
        <w:bottom w:val="none" w:sz="0" w:space="0" w:color="auto"/>
        <w:right w:val="none" w:sz="0" w:space="0" w:color="auto"/>
      </w:divBdr>
    </w:div>
    <w:div w:id="220017437">
      <w:bodyDiv w:val="1"/>
      <w:marLeft w:val="0"/>
      <w:marRight w:val="0"/>
      <w:marTop w:val="0"/>
      <w:marBottom w:val="0"/>
      <w:divBdr>
        <w:top w:val="none" w:sz="0" w:space="0" w:color="auto"/>
        <w:left w:val="none" w:sz="0" w:space="0" w:color="auto"/>
        <w:bottom w:val="none" w:sz="0" w:space="0" w:color="auto"/>
        <w:right w:val="none" w:sz="0" w:space="0" w:color="auto"/>
      </w:divBdr>
    </w:div>
    <w:div w:id="415639031">
      <w:bodyDiv w:val="1"/>
      <w:marLeft w:val="0"/>
      <w:marRight w:val="0"/>
      <w:marTop w:val="0"/>
      <w:marBottom w:val="0"/>
      <w:divBdr>
        <w:top w:val="none" w:sz="0" w:space="0" w:color="auto"/>
        <w:left w:val="none" w:sz="0" w:space="0" w:color="auto"/>
        <w:bottom w:val="none" w:sz="0" w:space="0" w:color="auto"/>
        <w:right w:val="none" w:sz="0" w:space="0" w:color="auto"/>
      </w:divBdr>
    </w:div>
    <w:div w:id="530798231">
      <w:bodyDiv w:val="1"/>
      <w:marLeft w:val="0"/>
      <w:marRight w:val="0"/>
      <w:marTop w:val="0"/>
      <w:marBottom w:val="0"/>
      <w:divBdr>
        <w:top w:val="none" w:sz="0" w:space="0" w:color="auto"/>
        <w:left w:val="none" w:sz="0" w:space="0" w:color="auto"/>
        <w:bottom w:val="none" w:sz="0" w:space="0" w:color="auto"/>
        <w:right w:val="none" w:sz="0" w:space="0" w:color="auto"/>
      </w:divBdr>
    </w:div>
    <w:div w:id="594436936">
      <w:bodyDiv w:val="1"/>
      <w:marLeft w:val="0"/>
      <w:marRight w:val="0"/>
      <w:marTop w:val="0"/>
      <w:marBottom w:val="0"/>
      <w:divBdr>
        <w:top w:val="none" w:sz="0" w:space="0" w:color="auto"/>
        <w:left w:val="none" w:sz="0" w:space="0" w:color="auto"/>
        <w:bottom w:val="none" w:sz="0" w:space="0" w:color="auto"/>
        <w:right w:val="none" w:sz="0" w:space="0" w:color="auto"/>
      </w:divBdr>
      <w:divsChild>
        <w:div w:id="1644234410">
          <w:marLeft w:val="0"/>
          <w:marRight w:val="0"/>
          <w:marTop w:val="0"/>
          <w:marBottom w:val="0"/>
          <w:divBdr>
            <w:top w:val="none" w:sz="0" w:space="0" w:color="auto"/>
            <w:left w:val="none" w:sz="0" w:space="0" w:color="auto"/>
            <w:bottom w:val="none" w:sz="0" w:space="0" w:color="auto"/>
            <w:right w:val="none" w:sz="0" w:space="0" w:color="auto"/>
          </w:divBdr>
        </w:div>
      </w:divsChild>
    </w:div>
    <w:div w:id="1301034848">
      <w:bodyDiv w:val="1"/>
      <w:marLeft w:val="0"/>
      <w:marRight w:val="0"/>
      <w:marTop w:val="0"/>
      <w:marBottom w:val="0"/>
      <w:divBdr>
        <w:top w:val="none" w:sz="0" w:space="0" w:color="auto"/>
        <w:left w:val="none" w:sz="0" w:space="0" w:color="auto"/>
        <w:bottom w:val="none" w:sz="0" w:space="0" w:color="auto"/>
        <w:right w:val="none" w:sz="0" w:space="0" w:color="auto"/>
      </w:divBdr>
    </w:div>
    <w:div w:id="151499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heaps@earthjustic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woods@nrd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buccino@nrd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7692AA4B74DF48922D16038CEFFBD3" ma:contentTypeVersion="10" ma:contentTypeDescription="Create a new document." ma:contentTypeScope="" ma:versionID="9cfbe3471b03fa64ae33e218521b2a30">
  <xsd:schema xmlns:xsd="http://www.w3.org/2001/XMLSchema" xmlns:xs="http://www.w3.org/2001/XMLSchema" xmlns:p="http://schemas.microsoft.com/office/2006/metadata/properties" xmlns:ns2="94ea5e32-1f39-4b1f-aac9-83ab373b86b4" xmlns:ns3="f6f07683-7a85-4060-ba14-664379ce5012" targetNamespace="http://schemas.microsoft.com/office/2006/metadata/properties" ma:root="true" ma:fieldsID="f483278a5eaf835d23a5a2993b577727" ns2:_="" ns3:_="">
    <xsd:import namespace="94ea5e32-1f39-4b1f-aac9-83ab373b86b4"/>
    <xsd:import namespace="f6f07683-7a85-4060-ba14-664379ce50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a5e32-1f39-4b1f-aac9-83ab373b8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f07683-7a85-4060-ba14-664379ce50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9DC46-A18D-48DF-8380-CD27B9767B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9C33AC-D11B-4595-821B-C30AC44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a5e32-1f39-4b1f-aac9-83ab373b86b4"/>
    <ds:schemaRef ds:uri="f6f07683-7a85-4060-ba14-664379ce5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2E994-B494-4F2B-97D2-0803D13A4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14933</Words>
  <Characters>85123</Characters>
  <Application>Microsoft Office Word</Application>
  <DocSecurity>0</DocSecurity>
  <Lines>709</Lines>
  <Paragraphs>199</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NEPA’s mandate and purpose</vt:lpstr>
      <vt:lpstr>DOT’s procedures and regulations implementing NEPA </vt:lpstr>
      <vt:lpstr>    DOT’s prior NEPA procedures </vt:lpstr>
      <vt:lpstr>        Order 5610.1C establishes key DOT policies in implementing NEPA</vt:lpstr>
      <vt:lpstr>        Order 5610.1C requires agencies to circulate an environmental assessment prior t</vt:lpstr>
      <vt:lpstr>        Order 5610.1C requires documentation of compliance with Section 4(f) of the DOT </vt:lpstr>
      <vt:lpstr>        Order 5610.1C deemed an environmental impact statement valid for three years</vt:lpstr>
      <vt:lpstr>    DOT’s Proposed Rule </vt:lpstr>
      <vt:lpstr>The proposed rule implements the revised CEQ regulations; regulations which are </vt:lpstr>
      <vt:lpstr>    CEQ Regs overview (Claire)</vt:lpstr>
      <vt:lpstr>    Judicial challenges (Claire)</vt:lpstr>
      <vt:lpstr>    DOT should wait to finalize DOT regs until CEQ litigation has concluded </vt:lpstr>
      <vt:lpstr>The Proposed Rule violates Executive Order 12,898 and would have disproportionat</vt:lpstr>
      <vt:lpstr>    DOT’s projects share a legacy of discriminatory activity</vt:lpstr>
      <vt:lpstr>    NEPA Advances Environmental Justice.</vt:lpstr>
      <vt:lpstr>    The Proposed Rule is illegal Because it violates Executive Order 12,898.</vt:lpstr>
      <vt:lpstr>    The Proposed Rule will have disproportionate Impacts on communities facing envir</vt:lpstr>
      <vt:lpstr>    The Proposed Rule may not incorporate the revised CEQ Regulations because those </vt:lpstr>
      <vt:lpstr>    DOT should incorporate Executive Order 12,898 into the Proposed Rule to demonstr</vt:lpstr>
      <vt:lpstr>The Proposed Rule would encourage less informative, less thorough, and unlawfull</vt:lpstr>
      <vt:lpstr>    NEPA’s detailed statement of environmental impacts depends upon and requires a c</vt:lpstr>
      <vt:lpstr>    The proposed regulation unlawfully collapses FEIS’s with Record of Decision</vt:lpstr>
      <vt:lpstr>    To ensure informed decision making, NEPA requires full and meaningful considerat</vt:lpstr>
      <vt:lpstr>The proposed delegation of EIS preparation to an applicant is improper (Claire)</vt:lpstr>
      <vt:lpstr>The proposed rule’s conclusive presumption of regularity is unlawful</vt:lpstr>
      <vt:lpstr>The proposed rule’s presumptive time and page limits [A6] are arbitrary, caprici</vt:lpstr>
      <vt:lpstr>The proposed rule permits agencies preparing an Environmental Assessment to only</vt:lpstr>
      <vt:lpstr>    DOT’s modification to the EA’s alternatives analysis severely limits the range o</vt:lpstr>
      <vt:lpstr>    The proposed rule limits the environmental impacts considered in an EA for the p</vt:lpstr>
      <vt:lpstr>    DOT’s emphasis on brevity in form leads to superficiality in substance in the EA</vt:lpstr>
      <vt:lpstr>The proposed rule’s categorical exclusions are unlawful</vt:lpstr>
      <vt:lpstr>    The Proposed Rule’s expanded universe of “extraordinary circumstances” will perm</vt:lpstr>
      <vt:lpstr>        The extraordinary circumstances provision applies to projects eligible for a cat</vt:lpstr>
      <vt:lpstr>        The Federal Highway, Railroad, and Transit Administrations preclude the use of a</vt:lpstr>
      <vt:lpstr>        DOT’s proposed rule incorporates significant impacts into the extraordinary circ</vt:lpstr>
      <vt:lpstr>        The extraordinary circumstances provision will allow DOT to undermine its agenci</vt:lpstr>
      <vt:lpstr>    The Proposed Rule should not allow agencies to borrow categorical exclusions fro</vt:lpstr>
      <vt:lpstr>XII.	The proposed rule’s new purpose and policy undermines the purpose of NEPA a</vt:lpstr>
    </vt:vector>
  </TitlesOfParts>
  <Company>NRDC</Company>
  <LinksUpToDate>false</LinksUpToDate>
  <CharactersWithSpaces>99857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Claire</dc:creator>
  <cp:keywords/>
  <dc:description/>
  <cp:lastModifiedBy>Justin McCarthy</cp:lastModifiedBy>
  <cp:revision>2</cp:revision>
  <dcterms:created xsi:type="dcterms:W3CDTF">2020-12-18T21:10:00Z</dcterms:created>
  <dcterms:modified xsi:type="dcterms:W3CDTF">2020-12-18T21:10:00Z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0x010100317692AA4B74DF48922D16038CEFFBD3</vt:lpwstr>
  </property>
</Properties>
</file>