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FA6F" w14:textId="4EF3B7DD" w:rsidR="00402929" w:rsidRPr="00402929" w:rsidRDefault="00402929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ab/>
      </w:r>
      <w:r w:rsidRPr="00402929">
        <w:rPr>
          <w:sz w:val="24"/>
          <w:szCs w:val="24"/>
        </w:rPr>
        <w:tab/>
      </w:r>
      <w:r w:rsidRPr="00402929">
        <w:rPr>
          <w:sz w:val="24"/>
          <w:szCs w:val="24"/>
        </w:rPr>
        <w:tab/>
      </w:r>
      <w:r w:rsidRPr="00402929">
        <w:rPr>
          <w:sz w:val="24"/>
          <w:szCs w:val="24"/>
        </w:rPr>
        <w:tab/>
      </w:r>
      <w:r w:rsidR="00F82679">
        <w:rPr>
          <w:sz w:val="24"/>
          <w:szCs w:val="24"/>
        </w:rPr>
        <w:t>May 2</w:t>
      </w:r>
      <w:r w:rsidRPr="00402929">
        <w:rPr>
          <w:sz w:val="24"/>
          <w:szCs w:val="24"/>
        </w:rPr>
        <w:t>, 2022</w:t>
      </w:r>
      <w:r w:rsidRPr="00402929">
        <w:rPr>
          <w:sz w:val="24"/>
          <w:szCs w:val="24"/>
        </w:rPr>
        <w:tab/>
      </w:r>
    </w:p>
    <w:p w14:paraId="7919401E" w14:textId="77777777" w:rsidR="00402929" w:rsidRPr="00402929" w:rsidRDefault="00402929" w:rsidP="003027C6">
      <w:pPr>
        <w:tabs>
          <w:tab w:val="center" w:pos="4680"/>
        </w:tabs>
        <w:spacing w:after="0"/>
        <w:rPr>
          <w:sz w:val="24"/>
          <w:szCs w:val="24"/>
        </w:rPr>
      </w:pPr>
    </w:p>
    <w:p w14:paraId="41C8DD9F" w14:textId="13B74686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The Honorable Charles E. Schumer</w:t>
      </w:r>
    </w:p>
    <w:p w14:paraId="51EAFC12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Majority Leader</w:t>
      </w:r>
    </w:p>
    <w:p w14:paraId="3ED51A2D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United States Senate</w:t>
      </w:r>
    </w:p>
    <w:p w14:paraId="105A0FCF" w14:textId="77777777" w:rsidR="003027C6" w:rsidRPr="00402929" w:rsidRDefault="003027C6" w:rsidP="003027C6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>Washington D.C. 20510</w:t>
      </w:r>
    </w:p>
    <w:p w14:paraId="6A1D3B68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The Honorable Mitch McConnell</w:t>
      </w:r>
    </w:p>
    <w:p w14:paraId="7E7D025C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Minority Leader</w:t>
      </w:r>
    </w:p>
    <w:p w14:paraId="1CD06DBF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United States Senate</w:t>
      </w:r>
    </w:p>
    <w:p w14:paraId="030F08A4" w14:textId="77777777" w:rsidR="003027C6" w:rsidRPr="00402929" w:rsidRDefault="003027C6" w:rsidP="003027C6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>Washington D.C. 20510</w:t>
      </w:r>
    </w:p>
    <w:p w14:paraId="72CB1D4B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The Honorable Thomas Carper</w:t>
      </w:r>
    </w:p>
    <w:p w14:paraId="752FBC68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Chairman, Committee on the Environment and Public Works</w:t>
      </w:r>
    </w:p>
    <w:p w14:paraId="435BE3C8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United States Senate</w:t>
      </w:r>
    </w:p>
    <w:p w14:paraId="373E4F31" w14:textId="77777777" w:rsidR="003027C6" w:rsidRPr="00402929" w:rsidRDefault="003027C6" w:rsidP="003027C6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>Washington D.C. 20510</w:t>
      </w:r>
    </w:p>
    <w:p w14:paraId="6C70D4FA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The Honorable Shelley Moore Capito</w:t>
      </w:r>
    </w:p>
    <w:p w14:paraId="3FA77448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Ranking Member, Committee on the Environment and Public Works</w:t>
      </w:r>
    </w:p>
    <w:p w14:paraId="1624B292" w14:textId="77777777" w:rsidR="003027C6" w:rsidRPr="00402929" w:rsidRDefault="003027C6" w:rsidP="003027C6">
      <w:pPr>
        <w:tabs>
          <w:tab w:val="center" w:pos="4680"/>
        </w:tabs>
        <w:spacing w:after="0"/>
        <w:rPr>
          <w:sz w:val="24"/>
          <w:szCs w:val="24"/>
        </w:rPr>
      </w:pPr>
      <w:r w:rsidRPr="00402929">
        <w:rPr>
          <w:sz w:val="24"/>
          <w:szCs w:val="24"/>
        </w:rPr>
        <w:t>United States Senate</w:t>
      </w:r>
    </w:p>
    <w:p w14:paraId="206BD6C7" w14:textId="289E3CD8" w:rsidR="00D57123" w:rsidRPr="00402929" w:rsidRDefault="003027C6" w:rsidP="003027C6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>Washington D.C. 20510</w:t>
      </w:r>
    </w:p>
    <w:p w14:paraId="0F0617C9" w14:textId="77777777" w:rsidR="003027C6" w:rsidRPr="00402929" w:rsidRDefault="003027C6" w:rsidP="003027C6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>Re: Letter of Support for David M. Uhlmann</w:t>
      </w:r>
    </w:p>
    <w:p w14:paraId="02ADDA51" w14:textId="77777777" w:rsidR="00402929" w:rsidRPr="00402929" w:rsidRDefault="00402929" w:rsidP="00436C03">
      <w:pPr>
        <w:tabs>
          <w:tab w:val="center" w:pos="4680"/>
        </w:tabs>
        <w:rPr>
          <w:sz w:val="24"/>
          <w:szCs w:val="24"/>
        </w:rPr>
      </w:pPr>
    </w:p>
    <w:p w14:paraId="6D36FD30" w14:textId="61D34FEB" w:rsidR="000F083E" w:rsidRPr="00402929" w:rsidRDefault="003027C6" w:rsidP="00436C03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 xml:space="preserve">Dear Majority Leader Schumer, Minority Leader McConnell, Chairman </w:t>
      </w:r>
      <w:proofErr w:type="gramStart"/>
      <w:r w:rsidRPr="00402929">
        <w:rPr>
          <w:sz w:val="24"/>
          <w:szCs w:val="24"/>
        </w:rPr>
        <w:t>Carper</w:t>
      </w:r>
      <w:proofErr w:type="gramEnd"/>
      <w:r w:rsidRPr="00402929">
        <w:rPr>
          <w:sz w:val="24"/>
          <w:szCs w:val="24"/>
        </w:rPr>
        <w:t xml:space="preserve"> and Ranking Member Capito:</w:t>
      </w:r>
    </w:p>
    <w:p w14:paraId="6484A34D" w14:textId="3BD10835" w:rsidR="0042234C" w:rsidRPr="00402929" w:rsidRDefault="001107DA" w:rsidP="00436C03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 xml:space="preserve">The USEPA’s enforcement of the Clean Water Act, the Clean Air Act and other environmental </w:t>
      </w:r>
      <w:r w:rsidR="00D57123" w:rsidRPr="00402929">
        <w:rPr>
          <w:sz w:val="24"/>
          <w:szCs w:val="24"/>
        </w:rPr>
        <w:t xml:space="preserve">statutes </w:t>
      </w:r>
      <w:r w:rsidRPr="00402929">
        <w:rPr>
          <w:sz w:val="24"/>
          <w:szCs w:val="24"/>
        </w:rPr>
        <w:t>has declined sharply in the past few years,</w:t>
      </w:r>
      <w:r w:rsidR="00916304" w:rsidRPr="00402929">
        <w:rPr>
          <w:sz w:val="24"/>
          <w:szCs w:val="24"/>
        </w:rPr>
        <w:t xml:space="preserve"> </w:t>
      </w:r>
      <w:r w:rsidR="00B671A5" w:rsidRPr="00402929">
        <w:rPr>
          <w:sz w:val="24"/>
          <w:szCs w:val="24"/>
        </w:rPr>
        <w:t xml:space="preserve">exposing </w:t>
      </w:r>
      <w:r w:rsidRPr="00402929">
        <w:rPr>
          <w:sz w:val="24"/>
          <w:szCs w:val="24"/>
        </w:rPr>
        <w:t>vulnerable communities</w:t>
      </w:r>
      <w:r w:rsidR="00D04F6C">
        <w:rPr>
          <w:sz w:val="24"/>
          <w:szCs w:val="24"/>
        </w:rPr>
        <w:t xml:space="preserve"> </w:t>
      </w:r>
      <w:r w:rsidRPr="00402929">
        <w:rPr>
          <w:sz w:val="24"/>
          <w:szCs w:val="24"/>
        </w:rPr>
        <w:t>to higher levels of illegal pollution</w:t>
      </w:r>
      <w:r w:rsidR="00916304" w:rsidRPr="00402929">
        <w:rPr>
          <w:sz w:val="24"/>
          <w:szCs w:val="24"/>
        </w:rPr>
        <w:t xml:space="preserve"> a</w:t>
      </w:r>
      <w:r w:rsidR="00B671A5" w:rsidRPr="00402929">
        <w:rPr>
          <w:sz w:val="24"/>
          <w:szCs w:val="24"/>
        </w:rPr>
        <w:t xml:space="preserve">nd </w:t>
      </w:r>
      <w:r w:rsidR="002647DF" w:rsidRPr="00402929">
        <w:rPr>
          <w:sz w:val="24"/>
          <w:szCs w:val="24"/>
        </w:rPr>
        <w:t>law-abiding companies</w:t>
      </w:r>
      <w:r w:rsidR="00D57123" w:rsidRPr="00402929">
        <w:rPr>
          <w:sz w:val="24"/>
          <w:szCs w:val="24"/>
        </w:rPr>
        <w:t xml:space="preserve"> to unscrupulous competitors.</w:t>
      </w:r>
      <w:r w:rsidR="00B671A5" w:rsidRPr="00402929">
        <w:rPr>
          <w:sz w:val="24"/>
          <w:szCs w:val="24"/>
        </w:rPr>
        <w:t xml:space="preserve">  </w:t>
      </w:r>
      <w:r w:rsidRPr="00402929">
        <w:rPr>
          <w:sz w:val="24"/>
          <w:szCs w:val="24"/>
        </w:rPr>
        <w:t>We respectfully</w:t>
      </w:r>
      <w:r w:rsidR="00916304" w:rsidRPr="00402929">
        <w:rPr>
          <w:sz w:val="24"/>
          <w:szCs w:val="24"/>
        </w:rPr>
        <w:t xml:space="preserve"> request</w:t>
      </w:r>
      <w:r w:rsidRPr="00402929">
        <w:rPr>
          <w:sz w:val="24"/>
          <w:szCs w:val="24"/>
        </w:rPr>
        <w:t xml:space="preserve"> that the Senate </w:t>
      </w:r>
      <w:r w:rsidR="00050096" w:rsidRPr="00402929">
        <w:rPr>
          <w:sz w:val="24"/>
          <w:szCs w:val="24"/>
        </w:rPr>
        <w:t xml:space="preserve">give EPA a fair opportunity to reverse this trend by confirming </w:t>
      </w:r>
      <w:r w:rsidR="0042234C" w:rsidRPr="00402929">
        <w:rPr>
          <w:sz w:val="24"/>
          <w:szCs w:val="24"/>
        </w:rPr>
        <w:t xml:space="preserve">David Uhlmann as </w:t>
      </w:r>
      <w:r w:rsidR="00402929">
        <w:rPr>
          <w:sz w:val="24"/>
          <w:szCs w:val="24"/>
        </w:rPr>
        <w:t xml:space="preserve">the Agency’s </w:t>
      </w:r>
      <w:r w:rsidR="0042234C" w:rsidRPr="00402929">
        <w:rPr>
          <w:sz w:val="24"/>
          <w:szCs w:val="24"/>
        </w:rPr>
        <w:t>new enforcement chief as soon as possible</w:t>
      </w:r>
      <w:r w:rsidR="00050096" w:rsidRPr="00402929">
        <w:rPr>
          <w:sz w:val="24"/>
          <w:szCs w:val="24"/>
        </w:rPr>
        <w:t>.</w:t>
      </w:r>
      <w:r w:rsidR="0042234C" w:rsidRPr="00402929">
        <w:rPr>
          <w:sz w:val="24"/>
          <w:szCs w:val="24"/>
        </w:rPr>
        <w:t xml:space="preserve"> </w:t>
      </w:r>
    </w:p>
    <w:p w14:paraId="1C451679" w14:textId="628EB8C1" w:rsidR="00F405EE" w:rsidRPr="00402929" w:rsidRDefault="008A1F15" w:rsidP="00106BD0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 xml:space="preserve"> Between </w:t>
      </w:r>
      <w:r w:rsidR="00C70244" w:rsidRPr="00402929">
        <w:rPr>
          <w:sz w:val="24"/>
          <w:szCs w:val="24"/>
        </w:rPr>
        <w:t xml:space="preserve">the </w:t>
      </w:r>
      <w:r w:rsidRPr="00402929">
        <w:rPr>
          <w:sz w:val="24"/>
          <w:szCs w:val="24"/>
        </w:rPr>
        <w:t>2018 and 2021</w:t>
      </w:r>
      <w:r w:rsidR="00C70244" w:rsidRPr="00402929">
        <w:rPr>
          <w:sz w:val="24"/>
          <w:szCs w:val="24"/>
        </w:rPr>
        <w:t xml:space="preserve"> fiscal years, </w:t>
      </w:r>
      <w:r w:rsidRPr="00402929">
        <w:rPr>
          <w:sz w:val="24"/>
          <w:szCs w:val="24"/>
        </w:rPr>
        <w:t>t</w:t>
      </w:r>
      <w:r w:rsidR="007C586F" w:rsidRPr="00402929">
        <w:rPr>
          <w:sz w:val="24"/>
          <w:szCs w:val="24"/>
        </w:rPr>
        <w:t xml:space="preserve">he number of </w:t>
      </w:r>
      <w:r w:rsidR="00106BD0" w:rsidRPr="00402929">
        <w:rPr>
          <w:sz w:val="24"/>
          <w:szCs w:val="24"/>
        </w:rPr>
        <w:t>inspections,</w:t>
      </w:r>
      <w:r w:rsidR="007C586F" w:rsidRPr="00402929">
        <w:rPr>
          <w:sz w:val="24"/>
          <w:szCs w:val="24"/>
        </w:rPr>
        <w:t xml:space="preserve"> criminal investigations, civil cases initiated or concluded, defendants charged with </w:t>
      </w:r>
      <w:r w:rsidR="00167678" w:rsidRPr="00402929">
        <w:rPr>
          <w:sz w:val="24"/>
          <w:szCs w:val="24"/>
        </w:rPr>
        <w:t>environmental crimes</w:t>
      </w:r>
      <w:r w:rsidR="00106BD0" w:rsidRPr="00402929">
        <w:rPr>
          <w:sz w:val="24"/>
          <w:szCs w:val="24"/>
        </w:rPr>
        <w:t xml:space="preserve">, </w:t>
      </w:r>
      <w:r w:rsidR="00167678" w:rsidRPr="00402929">
        <w:rPr>
          <w:sz w:val="24"/>
          <w:szCs w:val="24"/>
        </w:rPr>
        <w:t xml:space="preserve">and amounts </w:t>
      </w:r>
      <w:r w:rsidR="00C70244" w:rsidRPr="00402929">
        <w:rPr>
          <w:sz w:val="24"/>
          <w:szCs w:val="24"/>
        </w:rPr>
        <w:t xml:space="preserve">violators paid for cleanup </w:t>
      </w:r>
      <w:r w:rsidRPr="00402929">
        <w:rPr>
          <w:sz w:val="24"/>
          <w:szCs w:val="24"/>
        </w:rPr>
        <w:t xml:space="preserve">declined about 50% when average annual results are compared to </w:t>
      </w:r>
      <w:r w:rsidR="00402929">
        <w:rPr>
          <w:sz w:val="24"/>
          <w:szCs w:val="24"/>
        </w:rPr>
        <w:t>2002-2017</w:t>
      </w:r>
      <w:r w:rsidR="00F82679">
        <w:rPr>
          <w:sz w:val="24"/>
          <w:szCs w:val="24"/>
        </w:rPr>
        <w:t xml:space="preserve"> (details in chart below).</w:t>
      </w:r>
      <w:r w:rsidR="00402929">
        <w:rPr>
          <w:sz w:val="24"/>
          <w:szCs w:val="24"/>
        </w:rPr>
        <w:t xml:space="preserve">  </w:t>
      </w:r>
      <w:r w:rsidR="00D04F6C">
        <w:rPr>
          <w:sz w:val="24"/>
          <w:szCs w:val="24"/>
        </w:rPr>
        <w:t>Po</w:t>
      </w:r>
      <w:r w:rsidR="00C70244" w:rsidRPr="00402929">
        <w:rPr>
          <w:sz w:val="24"/>
          <w:szCs w:val="24"/>
        </w:rPr>
        <w:t xml:space="preserve">litical indifference or hostility to environmental enforcement explains part of the decline, but so do budget cuts that have eliminated more </w:t>
      </w:r>
      <w:r w:rsidR="00916304" w:rsidRPr="00402929">
        <w:rPr>
          <w:sz w:val="24"/>
          <w:szCs w:val="24"/>
        </w:rPr>
        <w:t>than</w:t>
      </w:r>
      <w:r w:rsidR="00CD2D6A">
        <w:rPr>
          <w:sz w:val="24"/>
          <w:szCs w:val="24"/>
        </w:rPr>
        <w:t xml:space="preserve"> </w:t>
      </w:r>
      <w:r w:rsidR="004164E3">
        <w:rPr>
          <w:sz w:val="24"/>
          <w:szCs w:val="24"/>
        </w:rPr>
        <w:t xml:space="preserve">22% of EPA’s enforcement workforce </w:t>
      </w:r>
      <w:r w:rsidR="004C1C9F" w:rsidRPr="00402929">
        <w:rPr>
          <w:sz w:val="24"/>
          <w:szCs w:val="24"/>
        </w:rPr>
        <w:t xml:space="preserve">since </w:t>
      </w:r>
      <w:r w:rsidR="00C70244" w:rsidRPr="00402929">
        <w:rPr>
          <w:sz w:val="24"/>
          <w:szCs w:val="24"/>
        </w:rPr>
        <w:t>President George W. Bush’s second term</w:t>
      </w:r>
      <w:r w:rsidR="004164E3">
        <w:rPr>
          <w:sz w:val="24"/>
          <w:szCs w:val="24"/>
        </w:rPr>
        <w:t>.</w:t>
      </w:r>
      <w:r w:rsidR="00D04F6C">
        <w:rPr>
          <w:sz w:val="24"/>
          <w:szCs w:val="24"/>
        </w:rPr>
        <w:t xml:space="preserve"> </w:t>
      </w:r>
      <w:r w:rsidR="002647DF" w:rsidRPr="00402929">
        <w:rPr>
          <w:sz w:val="24"/>
          <w:szCs w:val="24"/>
        </w:rPr>
        <w:t xml:space="preserve"> </w:t>
      </w:r>
      <w:r w:rsidR="004C1C9F" w:rsidRPr="00402929">
        <w:rPr>
          <w:sz w:val="24"/>
          <w:szCs w:val="24"/>
        </w:rPr>
        <w:t xml:space="preserve">  </w:t>
      </w:r>
    </w:p>
    <w:p w14:paraId="4959EB88" w14:textId="66F566DB" w:rsidR="000B5F44" w:rsidRPr="00402929" w:rsidRDefault="00C70244" w:rsidP="00106BD0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 xml:space="preserve"> </w:t>
      </w:r>
      <w:r w:rsidR="00B74BD6" w:rsidRPr="00402929">
        <w:rPr>
          <w:sz w:val="24"/>
          <w:szCs w:val="24"/>
        </w:rPr>
        <w:t xml:space="preserve">For many years, Republicans and Democrats have agreed that weakening enforcement of the </w:t>
      </w:r>
      <w:r w:rsidR="00193231" w:rsidRPr="00402929">
        <w:rPr>
          <w:sz w:val="24"/>
          <w:szCs w:val="24"/>
        </w:rPr>
        <w:t xml:space="preserve">Clean Water Act, Clean Air Act and other </w:t>
      </w:r>
      <w:r w:rsidR="00B74BD6" w:rsidRPr="00402929">
        <w:rPr>
          <w:sz w:val="24"/>
          <w:szCs w:val="24"/>
        </w:rPr>
        <w:t>environmental laws enacted by Congress</w:t>
      </w:r>
      <w:r w:rsidR="00006A60">
        <w:rPr>
          <w:sz w:val="24"/>
          <w:szCs w:val="24"/>
        </w:rPr>
        <w:t xml:space="preserve"> jeopardizes </w:t>
      </w:r>
      <w:r w:rsidR="00CD2D6A">
        <w:rPr>
          <w:sz w:val="24"/>
          <w:szCs w:val="24"/>
        </w:rPr>
        <w:t>public health</w:t>
      </w:r>
      <w:r w:rsidR="00006A60">
        <w:rPr>
          <w:sz w:val="24"/>
          <w:szCs w:val="24"/>
        </w:rPr>
        <w:t xml:space="preserve"> and our natural resources, undermines environmental justice, and </w:t>
      </w:r>
      <w:r w:rsidR="001A7BB6" w:rsidRPr="00402929">
        <w:rPr>
          <w:sz w:val="24"/>
          <w:szCs w:val="24"/>
        </w:rPr>
        <w:t xml:space="preserve">gives violators </w:t>
      </w:r>
      <w:r w:rsidR="001A7BB6" w:rsidRPr="00402929">
        <w:rPr>
          <w:sz w:val="24"/>
          <w:szCs w:val="24"/>
        </w:rPr>
        <w:lastRenderedPageBreak/>
        <w:t xml:space="preserve">an unfair advantage over companies that work hard to stay in compliance.   </w:t>
      </w:r>
      <w:r w:rsidR="00087548" w:rsidRPr="00402929">
        <w:rPr>
          <w:sz w:val="24"/>
          <w:szCs w:val="24"/>
        </w:rPr>
        <w:t>C</w:t>
      </w:r>
      <w:r w:rsidR="002647DF" w:rsidRPr="00402929">
        <w:rPr>
          <w:sz w:val="24"/>
          <w:szCs w:val="24"/>
        </w:rPr>
        <w:t>onfirming Mr. Uhlmann’s appointment</w:t>
      </w:r>
      <w:r w:rsidR="00087548" w:rsidRPr="00402929">
        <w:rPr>
          <w:sz w:val="24"/>
          <w:szCs w:val="24"/>
        </w:rPr>
        <w:t xml:space="preserve"> as EPA’s enforcement chief would signal a welcome return to this bipartisan tradition.  </w:t>
      </w:r>
    </w:p>
    <w:p w14:paraId="38C93B2E" w14:textId="10E97335" w:rsidR="00696241" w:rsidRPr="00402929" w:rsidRDefault="00B74BD6" w:rsidP="00106BD0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 xml:space="preserve">David Uhlmann </w:t>
      </w:r>
      <w:r w:rsidR="00EF331D" w:rsidRPr="00402929">
        <w:rPr>
          <w:sz w:val="24"/>
          <w:szCs w:val="24"/>
        </w:rPr>
        <w:t>was nominated to serve as the A</w:t>
      </w:r>
      <w:r w:rsidRPr="00402929">
        <w:rPr>
          <w:sz w:val="24"/>
          <w:szCs w:val="24"/>
        </w:rPr>
        <w:t>ssistant Administrator of the Office of Enforcement and Compliance on June 23, 20</w:t>
      </w:r>
      <w:r w:rsidR="00C01340" w:rsidRPr="00402929">
        <w:rPr>
          <w:sz w:val="24"/>
          <w:szCs w:val="24"/>
        </w:rPr>
        <w:t xml:space="preserve">21 </w:t>
      </w:r>
      <w:r w:rsidR="00EF331D" w:rsidRPr="00402929">
        <w:rPr>
          <w:sz w:val="24"/>
          <w:szCs w:val="24"/>
        </w:rPr>
        <w:t xml:space="preserve">(and renominated January 4, 2022).  </w:t>
      </w:r>
      <w:r w:rsidRPr="00402929">
        <w:rPr>
          <w:sz w:val="24"/>
          <w:szCs w:val="24"/>
        </w:rPr>
        <w:t xml:space="preserve">More than </w:t>
      </w:r>
      <w:r w:rsidR="00EF331D" w:rsidRPr="00402929">
        <w:rPr>
          <w:sz w:val="24"/>
          <w:szCs w:val="24"/>
        </w:rPr>
        <w:t>ten</w:t>
      </w:r>
      <w:r w:rsidRPr="00402929">
        <w:rPr>
          <w:sz w:val="24"/>
          <w:szCs w:val="24"/>
        </w:rPr>
        <w:t xml:space="preserve"> months later, the Senate has </w:t>
      </w:r>
      <w:r w:rsidR="007E7C27" w:rsidRPr="00402929">
        <w:rPr>
          <w:sz w:val="24"/>
          <w:szCs w:val="24"/>
        </w:rPr>
        <w:t xml:space="preserve">yet to confirm his appointment, leaving EPA’s beleaguered enforcement staff without a leader who can speak for the Biden Administration.  </w:t>
      </w:r>
      <w:r w:rsidR="00181283" w:rsidRPr="00402929">
        <w:rPr>
          <w:sz w:val="24"/>
          <w:szCs w:val="24"/>
        </w:rPr>
        <w:t>No controversy or questions about Mr. Uhlmann’s fitness for the job or his personal or professional integrity emerged during the Committee’s</w:t>
      </w:r>
      <w:r w:rsidR="00EF331D" w:rsidRPr="00402929">
        <w:rPr>
          <w:sz w:val="24"/>
          <w:szCs w:val="24"/>
        </w:rPr>
        <w:t xml:space="preserve"> </w:t>
      </w:r>
      <w:r w:rsidR="00181283" w:rsidRPr="00402929">
        <w:rPr>
          <w:sz w:val="24"/>
          <w:szCs w:val="24"/>
        </w:rPr>
        <w:t>hearing</w:t>
      </w:r>
      <w:r w:rsidR="00F97453" w:rsidRPr="00402929">
        <w:rPr>
          <w:sz w:val="24"/>
          <w:szCs w:val="24"/>
        </w:rPr>
        <w:t xml:space="preserve"> on his nomination</w:t>
      </w:r>
      <w:r w:rsidR="00006A60">
        <w:rPr>
          <w:sz w:val="24"/>
          <w:szCs w:val="24"/>
        </w:rPr>
        <w:t xml:space="preserve"> last September</w:t>
      </w:r>
      <w:r w:rsidR="00181283" w:rsidRPr="00402929">
        <w:rPr>
          <w:sz w:val="24"/>
          <w:szCs w:val="24"/>
        </w:rPr>
        <w:t xml:space="preserve"> or </w:t>
      </w:r>
      <w:r w:rsidR="00006A60">
        <w:rPr>
          <w:sz w:val="24"/>
          <w:szCs w:val="24"/>
        </w:rPr>
        <w:t xml:space="preserve">in the </w:t>
      </w:r>
      <w:r w:rsidR="00181283" w:rsidRPr="00402929">
        <w:rPr>
          <w:sz w:val="24"/>
          <w:szCs w:val="24"/>
        </w:rPr>
        <w:t xml:space="preserve">seven months since.  </w:t>
      </w:r>
    </w:p>
    <w:p w14:paraId="1193E721" w14:textId="1852B70E" w:rsidR="00B74BD6" w:rsidRPr="00402929" w:rsidRDefault="007E7C27" w:rsidP="00106BD0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>Mr. Uhlmann, a distinguished Professor of Environmental Law</w:t>
      </w:r>
      <w:r w:rsidR="00E21B12">
        <w:rPr>
          <w:sz w:val="24"/>
          <w:szCs w:val="24"/>
        </w:rPr>
        <w:t xml:space="preserve"> at the University of Michigan</w:t>
      </w:r>
      <w:r w:rsidR="00160170" w:rsidRPr="00402929">
        <w:rPr>
          <w:sz w:val="24"/>
          <w:szCs w:val="24"/>
        </w:rPr>
        <w:t xml:space="preserve">, </w:t>
      </w:r>
      <w:r w:rsidRPr="00402929">
        <w:rPr>
          <w:sz w:val="24"/>
          <w:szCs w:val="24"/>
        </w:rPr>
        <w:t xml:space="preserve">spent seventeen years at the U.S. Department of Justice and </w:t>
      </w:r>
      <w:r w:rsidR="005C3646" w:rsidRPr="00402929">
        <w:rPr>
          <w:sz w:val="24"/>
          <w:szCs w:val="24"/>
        </w:rPr>
        <w:t xml:space="preserve">was Chief of </w:t>
      </w:r>
      <w:r w:rsidR="00E21B12">
        <w:rPr>
          <w:sz w:val="24"/>
          <w:szCs w:val="24"/>
        </w:rPr>
        <w:t xml:space="preserve">its </w:t>
      </w:r>
      <w:r w:rsidR="005C3646" w:rsidRPr="00402929">
        <w:rPr>
          <w:sz w:val="24"/>
          <w:szCs w:val="24"/>
        </w:rPr>
        <w:t xml:space="preserve">Environmental Crimes </w:t>
      </w:r>
      <w:r w:rsidR="00151E93" w:rsidRPr="00402929">
        <w:rPr>
          <w:sz w:val="24"/>
          <w:szCs w:val="24"/>
        </w:rPr>
        <w:t xml:space="preserve">Section </w:t>
      </w:r>
      <w:r w:rsidR="00160170" w:rsidRPr="00402929">
        <w:rPr>
          <w:sz w:val="24"/>
          <w:szCs w:val="24"/>
        </w:rPr>
        <w:t xml:space="preserve">between 2000 and 2007.  </w:t>
      </w:r>
      <w:r w:rsidR="005C3646" w:rsidRPr="00402929">
        <w:rPr>
          <w:sz w:val="24"/>
          <w:szCs w:val="24"/>
        </w:rPr>
        <w:t xml:space="preserve"> His nomination </w:t>
      </w:r>
      <w:r w:rsidR="00D34885" w:rsidRPr="00402929">
        <w:rPr>
          <w:sz w:val="24"/>
          <w:szCs w:val="24"/>
        </w:rPr>
        <w:t xml:space="preserve">is </w:t>
      </w:r>
      <w:r w:rsidR="00696241" w:rsidRPr="00402929">
        <w:rPr>
          <w:sz w:val="24"/>
          <w:szCs w:val="24"/>
        </w:rPr>
        <w:t xml:space="preserve">enthusiastically </w:t>
      </w:r>
      <w:r w:rsidR="00D34885" w:rsidRPr="00402929">
        <w:rPr>
          <w:sz w:val="24"/>
          <w:szCs w:val="24"/>
        </w:rPr>
        <w:t xml:space="preserve">supported by </w:t>
      </w:r>
      <w:r w:rsidR="00050096" w:rsidRPr="00402929">
        <w:rPr>
          <w:sz w:val="24"/>
          <w:szCs w:val="24"/>
        </w:rPr>
        <w:t xml:space="preserve">both </w:t>
      </w:r>
      <w:r w:rsidR="00696241" w:rsidRPr="00402929">
        <w:rPr>
          <w:sz w:val="24"/>
          <w:szCs w:val="24"/>
        </w:rPr>
        <w:t xml:space="preserve">the </w:t>
      </w:r>
      <w:r w:rsidR="00D34885" w:rsidRPr="00402929">
        <w:rPr>
          <w:sz w:val="24"/>
          <w:szCs w:val="24"/>
        </w:rPr>
        <w:t xml:space="preserve">environmental community </w:t>
      </w:r>
      <w:r w:rsidR="00050096" w:rsidRPr="00402929">
        <w:rPr>
          <w:sz w:val="24"/>
          <w:szCs w:val="24"/>
        </w:rPr>
        <w:t>and</w:t>
      </w:r>
      <w:r w:rsidR="00696241" w:rsidRPr="00402929">
        <w:rPr>
          <w:sz w:val="24"/>
          <w:szCs w:val="24"/>
        </w:rPr>
        <w:t xml:space="preserve"> </w:t>
      </w:r>
      <w:r w:rsidR="00D34885" w:rsidRPr="00402929">
        <w:rPr>
          <w:sz w:val="24"/>
          <w:szCs w:val="24"/>
        </w:rPr>
        <w:t>prominent law firms</w:t>
      </w:r>
      <w:r w:rsidR="00696241" w:rsidRPr="00402929">
        <w:rPr>
          <w:sz w:val="24"/>
          <w:szCs w:val="24"/>
        </w:rPr>
        <w:t xml:space="preserve"> representing regulated industries.  </w:t>
      </w:r>
      <w:r w:rsidR="00F35D0E" w:rsidRPr="00402929">
        <w:rPr>
          <w:sz w:val="24"/>
          <w:szCs w:val="24"/>
        </w:rPr>
        <w:t xml:space="preserve">He </w:t>
      </w:r>
      <w:r w:rsidR="00696241" w:rsidRPr="00402929">
        <w:rPr>
          <w:sz w:val="24"/>
          <w:szCs w:val="24"/>
        </w:rPr>
        <w:t xml:space="preserve">has </w:t>
      </w:r>
      <w:r w:rsidR="00050096" w:rsidRPr="00402929">
        <w:rPr>
          <w:sz w:val="24"/>
          <w:szCs w:val="24"/>
        </w:rPr>
        <w:t xml:space="preserve">been endorsed by career veterans and </w:t>
      </w:r>
      <w:r w:rsidR="002F4F35" w:rsidRPr="00402929">
        <w:rPr>
          <w:sz w:val="24"/>
          <w:szCs w:val="24"/>
        </w:rPr>
        <w:t xml:space="preserve">high-ranking political appointees </w:t>
      </w:r>
      <w:r w:rsidR="00F35D0E" w:rsidRPr="00402929">
        <w:rPr>
          <w:sz w:val="24"/>
          <w:szCs w:val="24"/>
        </w:rPr>
        <w:t>se</w:t>
      </w:r>
      <w:r w:rsidR="00050096" w:rsidRPr="00402929">
        <w:rPr>
          <w:sz w:val="24"/>
          <w:szCs w:val="24"/>
        </w:rPr>
        <w:t xml:space="preserve">rving </w:t>
      </w:r>
      <w:r w:rsidR="00F35D0E" w:rsidRPr="00402929">
        <w:rPr>
          <w:sz w:val="24"/>
          <w:szCs w:val="24"/>
        </w:rPr>
        <w:t xml:space="preserve">both Republican and Democratic Presidents, including </w:t>
      </w:r>
      <w:r w:rsidR="002F4F35" w:rsidRPr="00402929">
        <w:rPr>
          <w:sz w:val="24"/>
          <w:szCs w:val="24"/>
        </w:rPr>
        <w:t>Deputy Attorney General</w:t>
      </w:r>
      <w:r w:rsidR="000F083E" w:rsidRPr="00402929">
        <w:rPr>
          <w:sz w:val="24"/>
          <w:szCs w:val="24"/>
        </w:rPr>
        <w:t xml:space="preserve"> for the United States </w:t>
      </w:r>
      <w:r w:rsidR="002F4F35" w:rsidRPr="00402929">
        <w:rPr>
          <w:sz w:val="24"/>
          <w:szCs w:val="24"/>
        </w:rPr>
        <w:t>Larry Thompson (2001-2003); Assistant U.S. Attorney General</w:t>
      </w:r>
      <w:r w:rsidR="00050096" w:rsidRPr="00402929">
        <w:rPr>
          <w:sz w:val="24"/>
          <w:szCs w:val="24"/>
        </w:rPr>
        <w:t>s</w:t>
      </w:r>
      <w:r w:rsidR="002F4F35" w:rsidRPr="00402929">
        <w:rPr>
          <w:sz w:val="24"/>
          <w:szCs w:val="24"/>
        </w:rPr>
        <w:t xml:space="preserve"> for the Department of the Environment and Natural Resources </w:t>
      </w:r>
      <w:r w:rsidR="00B43161" w:rsidRPr="00402929">
        <w:rPr>
          <w:sz w:val="24"/>
          <w:szCs w:val="24"/>
        </w:rPr>
        <w:t xml:space="preserve">Lois Schiffer </w:t>
      </w:r>
      <w:r w:rsidR="000F083E" w:rsidRPr="00402929">
        <w:rPr>
          <w:sz w:val="24"/>
          <w:szCs w:val="24"/>
        </w:rPr>
        <w:t>(</w:t>
      </w:r>
      <w:r w:rsidR="00B43161" w:rsidRPr="00402929">
        <w:rPr>
          <w:sz w:val="24"/>
          <w:szCs w:val="24"/>
        </w:rPr>
        <w:t xml:space="preserve">1994-2001), Tom </w:t>
      </w:r>
      <w:proofErr w:type="spellStart"/>
      <w:r w:rsidR="00B43161" w:rsidRPr="00402929">
        <w:rPr>
          <w:sz w:val="24"/>
          <w:szCs w:val="24"/>
        </w:rPr>
        <w:t>Sansonetti</w:t>
      </w:r>
      <w:proofErr w:type="spellEnd"/>
      <w:r w:rsidR="00B43161" w:rsidRPr="00402929">
        <w:rPr>
          <w:sz w:val="24"/>
          <w:szCs w:val="24"/>
        </w:rPr>
        <w:t xml:space="preserve"> </w:t>
      </w:r>
      <w:r w:rsidR="00D04F6C">
        <w:rPr>
          <w:sz w:val="24"/>
          <w:szCs w:val="24"/>
        </w:rPr>
        <w:t>(</w:t>
      </w:r>
      <w:r w:rsidR="000F083E" w:rsidRPr="00402929">
        <w:rPr>
          <w:sz w:val="24"/>
          <w:szCs w:val="24"/>
        </w:rPr>
        <w:t>2001-2005)</w:t>
      </w:r>
      <w:r w:rsidR="00B43161" w:rsidRPr="00402929">
        <w:rPr>
          <w:sz w:val="24"/>
          <w:szCs w:val="24"/>
        </w:rPr>
        <w:t xml:space="preserve">, </w:t>
      </w:r>
      <w:r w:rsidR="00CB7AEF" w:rsidRPr="00402929">
        <w:rPr>
          <w:sz w:val="24"/>
          <w:szCs w:val="24"/>
        </w:rPr>
        <w:t xml:space="preserve">Ronald J. </w:t>
      </w:r>
      <w:proofErr w:type="spellStart"/>
      <w:r w:rsidR="00CB7AEF" w:rsidRPr="00402929">
        <w:rPr>
          <w:sz w:val="24"/>
          <w:szCs w:val="24"/>
        </w:rPr>
        <w:t>Tempas</w:t>
      </w:r>
      <w:proofErr w:type="spellEnd"/>
      <w:r w:rsidR="00CB7AEF" w:rsidRPr="00402929">
        <w:rPr>
          <w:sz w:val="24"/>
          <w:szCs w:val="24"/>
        </w:rPr>
        <w:t xml:space="preserve"> (2007-2009) </w:t>
      </w:r>
      <w:r w:rsidR="00B43161" w:rsidRPr="00402929">
        <w:rPr>
          <w:sz w:val="24"/>
          <w:szCs w:val="24"/>
        </w:rPr>
        <w:t xml:space="preserve">and John </w:t>
      </w:r>
      <w:proofErr w:type="spellStart"/>
      <w:r w:rsidR="00B43161" w:rsidRPr="00402929">
        <w:rPr>
          <w:sz w:val="24"/>
          <w:szCs w:val="24"/>
        </w:rPr>
        <w:t>Cruden</w:t>
      </w:r>
      <w:proofErr w:type="spellEnd"/>
      <w:r w:rsidR="00B43161" w:rsidRPr="00402929">
        <w:rPr>
          <w:sz w:val="24"/>
          <w:szCs w:val="24"/>
        </w:rPr>
        <w:t xml:space="preserve"> (2015-2017); and former Assistant Administrators for </w:t>
      </w:r>
      <w:r w:rsidR="006E33B9" w:rsidRPr="00402929">
        <w:rPr>
          <w:sz w:val="24"/>
          <w:szCs w:val="24"/>
        </w:rPr>
        <w:t xml:space="preserve">EPA’s Office of </w:t>
      </w:r>
      <w:r w:rsidR="00B43161" w:rsidRPr="00402929">
        <w:rPr>
          <w:sz w:val="24"/>
          <w:szCs w:val="24"/>
        </w:rPr>
        <w:t xml:space="preserve">Enforcement and Compliance Assurance Steven A. Herman (1993-2001), </w:t>
      </w:r>
      <w:proofErr w:type="spellStart"/>
      <w:r w:rsidR="00B43161" w:rsidRPr="00402929">
        <w:rPr>
          <w:sz w:val="24"/>
          <w:szCs w:val="24"/>
        </w:rPr>
        <w:t>Granta</w:t>
      </w:r>
      <w:proofErr w:type="spellEnd"/>
      <w:r w:rsidR="00B43161" w:rsidRPr="00402929">
        <w:rPr>
          <w:sz w:val="24"/>
          <w:szCs w:val="24"/>
        </w:rPr>
        <w:t xml:space="preserve"> Nakayama (2005-2009) and Cynthia Giles</w:t>
      </w:r>
      <w:r w:rsidR="006E33B9" w:rsidRPr="00402929">
        <w:rPr>
          <w:sz w:val="24"/>
          <w:szCs w:val="24"/>
        </w:rPr>
        <w:t xml:space="preserve"> (2009-2016).  </w:t>
      </w:r>
      <w:r w:rsidR="00B43161" w:rsidRPr="00402929">
        <w:rPr>
          <w:sz w:val="24"/>
          <w:szCs w:val="24"/>
        </w:rPr>
        <w:t xml:space="preserve"> </w:t>
      </w:r>
    </w:p>
    <w:p w14:paraId="56F36A37" w14:textId="1BADA86A" w:rsidR="006E33B9" w:rsidRPr="00402929" w:rsidRDefault="00F81243" w:rsidP="00106BD0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>Given the broad, bipartisan support for</w:t>
      </w:r>
      <w:r w:rsidR="00050096" w:rsidRPr="00402929">
        <w:rPr>
          <w:sz w:val="24"/>
          <w:szCs w:val="24"/>
        </w:rPr>
        <w:t xml:space="preserve"> </w:t>
      </w:r>
      <w:r w:rsidR="003027C6" w:rsidRPr="00402929">
        <w:rPr>
          <w:sz w:val="24"/>
          <w:szCs w:val="24"/>
        </w:rPr>
        <w:t xml:space="preserve">a nomination that has been pending for more than ten months we hope </w:t>
      </w:r>
      <w:r w:rsidR="00D57123" w:rsidRPr="00402929">
        <w:rPr>
          <w:sz w:val="24"/>
          <w:szCs w:val="24"/>
        </w:rPr>
        <w:t xml:space="preserve">the Senate will be given the chance to confirm Mr. Uhlmann at the earliest opportunity.  </w:t>
      </w:r>
      <w:r w:rsidR="00FE1C07" w:rsidRPr="00402929">
        <w:rPr>
          <w:sz w:val="24"/>
          <w:szCs w:val="24"/>
        </w:rPr>
        <w:t xml:space="preserve"> Senators who have decided to oppose every </w:t>
      </w:r>
      <w:r w:rsidR="002E737B" w:rsidRPr="00402929">
        <w:rPr>
          <w:sz w:val="24"/>
          <w:szCs w:val="24"/>
        </w:rPr>
        <w:t>nominee the Biden Administration puts forward, regardless of the</w:t>
      </w:r>
      <w:r w:rsidRPr="00402929">
        <w:rPr>
          <w:sz w:val="24"/>
          <w:szCs w:val="24"/>
        </w:rPr>
        <w:t>ir merit, will be</w:t>
      </w:r>
      <w:r w:rsidR="002E737B" w:rsidRPr="00402929">
        <w:rPr>
          <w:sz w:val="24"/>
          <w:szCs w:val="24"/>
        </w:rPr>
        <w:t xml:space="preserve"> free to vote no.  But we are optimistic that a majority will </w:t>
      </w:r>
      <w:r w:rsidR="00F97453" w:rsidRPr="00402929">
        <w:rPr>
          <w:sz w:val="24"/>
          <w:szCs w:val="24"/>
        </w:rPr>
        <w:t xml:space="preserve">show their </w:t>
      </w:r>
      <w:r w:rsidR="00181283" w:rsidRPr="00402929">
        <w:rPr>
          <w:sz w:val="24"/>
          <w:szCs w:val="24"/>
        </w:rPr>
        <w:t xml:space="preserve">support for enforcing our environmental laws by giving </w:t>
      </w:r>
      <w:r w:rsidRPr="00402929">
        <w:rPr>
          <w:sz w:val="24"/>
          <w:szCs w:val="24"/>
        </w:rPr>
        <w:t xml:space="preserve">this highly qualified nominee the chance to </w:t>
      </w:r>
      <w:r w:rsidR="00181283" w:rsidRPr="00402929">
        <w:rPr>
          <w:sz w:val="24"/>
          <w:szCs w:val="24"/>
        </w:rPr>
        <w:t xml:space="preserve">return to public service.  </w:t>
      </w:r>
      <w:r w:rsidRPr="00402929">
        <w:rPr>
          <w:sz w:val="24"/>
          <w:szCs w:val="24"/>
        </w:rPr>
        <w:t xml:space="preserve">    </w:t>
      </w:r>
    </w:p>
    <w:p w14:paraId="7022B37C" w14:textId="45ECAE4B" w:rsidR="00EF331D" w:rsidRDefault="00EF331D" w:rsidP="00106BD0">
      <w:pPr>
        <w:tabs>
          <w:tab w:val="center" w:pos="4680"/>
        </w:tabs>
        <w:rPr>
          <w:sz w:val="24"/>
          <w:szCs w:val="24"/>
        </w:rPr>
      </w:pPr>
      <w:r w:rsidRPr="00402929">
        <w:rPr>
          <w:sz w:val="24"/>
          <w:szCs w:val="24"/>
        </w:rPr>
        <w:t>Thank you for considering our views.</w:t>
      </w:r>
    </w:p>
    <w:p w14:paraId="23E744FF" w14:textId="24277ED4" w:rsidR="004164E3" w:rsidRDefault="004164E3" w:rsidP="00106BD0">
      <w:pPr>
        <w:tabs>
          <w:tab w:val="center" w:pos="4680"/>
        </w:tabs>
        <w:rPr>
          <w:sz w:val="24"/>
          <w:szCs w:val="24"/>
        </w:rPr>
      </w:pPr>
    </w:p>
    <w:p w14:paraId="6CB023B8" w14:textId="1293A806" w:rsidR="004164E3" w:rsidRDefault="004164E3" w:rsidP="00106BD0">
      <w:pPr>
        <w:tabs>
          <w:tab w:val="center" w:pos="4680"/>
        </w:tabs>
        <w:rPr>
          <w:sz w:val="24"/>
          <w:szCs w:val="24"/>
        </w:rPr>
      </w:pPr>
    </w:p>
    <w:p w14:paraId="45A1A1CE" w14:textId="64C93B71" w:rsidR="004164E3" w:rsidRDefault="004164E3" w:rsidP="00106BD0">
      <w:pPr>
        <w:tabs>
          <w:tab w:val="center" w:pos="4680"/>
        </w:tabs>
        <w:rPr>
          <w:sz w:val="24"/>
          <w:szCs w:val="24"/>
        </w:rPr>
      </w:pPr>
    </w:p>
    <w:p w14:paraId="16FA5590" w14:textId="1CB1444A" w:rsidR="004164E3" w:rsidRDefault="004164E3" w:rsidP="00106BD0">
      <w:pPr>
        <w:tabs>
          <w:tab w:val="center" w:pos="4680"/>
        </w:tabs>
        <w:rPr>
          <w:sz w:val="24"/>
          <w:szCs w:val="24"/>
        </w:rPr>
      </w:pPr>
    </w:p>
    <w:p w14:paraId="57958F97" w14:textId="1FB2835A" w:rsidR="004164E3" w:rsidRDefault="004164E3" w:rsidP="00106BD0">
      <w:pPr>
        <w:tabs>
          <w:tab w:val="center" w:pos="4680"/>
        </w:tabs>
        <w:rPr>
          <w:sz w:val="24"/>
          <w:szCs w:val="24"/>
        </w:rPr>
      </w:pPr>
    </w:p>
    <w:p w14:paraId="1E65D1F7" w14:textId="4334A209" w:rsidR="004164E3" w:rsidRDefault="004164E3" w:rsidP="00106BD0">
      <w:pPr>
        <w:tabs>
          <w:tab w:val="center" w:pos="4680"/>
        </w:tabs>
        <w:rPr>
          <w:sz w:val="24"/>
          <w:szCs w:val="24"/>
        </w:rPr>
      </w:pPr>
    </w:p>
    <w:p w14:paraId="5D63726B" w14:textId="4B295660" w:rsidR="009E1FD9" w:rsidRDefault="009E1FD9" w:rsidP="009E1FD9">
      <w:pPr>
        <w:rPr>
          <w:sz w:val="24"/>
          <w:szCs w:val="24"/>
        </w:rPr>
        <w:sectPr w:rsidR="009E1F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br w:type="page"/>
      </w:r>
    </w:p>
    <w:p w14:paraId="60BE7896" w14:textId="77777777" w:rsidR="004164E3" w:rsidRDefault="004164E3" w:rsidP="004164E3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 w:rsidRPr="77CC91C0">
        <w:rPr>
          <w:b/>
          <w:bCs/>
          <w:sz w:val="32"/>
          <w:szCs w:val="32"/>
        </w:rPr>
        <w:t>EPA Enforcement Performance Measures</w:t>
      </w:r>
    </w:p>
    <w:p w14:paraId="5417CD31" w14:textId="25A8EABE" w:rsidR="004164E3" w:rsidRDefault="004164E3" w:rsidP="004164E3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 w:rsidRPr="77CC91C0">
        <w:rPr>
          <w:b/>
          <w:bCs/>
          <w:sz w:val="32"/>
          <w:szCs w:val="32"/>
        </w:rPr>
        <w:t>2002-2017 vs. 2018-2021</w:t>
      </w:r>
    </w:p>
    <w:p w14:paraId="5C422F3F" w14:textId="77777777" w:rsidR="009E1FD9" w:rsidRDefault="009E1FD9" w:rsidP="004164E3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</w:p>
    <w:p w14:paraId="5B99B99E" w14:textId="77777777" w:rsidR="004164E3" w:rsidRDefault="004164E3" w:rsidP="009E1FD9">
      <w:pPr>
        <w:spacing w:after="0" w:line="240" w:lineRule="auto"/>
        <w:contextualSpacing/>
        <w:rPr>
          <w:b/>
          <w:bCs/>
          <w:sz w:val="28"/>
          <w:szCs w:val="28"/>
        </w:rPr>
      </w:pPr>
    </w:p>
    <w:tbl>
      <w:tblPr>
        <w:tblW w:w="12694" w:type="dxa"/>
        <w:tblLayout w:type="fixed"/>
        <w:tblLook w:val="04A0" w:firstRow="1" w:lastRow="0" w:firstColumn="1" w:lastColumn="0" w:noHBand="0" w:noVBand="1"/>
      </w:tblPr>
      <w:tblGrid>
        <w:gridCol w:w="6340"/>
        <w:gridCol w:w="2480"/>
        <w:gridCol w:w="2340"/>
        <w:gridCol w:w="1534"/>
      </w:tblGrid>
      <w:tr w:rsidR="004164E3" w:rsidRPr="000B0804" w14:paraId="6D029DFC" w14:textId="77777777" w:rsidTr="004164E3">
        <w:trPr>
          <w:trHeight w:val="363"/>
        </w:trPr>
        <w:tc>
          <w:tcPr>
            <w:tcW w:w="6340" w:type="dxa"/>
            <w:tcBorders>
              <w:top w:val="single" w:sz="12" w:space="0" w:color="003D7A"/>
              <w:bottom w:val="single" w:sz="12" w:space="0" w:color="003D7A"/>
            </w:tcBorders>
            <w:shd w:val="clear" w:color="auto" w:fill="3188B5"/>
            <w:vAlign w:val="center"/>
          </w:tcPr>
          <w:p w14:paraId="3027C1CB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>Category</w:t>
            </w:r>
          </w:p>
        </w:tc>
        <w:tc>
          <w:tcPr>
            <w:tcW w:w="2480" w:type="dxa"/>
            <w:tcBorders>
              <w:top w:val="single" w:sz="12" w:space="0" w:color="003D7A"/>
              <w:bottom w:val="single" w:sz="12" w:space="0" w:color="003D7A"/>
            </w:tcBorders>
            <w:shd w:val="clear" w:color="auto" w:fill="3188B5"/>
            <w:vAlign w:val="center"/>
          </w:tcPr>
          <w:p w14:paraId="00425F4B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>2002-2017</w:t>
            </w:r>
            <w:r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>*</w:t>
            </w:r>
            <w:r w:rsidRPr="000B0804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 xml:space="preserve">Annual </w:t>
            </w:r>
            <w:r w:rsidRPr="000B0804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>Average</w:t>
            </w:r>
          </w:p>
        </w:tc>
        <w:tc>
          <w:tcPr>
            <w:tcW w:w="2340" w:type="dxa"/>
            <w:tcBorders>
              <w:top w:val="single" w:sz="12" w:space="0" w:color="003D7A"/>
              <w:bottom w:val="single" w:sz="12" w:space="0" w:color="003D7A"/>
            </w:tcBorders>
            <w:shd w:val="clear" w:color="auto" w:fill="3188B5"/>
            <w:vAlign w:val="center"/>
          </w:tcPr>
          <w:p w14:paraId="0D4E6BDC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 xml:space="preserve">2018-2021 </w:t>
            </w:r>
            <w:r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 xml:space="preserve">Annual </w:t>
            </w:r>
            <w:r w:rsidRPr="000B0804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>Average</w:t>
            </w:r>
          </w:p>
        </w:tc>
        <w:tc>
          <w:tcPr>
            <w:tcW w:w="1534" w:type="dxa"/>
            <w:tcBorders>
              <w:top w:val="single" w:sz="12" w:space="0" w:color="003D7A"/>
            </w:tcBorders>
            <w:shd w:val="clear" w:color="auto" w:fill="3188B5"/>
            <w:vAlign w:val="center"/>
          </w:tcPr>
          <w:p w14:paraId="148C7F76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>% Change</w:t>
            </w:r>
          </w:p>
        </w:tc>
      </w:tr>
      <w:tr w:rsidR="004164E3" w:rsidRPr="000B0804" w14:paraId="289EDBC8" w14:textId="77777777" w:rsidTr="004164E3">
        <w:trPr>
          <w:trHeight w:val="333"/>
        </w:trPr>
        <w:tc>
          <w:tcPr>
            <w:tcW w:w="12694" w:type="dxa"/>
            <w:gridSpan w:val="4"/>
            <w:tcBorders>
              <w:top w:val="single" w:sz="12" w:space="0" w:color="003D7A"/>
              <w:bottom w:val="single" w:sz="12" w:space="0" w:color="003D7A"/>
            </w:tcBorders>
            <w:shd w:val="clear" w:color="auto" w:fill="3188B5"/>
            <w:vAlign w:val="center"/>
          </w:tcPr>
          <w:p w14:paraId="1873AC1F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>Civil/Criminal Outcomes</w:t>
            </w:r>
          </w:p>
        </w:tc>
      </w:tr>
      <w:tr w:rsidR="004164E3" w:rsidRPr="000B0804" w14:paraId="35EAAF13" w14:textId="77777777" w:rsidTr="004164E3">
        <w:trPr>
          <w:trHeight w:val="333"/>
        </w:trPr>
        <w:tc>
          <w:tcPr>
            <w:tcW w:w="6340" w:type="dxa"/>
            <w:tcBorders>
              <w:top w:val="single" w:sz="12" w:space="0" w:color="003D7A"/>
            </w:tcBorders>
            <w:vAlign w:val="center"/>
          </w:tcPr>
          <w:p w14:paraId="71625C2C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Civil Inspections</w:t>
            </w:r>
          </w:p>
        </w:tc>
        <w:tc>
          <w:tcPr>
            <w:tcW w:w="2480" w:type="dxa"/>
            <w:tcBorders>
              <w:top w:val="single" w:sz="12" w:space="0" w:color="003D7A"/>
            </w:tcBorders>
            <w:vAlign w:val="center"/>
          </w:tcPr>
          <w:p w14:paraId="6576FFFD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18,755</w:t>
            </w:r>
          </w:p>
        </w:tc>
        <w:tc>
          <w:tcPr>
            <w:tcW w:w="2340" w:type="dxa"/>
            <w:tcBorders>
              <w:top w:val="single" w:sz="12" w:space="0" w:color="003D7A"/>
            </w:tcBorders>
            <w:vAlign w:val="center"/>
          </w:tcPr>
          <w:p w14:paraId="21477E6E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10,110</w:t>
            </w:r>
          </w:p>
        </w:tc>
        <w:tc>
          <w:tcPr>
            <w:tcW w:w="1534" w:type="dxa"/>
            <w:tcBorders>
              <w:top w:val="single" w:sz="12" w:space="0" w:color="003D7A"/>
            </w:tcBorders>
            <w:vAlign w:val="center"/>
          </w:tcPr>
          <w:p w14:paraId="4EC9FC8E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-46%</w:t>
            </w:r>
          </w:p>
        </w:tc>
      </w:tr>
      <w:tr w:rsidR="004164E3" w:rsidRPr="000B0804" w14:paraId="64E00E99" w14:textId="77777777" w:rsidTr="004164E3">
        <w:trPr>
          <w:trHeight w:val="333"/>
        </w:trPr>
        <w:tc>
          <w:tcPr>
            <w:tcW w:w="6340" w:type="dxa"/>
            <w:shd w:val="clear" w:color="auto" w:fill="DEEAF6" w:themeFill="accent5" w:themeFillTint="33"/>
            <w:vAlign w:val="center"/>
          </w:tcPr>
          <w:p w14:paraId="074B3D6E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Criminal Investigations</w:t>
            </w:r>
          </w:p>
        </w:tc>
        <w:tc>
          <w:tcPr>
            <w:tcW w:w="2480" w:type="dxa"/>
            <w:shd w:val="clear" w:color="auto" w:fill="DEEAF6" w:themeFill="accent5" w:themeFillTint="33"/>
            <w:vAlign w:val="center"/>
          </w:tcPr>
          <w:p w14:paraId="6C804A0C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326</w:t>
            </w: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10A5AB31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167</w:t>
            </w:r>
          </w:p>
        </w:tc>
        <w:tc>
          <w:tcPr>
            <w:tcW w:w="1534" w:type="dxa"/>
            <w:shd w:val="clear" w:color="auto" w:fill="DEEAF6" w:themeFill="accent5" w:themeFillTint="33"/>
            <w:vAlign w:val="center"/>
          </w:tcPr>
          <w:p w14:paraId="3EA541F4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-49%</w:t>
            </w:r>
          </w:p>
        </w:tc>
      </w:tr>
      <w:tr w:rsidR="004164E3" w:rsidRPr="000B0804" w14:paraId="7840825B" w14:textId="77777777" w:rsidTr="004164E3">
        <w:trPr>
          <w:trHeight w:val="333"/>
        </w:trPr>
        <w:tc>
          <w:tcPr>
            <w:tcW w:w="6340" w:type="dxa"/>
            <w:vAlign w:val="center"/>
          </w:tcPr>
          <w:p w14:paraId="029CDF13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Civil Cases Referred to Justice Department</w:t>
            </w:r>
          </w:p>
        </w:tc>
        <w:tc>
          <w:tcPr>
            <w:tcW w:w="2480" w:type="dxa"/>
            <w:vAlign w:val="center"/>
          </w:tcPr>
          <w:p w14:paraId="5726870F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237</w:t>
            </w:r>
          </w:p>
        </w:tc>
        <w:tc>
          <w:tcPr>
            <w:tcW w:w="2340" w:type="dxa"/>
            <w:vAlign w:val="center"/>
          </w:tcPr>
          <w:p w14:paraId="7C183C44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534" w:type="dxa"/>
            <w:vAlign w:val="center"/>
          </w:tcPr>
          <w:p w14:paraId="48CCEA2C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-57%</w:t>
            </w:r>
          </w:p>
        </w:tc>
      </w:tr>
      <w:tr w:rsidR="004164E3" w:rsidRPr="000B0804" w14:paraId="300496F0" w14:textId="77777777" w:rsidTr="004164E3">
        <w:trPr>
          <w:trHeight w:val="333"/>
        </w:trPr>
        <w:tc>
          <w:tcPr>
            <w:tcW w:w="6340" w:type="dxa"/>
            <w:shd w:val="clear" w:color="auto" w:fill="DEEAF6" w:themeFill="accent5" w:themeFillTint="33"/>
            <w:vAlign w:val="center"/>
          </w:tcPr>
          <w:p w14:paraId="5DD5DE3C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 xml:space="preserve">Civil </w:t>
            </w: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 xml:space="preserve">Judicial/Administrative </w:t>
            </w: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Case Conclu</w:t>
            </w: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sions</w:t>
            </w:r>
          </w:p>
        </w:tc>
        <w:tc>
          <w:tcPr>
            <w:tcW w:w="2480" w:type="dxa"/>
            <w:shd w:val="clear" w:color="auto" w:fill="DEEAF6" w:themeFill="accent5" w:themeFillTint="33"/>
            <w:vAlign w:val="center"/>
          </w:tcPr>
          <w:p w14:paraId="70BB8354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3,392</w:t>
            </w: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64AA1E0E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1,67</w:t>
            </w: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34" w:type="dxa"/>
            <w:shd w:val="clear" w:color="auto" w:fill="DEEAF6" w:themeFill="accent5" w:themeFillTint="33"/>
            <w:vAlign w:val="center"/>
          </w:tcPr>
          <w:p w14:paraId="6D4FF8B1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-51%</w:t>
            </w:r>
          </w:p>
        </w:tc>
      </w:tr>
      <w:tr w:rsidR="004164E3" w:rsidRPr="000B0804" w14:paraId="2FA0B79F" w14:textId="77777777" w:rsidTr="004164E3">
        <w:trPr>
          <w:trHeight w:val="333"/>
        </w:trPr>
        <w:tc>
          <w:tcPr>
            <w:tcW w:w="6340" w:type="dxa"/>
            <w:vAlign w:val="center"/>
          </w:tcPr>
          <w:p w14:paraId="3B1F39BF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Criminal Defendants Charged</w:t>
            </w:r>
          </w:p>
        </w:tc>
        <w:tc>
          <w:tcPr>
            <w:tcW w:w="2480" w:type="dxa"/>
            <w:vAlign w:val="center"/>
          </w:tcPr>
          <w:p w14:paraId="37F735F2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2340" w:type="dxa"/>
            <w:vAlign w:val="center"/>
          </w:tcPr>
          <w:p w14:paraId="21DD4B6C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534" w:type="dxa"/>
            <w:vAlign w:val="center"/>
          </w:tcPr>
          <w:p w14:paraId="41A34527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-54%</w:t>
            </w:r>
          </w:p>
        </w:tc>
      </w:tr>
      <w:tr w:rsidR="004164E3" w:rsidRPr="000B0804" w14:paraId="79B5440F" w14:textId="77777777" w:rsidTr="004164E3">
        <w:trPr>
          <w:trHeight w:val="333"/>
        </w:trPr>
        <w:tc>
          <w:tcPr>
            <w:tcW w:w="12694" w:type="dxa"/>
            <w:gridSpan w:val="4"/>
            <w:tcBorders>
              <w:top w:val="single" w:sz="12" w:space="0" w:color="003D7A"/>
              <w:bottom w:val="single" w:sz="12" w:space="0" w:color="003D7A"/>
            </w:tcBorders>
            <w:shd w:val="clear" w:color="auto" w:fill="3188B5"/>
            <w:vAlign w:val="center"/>
          </w:tcPr>
          <w:p w14:paraId="43B1090E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z w:val="28"/>
                <w:szCs w:val="28"/>
              </w:rPr>
              <w:t>Civil/Criminal Enforcement Results (in millions of dollars)</w:t>
            </w:r>
          </w:p>
        </w:tc>
      </w:tr>
      <w:tr w:rsidR="004164E3" w:rsidRPr="000B0804" w14:paraId="1FFF1E43" w14:textId="77777777" w:rsidTr="004164E3">
        <w:trPr>
          <w:trHeight w:val="333"/>
        </w:trPr>
        <w:tc>
          <w:tcPr>
            <w:tcW w:w="6340" w:type="dxa"/>
            <w:tcBorders>
              <w:top w:val="single" w:sz="12" w:space="0" w:color="003D7A"/>
            </w:tcBorders>
            <w:vAlign w:val="center"/>
          </w:tcPr>
          <w:p w14:paraId="3A00FBD2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Civil Penalties</w:t>
            </w:r>
          </w:p>
        </w:tc>
        <w:tc>
          <w:tcPr>
            <w:tcW w:w="2480" w:type="dxa"/>
            <w:tcBorders>
              <w:top w:val="single" w:sz="12" w:space="0" w:color="003D7A"/>
            </w:tcBorders>
            <w:vAlign w:val="center"/>
          </w:tcPr>
          <w:p w14:paraId="52C9713E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2340" w:type="dxa"/>
            <w:tcBorders>
              <w:top w:val="single" w:sz="12" w:space="0" w:color="003D7A"/>
            </w:tcBorders>
            <w:vAlign w:val="center"/>
          </w:tcPr>
          <w:p w14:paraId="150A3C15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1534" w:type="dxa"/>
            <w:tcBorders>
              <w:top w:val="single" w:sz="12" w:space="0" w:color="003D7A"/>
            </w:tcBorders>
            <w:vAlign w:val="center"/>
          </w:tcPr>
          <w:p w14:paraId="44AF9BF7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-36%</w:t>
            </w:r>
          </w:p>
        </w:tc>
      </w:tr>
      <w:tr w:rsidR="004164E3" w:rsidRPr="000B0804" w14:paraId="3A43850A" w14:textId="77777777" w:rsidTr="004164E3">
        <w:trPr>
          <w:trHeight w:val="333"/>
        </w:trPr>
        <w:tc>
          <w:tcPr>
            <w:tcW w:w="6340" w:type="dxa"/>
            <w:shd w:val="clear" w:color="auto" w:fill="DEEAF6" w:themeFill="accent5" w:themeFillTint="33"/>
            <w:vAlign w:val="center"/>
          </w:tcPr>
          <w:p w14:paraId="1938A76A" w14:textId="77777777" w:rsidR="004164E3" w:rsidRPr="00316B62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</w:pPr>
            <w:r w:rsidRPr="00316B62"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  <w:t xml:space="preserve">Civil Penalties, </w:t>
            </w:r>
            <w:r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  <w:t>outliers removed</w:t>
            </w:r>
          </w:p>
        </w:tc>
        <w:tc>
          <w:tcPr>
            <w:tcW w:w="2480" w:type="dxa"/>
            <w:shd w:val="clear" w:color="auto" w:fill="DEEAF6" w:themeFill="accent5" w:themeFillTint="33"/>
            <w:vAlign w:val="center"/>
          </w:tcPr>
          <w:p w14:paraId="2D7B5464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6F6153B9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1534" w:type="dxa"/>
            <w:shd w:val="clear" w:color="auto" w:fill="DEEAF6" w:themeFill="accent5" w:themeFillTint="33"/>
            <w:vAlign w:val="center"/>
          </w:tcPr>
          <w:p w14:paraId="03D5C06B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-28%</w:t>
            </w:r>
          </w:p>
        </w:tc>
      </w:tr>
      <w:tr w:rsidR="004164E3" w:rsidRPr="000B0804" w14:paraId="48FBC08C" w14:textId="77777777" w:rsidTr="004164E3">
        <w:trPr>
          <w:trHeight w:val="333"/>
        </w:trPr>
        <w:tc>
          <w:tcPr>
            <w:tcW w:w="6340" w:type="dxa"/>
            <w:vAlign w:val="center"/>
          </w:tcPr>
          <w:p w14:paraId="4B53A500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Civil Supplemental Environmental Projects</w:t>
            </w:r>
          </w:p>
        </w:tc>
        <w:tc>
          <w:tcPr>
            <w:tcW w:w="2480" w:type="dxa"/>
            <w:vAlign w:val="center"/>
          </w:tcPr>
          <w:p w14:paraId="62EDDF11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51.5</w:t>
            </w:r>
          </w:p>
        </w:tc>
        <w:tc>
          <w:tcPr>
            <w:tcW w:w="2340" w:type="dxa"/>
            <w:vAlign w:val="center"/>
          </w:tcPr>
          <w:p w14:paraId="5A9388DC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34" w:type="dxa"/>
            <w:vAlign w:val="center"/>
          </w:tcPr>
          <w:p w14:paraId="68F63929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-61%</w:t>
            </w:r>
          </w:p>
        </w:tc>
      </w:tr>
      <w:tr w:rsidR="004164E3" w:rsidRPr="000B0804" w14:paraId="08761B0E" w14:textId="77777777" w:rsidTr="004164E3">
        <w:trPr>
          <w:trHeight w:val="333"/>
        </w:trPr>
        <w:tc>
          <w:tcPr>
            <w:tcW w:w="6340" w:type="dxa"/>
            <w:shd w:val="clear" w:color="auto" w:fill="DEEAF6" w:themeFill="accent5" w:themeFillTint="33"/>
            <w:vAlign w:val="center"/>
          </w:tcPr>
          <w:p w14:paraId="7D168EDA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Injunctive Relief (civil cases)</w:t>
            </w:r>
          </w:p>
        </w:tc>
        <w:tc>
          <w:tcPr>
            <w:tcW w:w="2480" w:type="dxa"/>
            <w:shd w:val="clear" w:color="auto" w:fill="DEEAF6" w:themeFill="accent5" w:themeFillTint="33"/>
            <w:vAlign w:val="center"/>
          </w:tcPr>
          <w:p w14:paraId="657332C9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,675</w:t>
            </w: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F7030F3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5,020</w:t>
            </w:r>
          </w:p>
        </w:tc>
        <w:tc>
          <w:tcPr>
            <w:tcW w:w="1534" w:type="dxa"/>
            <w:shd w:val="clear" w:color="auto" w:fill="DEEAF6" w:themeFill="accent5" w:themeFillTint="33"/>
            <w:vAlign w:val="center"/>
          </w:tcPr>
          <w:p w14:paraId="5E128B47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-57%</w:t>
            </w:r>
          </w:p>
        </w:tc>
      </w:tr>
      <w:tr w:rsidR="004164E3" w:rsidRPr="000B0804" w14:paraId="0267EB00" w14:textId="77777777" w:rsidTr="004164E3">
        <w:trPr>
          <w:trHeight w:val="333"/>
        </w:trPr>
        <w:tc>
          <w:tcPr>
            <w:tcW w:w="6340" w:type="dxa"/>
            <w:shd w:val="clear" w:color="auto" w:fill="auto"/>
            <w:vAlign w:val="center"/>
          </w:tcPr>
          <w:p w14:paraId="35F8B005" w14:textId="77777777" w:rsidR="004164E3" w:rsidRPr="00161B08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  <w:t>Injunctive Relief (civil cases), outliers removed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8571AE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9,910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66ED17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5,020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9A24CC5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-49%</w:t>
            </w:r>
          </w:p>
        </w:tc>
      </w:tr>
      <w:tr w:rsidR="004164E3" w:rsidRPr="000B0804" w14:paraId="0BE5D436" w14:textId="77777777" w:rsidTr="004164E3">
        <w:trPr>
          <w:trHeight w:val="333"/>
        </w:trPr>
        <w:tc>
          <w:tcPr>
            <w:tcW w:w="6340" w:type="dxa"/>
            <w:shd w:val="clear" w:color="auto" w:fill="DEEAF6" w:themeFill="accent5" w:themeFillTint="33"/>
            <w:vAlign w:val="center"/>
          </w:tcPr>
          <w:p w14:paraId="67AF12C6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Superfund Cleanup (funds recovered)</w:t>
            </w:r>
          </w:p>
        </w:tc>
        <w:tc>
          <w:tcPr>
            <w:tcW w:w="2480" w:type="dxa"/>
            <w:shd w:val="clear" w:color="auto" w:fill="DEEAF6" w:themeFill="accent5" w:themeFillTint="33"/>
            <w:vAlign w:val="center"/>
          </w:tcPr>
          <w:p w14:paraId="4270237A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1,759</w:t>
            </w: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630DDF3A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1,163</w:t>
            </w:r>
          </w:p>
        </w:tc>
        <w:tc>
          <w:tcPr>
            <w:tcW w:w="1534" w:type="dxa"/>
            <w:shd w:val="clear" w:color="auto" w:fill="DEEAF6" w:themeFill="accent5" w:themeFillTint="33"/>
            <w:vAlign w:val="center"/>
          </w:tcPr>
          <w:p w14:paraId="2639A118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-34%</w:t>
            </w:r>
          </w:p>
        </w:tc>
      </w:tr>
      <w:tr w:rsidR="004164E3" w:rsidRPr="000B0804" w14:paraId="258C5B8B" w14:textId="77777777" w:rsidTr="004164E3">
        <w:trPr>
          <w:trHeight w:val="333"/>
        </w:trPr>
        <w:tc>
          <w:tcPr>
            <w:tcW w:w="6340" w:type="dxa"/>
            <w:shd w:val="clear" w:color="auto" w:fill="auto"/>
            <w:vAlign w:val="center"/>
          </w:tcPr>
          <w:p w14:paraId="0B0AE1D4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Criminal Fines and Restitutions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B863D0F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E14763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7C59C4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-83%</w:t>
            </w:r>
          </w:p>
        </w:tc>
      </w:tr>
      <w:tr w:rsidR="004164E3" w:rsidRPr="000B0804" w14:paraId="120F21FE" w14:textId="77777777" w:rsidTr="004164E3">
        <w:trPr>
          <w:trHeight w:val="363"/>
        </w:trPr>
        <w:tc>
          <w:tcPr>
            <w:tcW w:w="6340" w:type="dxa"/>
            <w:shd w:val="clear" w:color="auto" w:fill="DEEAF6" w:themeFill="accent5" w:themeFillTint="33"/>
            <w:vAlign w:val="bottom"/>
          </w:tcPr>
          <w:p w14:paraId="14A0A4D6" w14:textId="77777777" w:rsidR="004164E3" w:rsidRPr="001E0549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</w:pPr>
            <w:r w:rsidRPr="001E0549"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  <w:t xml:space="preserve">Criminal Fines and Restitutions, </w:t>
            </w:r>
            <w:r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  <w:t xml:space="preserve">outliers </w:t>
            </w:r>
            <w:r w:rsidRPr="001E0549"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  <w:t>removed</w:t>
            </w:r>
          </w:p>
        </w:tc>
        <w:tc>
          <w:tcPr>
            <w:tcW w:w="2480" w:type="dxa"/>
            <w:shd w:val="clear" w:color="auto" w:fill="DEEAF6" w:themeFill="accent5" w:themeFillTint="33"/>
            <w:vAlign w:val="center"/>
          </w:tcPr>
          <w:p w14:paraId="71E06833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490A7126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534" w:type="dxa"/>
            <w:shd w:val="clear" w:color="auto" w:fill="DEEAF6" w:themeFill="accent5" w:themeFillTint="33"/>
            <w:vAlign w:val="center"/>
          </w:tcPr>
          <w:p w14:paraId="30A3AC20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-4</w:t>
            </w: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9</w:t>
            </w:r>
            <w:r w:rsidRPr="000B0804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%</w:t>
            </w:r>
          </w:p>
        </w:tc>
      </w:tr>
      <w:tr w:rsidR="004164E3" w:rsidRPr="000B0804" w14:paraId="22A20864" w14:textId="77777777" w:rsidTr="004164E3">
        <w:trPr>
          <w:trHeight w:val="363"/>
        </w:trPr>
        <w:tc>
          <w:tcPr>
            <w:tcW w:w="6340" w:type="dxa"/>
            <w:shd w:val="clear" w:color="auto" w:fill="auto"/>
            <w:vAlign w:val="bottom"/>
          </w:tcPr>
          <w:p w14:paraId="6997C2FF" w14:textId="77777777" w:rsidR="004164E3" w:rsidRPr="00A915CB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Court Ordered Environmental Projects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E20938A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601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C90C58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EB6582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-100%</w:t>
            </w:r>
          </w:p>
        </w:tc>
      </w:tr>
      <w:tr w:rsidR="004164E3" w:rsidRPr="000B0804" w14:paraId="1EC028D8" w14:textId="77777777" w:rsidTr="004164E3">
        <w:trPr>
          <w:trHeight w:val="363"/>
        </w:trPr>
        <w:tc>
          <w:tcPr>
            <w:tcW w:w="6340" w:type="dxa"/>
            <w:tcBorders>
              <w:bottom w:val="single" w:sz="12" w:space="0" w:color="003D7A"/>
            </w:tcBorders>
            <w:shd w:val="clear" w:color="auto" w:fill="DEEAF6" w:themeFill="accent5" w:themeFillTint="33"/>
            <w:vAlign w:val="bottom"/>
          </w:tcPr>
          <w:p w14:paraId="3D28A7D7" w14:textId="77777777" w:rsidR="004164E3" w:rsidRPr="00A915CB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</w:pPr>
            <w:r w:rsidRPr="00A915CB"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  <w:t>Court Ordered Environmental Projects</w:t>
            </w:r>
            <w:r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A915CB">
              <w:rPr>
                <w:rFonts w:ascii="Gill Sans MT" w:eastAsia="Gill Sans MT" w:hAnsi="Gill Sans MT" w:cs="Gill Sans MT"/>
                <w:i/>
                <w:iCs/>
                <w:color w:val="000000" w:themeColor="text1"/>
                <w:sz w:val="28"/>
                <w:szCs w:val="28"/>
              </w:rPr>
              <w:t>outliers removed</w:t>
            </w:r>
          </w:p>
        </w:tc>
        <w:tc>
          <w:tcPr>
            <w:tcW w:w="2480" w:type="dxa"/>
            <w:tcBorders>
              <w:bottom w:val="single" w:sz="12" w:space="0" w:color="003D7A"/>
            </w:tcBorders>
            <w:shd w:val="clear" w:color="auto" w:fill="DEEAF6" w:themeFill="accent5" w:themeFillTint="33"/>
            <w:vAlign w:val="center"/>
          </w:tcPr>
          <w:p w14:paraId="5BBBAFD5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2340" w:type="dxa"/>
            <w:tcBorders>
              <w:bottom w:val="single" w:sz="12" w:space="0" w:color="003D7A"/>
            </w:tcBorders>
            <w:shd w:val="clear" w:color="auto" w:fill="DEEAF6" w:themeFill="accent5" w:themeFillTint="33"/>
            <w:vAlign w:val="center"/>
          </w:tcPr>
          <w:p w14:paraId="4A555838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bottom w:val="single" w:sz="12" w:space="0" w:color="003D7A"/>
            </w:tcBorders>
            <w:shd w:val="clear" w:color="auto" w:fill="DEEAF6" w:themeFill="accent5" w:themeFillTint="33"/>
            <w:vAlign w:val="center"/>
          </w:tcPr>
          <w:p w14:paraId="47262E04" w14:textId="77777777" w:rsidR="004164E3" w:rsidRPr="000B0804" w:rsidRDefault="004164E3" w:rsidP="004164E3">
            <w:pPr>
              <w:spacing w:after="0" w:line="240" w:lineRule="auto"/>
              <w:contextualSpacing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-99%</w:t>
            </w:r>
          </w:p>
        </w:tc>
      </w:tr>
    </w:tbl>
    <w:p w14:paraId="7209BE13" w14:textId="0BE3831C" w:rsidR="00EF331D" w:rsidRPr="009E1FD9" w:rsidRDefault="004164E3" w:rsidP="009E1FD9">
      <w:pPr>
        <w:spacing w:after="0" w:line="240" w:lineRule="auto"/>
        <w:contextualSpacing/>
        <w:jc w:val="center"/>
        <w:rPr>
          <w:i/>
          <w:iCs/>
          <w:sz w:val="28"/>
          <w:szCs w:val="28"/>
        </w:rPr>
      </w:pPr>
      <w:r w:rsidRPr="00A73ECD">
        <w:rPr>
          <w:i/>
          <w:iCs/>
          <w:sz w:val="24"/>
          <w:szCs w:val="24"/>
        </w:rPr>
        <w:t>Source: Annual enforcement reports published by the USEPA every fiscal year. All dollar amounts have been inflation adjusted to 2021 dollars.</w:t>
      </w:r>
      <w:r>
        <w:rPr>
          <w:i/>
          <w:iCs/>
          <w:sz w:val="24"/>
          <w:szCs w:val="24"/>
        </w:rPr>
        <w:t xml:space="preserve"> *Data for court ordered environmental projects is from 2004 to 2017.</w:t>
      </w:r>
    </w:p>
    <w:sectPr w:rsidR="00EF331D" w:rsidRPr="009E1FD9" w:rsidSect="009E1FD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BC89" w14:textId="77777777" w:rsidR="002C06BC" w:rsidRDefault="002C06BC" w:rsidP="009E1FD9">
      <w:pPr>
        <w:spacing w:after="0" w:line="240" w:lineRule="auto"/>
      </w:pPr>
      <w:r>
        <w:separator/>
      </w:r>
    </w:p>
  </w:endnote>
  <w:endnote w:type="continuationSeparator" w:id="0">
    <w:p w14:paraId="31FB17F7" w14:textId="77777777" w:rsidR="002C06BC" w:rsidRDefault="002C06BC" w:rsidP="009E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D092" w14:textId="77777777" w:rsidR="002C06BC" w:rsidRDefault="002C06BC" w:rsidP="009E1FD9">
      <w:pPr>
        <w:spacing w:after="0" w:line="240" w:lineRule="auto"/>
      </w:pPr>
      <w:r>
        <w:separator/>
      </w:r>
    </w:p>
  </w:footnote>
  <w:footnote w:type="continuationSeparator" w:id="0">
    <w:p w14:paraId="190A6A36" w14:textId="77777777" w:rsidR="002C06BC" w:rsidRDefault="002C06BC" w:rsidP="009E1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44"/>
    <w:rsid w:val="00006A60"/>
    <w:rsid w:val="00050096"/>
    <w:rsid w:val="000622C5"/>
    <w:rsid w:val="00076382"/>
    <w:rsid w:val="00087548"/>
    <w:rsid w:val="000B4725"/>
    <w:rsid w:val="000B5F44"/>
    <w:rsid w:val="000B6EAC"/>
    <w:rsid w:val="000E6A30"/>
    <w:rsid w:val="000F083E"/>
    <w:rsid w:val="00106BD0"/>
    <w:rsid w:val="00107A7A"/>
    <w:rsid w:val="001107DA"/>
    <w:rsid w:val="00142065"/>
    <w:rsid w:val="00151E93"/>
    <w:rsid w:val="00160170"/>
    <w:rsid w:val="00167678"/>
    <w:rsid w:val="00181283"/>
    <w:rsid w:val="00193231"/>
    <w:rsid w:val="001A7BB6"/>
    <w:rsid w:val="001C3C7E"/>
    <w:rsid w:val="001D330E"/>
    <w:rsid w:val="002647DF"/>
    <w:rsid w:val="002A3FE2"/>
    <w:rsid w:val="002C06BC"/>
    <w:rsid w:val="002D74A4"/>
    <w:rsid w:val="002E7268"/>
    <w:rsid w:val="002E737B"/>
    <w:rsid w:val="002F4F35"/>
    <w:rsid w:val="003027C6"/>
    <w:rsid w:val="003D42D6"/>
    <w:rsid w:val="00402929"/>
    <w:rsid w:val="004164E3"/>
    <w:rsid w:val="0042234C"/>
    <w:rsid w:val="00436C03"/>
    <w:rsid w:val="00443E1C"/>
    <w:rsid w:val="00443FDD"/>
    <w:rsid w:val="00444C25"/>
    <w:rsid w:val="00463BB3"/>
    <w:rsid w:val="00476DC4"/>
    <w:rsid w:val="004C1C9F"/>
    <w:rsid w:val="00542313"/>
    <w:rsid w:val="005C3646"/>
    <w:rsid w:val="005E4B57"/>
    <w:rsid w:val="00654FE8"/>
    <w:rsid w:val="00670508"/>
    <w:rsid w:val="00696241"/>
    <w:rsid w:val="006E02FE"/>
    <w:rsid w:val="006E33B9"/>
    <w:rsid w:val="00765B6A"/>
    <w:rsid w:val="007A3384"/>
    <w:rsid w:val="007C586F"/>
    <w:rsid w:val="007E7C27"/>
    <w:rsid w:val="0085053E"/>
    <w:rsid w:val="0086103D"/>
    <w:rsid w:val="008A1F15"/>
    <w:rsid w:val="0091628B"/>
    <w:rsid w:val="00916304"/>
    <w:rsid w:val="009274A5"/>
    <w:rsid w:val="009E1FD9"/>
    <w:rsid w:val="00A32586"/>
    <w:rsid w:val="00A33F6A"/>
    <w:rsid w:val="00A92CD5"/>
    <w:rsid w:val="00AF23A7"/>
    <w:rsid w:val="00B123B7"/>
    <w:rsid w:val="00B43161"/>
    <w:rsid w:val="00B671A5"/>
    <w:rsid w:val="00B74BD6"/>
    <w:rsid w:val="00C01340"/>
    <w:rsid w:val="00C3046F"/>
    <w:rsid w:val="00C70244"/>
    <w:rsid w:val="00CB0894"/>
    <w:rsid w:val="00CB7AEF"/>
    <w:rsid w:val="00CC02B6"/>
    <w:rsid w:val="00CC3FF6"/>
    <w:rsid w:val="00CD2D6A"/>
    <w:rsid w:val="00D04F6C"/>
    <w:rsid w:val="00D064B5"/>
    <w:rsid w:val="00D34885"/>
    <w:rsid w:val="00D57123"/>
    <w:rsid w:val="00D927CC"/>
    <w:rsid w:val="00DA2301"/>
    <w:rsid w:val="00E21B12"/>
    <w:rsid w:val="00E741C2"/>
    <w:rsid w:val="00E747BF"/>
    <w:rsid w:val="00E83683"/>
    <w:rsid w:val="00EF331D"/>
    <w:rsid w:val="00F21C5F"/>
    <w:rsid w:val="00F35D0E"/>
    <w:rsid w:val="00F405EE"/>
    <w:rsid w:val="00F81243"/>
    <w:rsid w:val="00F82679"/>
    <w:rsid w:val="00F97453"/>
    <w:rsid w:val="00FA08E5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D9FB"/>
  <w15:chartTrackingRefBased/>
  <w15:docId w15:val="{03CB2E6C-2E7D-44FB-8049-7C2B0593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D9"/>
  </w:style>
  <w:style w:type="paragraph" w:styleId="Footer">
    <w:name w:val="footer"/>
    <w:basedOn w:val="Normal"/>
    <w:link w:val="FooterChar"/>
    <w:uiPriority w:val="99"/>
    <w:unhideWhenUsed/>
    <w:rsid w:val="009E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Schaeffer</dc:creator>
  <cp:keywords/>
  <dc:description/>
  <cp:lastModifiedBy>Eric Schaeffer</cp:lastModifiedBy>
  <cp:revision>2</cp:revision>
  <dcterms:created xsi:type="dcterms:W3CDTF">2022-04-20T13:58:00Z</dcterms:created>
  <dcterms:modified xsi:type="dcterms:W3CDTF">2022-04-20T13:58:00Z</dcterms:modified>
</cp:coreProperties>
</file>