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8D8C" w14:textId="1B5C56EA" w:rsidR="008D610E" w:rsidRDefault="000A681B"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April 13</w:t>
      </w:r>
      <w:r w:rsidR="00E0686A">
        <w:rPr>
          <w:rFonts w:ascii="Cambria" w:hAnsi="Cambria" w:cs="Cambria"/>
          <w:color w:val="000000"/>
          <w:sz w:val="24"/>
          <w:szCs w:val="24"/>
        </w:rPr>
        <w:t>, 2023</w:t>
      </w:r>
    </w:p>
    <w:p w14:paraId="24DA380C" w14:textId="77777777" w:rsidR="00E0686A" w:rsidRDefault="00E0686A" w:rsidP="00A9118A">
      <w:pPr>
        <w:autoSpaceDE w:val="0"/>
        <w:autoSpaceDN w:val="0"/>
        <w:adjustRightInd w:val="0"/>
        <w:spacing w:after="0" w:line="240" w:lineRule="auto"/>
        <w:rPr>
          <w:rFonts w:ascii="Cambria" w:hAnsi="Cambria" w:cs="Cambria"/>
          <w:color w:val="000000"/>
          <w:sz w:val="24"/>
          <w:szCs w:val="24"/>
        </w:rPr>
      </w:pPr>
    </w:p>
    <w:p w14:paraId="56E917DC" w14:textId="77777777" w:rsidR="00FA2150" w:rsidRDefault="00FA2150" w:rsidP="00A9118A">
      <w:pPr>
        <w:autoSpaceDE w:val="0"/>
        <w:autoSpaceDN w:val="0"/>
        <w:adjustRightInd w:val="0"/>
        <w:spacing w:after="0" w:line="240" w:lineRule="auto"/>
        <w:rPr>
          <w:rFonts w:ascii="Cambria" w:hAnsi="Cambria" w:cs="Cambria"/>
          <w:color w:val="000000"/>
          <w:sz w:val="24"/>
          <w:szCs w:val="24"/>
        </w:rPr>
      </w:pPr>
    </w:p>
    <w:p w14:paraId="47F645C9" w14:textId="310CE63A" w:rsidR="00AF0F00" w:rsidRDefault="00AF0F00"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Honorable Debbie Stabenow</w:t>
      </w:r>
    </w:p>
    <w:p w14:paraId="4F25DDC5" w14:textId="71F0FE50" w:rsidR="00AF0F00" w:rsidRDefault="00AF0F00"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Chairwoman,</w:t>
      </w:r>
    </w:p>
    <w:p w14:paraId="45594164" w14:textId="1FE02553" w:rsidR="00AF0F00" w:rsidRDefault="00AF0F00"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Senate Committee on Agriculture, Nutrition, &amp; Forestry</w:t>
      </w:r>
    </w:p>
    <w:p w14:paraId="50682E3D" w14:textId="288A9AA6" w:rsidR="00AF0F00" w:rsidRDefault="00AF0F00"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731 Hart Senate Office Building</w:t>
      </w:r>
    </w:p>
    <w:p w14:paraId="685B89F9" w14:textId="2E3620F1" w:rsidR="00AF0F00" w:rsidRDefault="00AF0F00"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Washington, D.C. 20510</w:t>
      </w:r>
    </w:p>
    <w:p w14:paraId="1E089A86" w14:textId="77777777" w:rsidR="00AF0F00" w:rsidRDefault="00AF0F00" w:rsidP="00A9118A">
      <w:pPr>
        <w:autoSpaceDE w:val="0"/>
        <w:autoSpaceDN w:val="0"/>
        <w:adjustRightInd w:val="0"/>
        <w:spacing w:after="0" w:line="240" w:lineRule="auto"/>
        <w:rPr>
          <w:rFonts w:ascii="Cambria" w:hAnsi="Cambria" w:cs="Cambria"/>
          <w:color w:val="000000"/>
          <w:sz w:val="24"/>
          <w:szCs w:val="24"/>
        </w:rPr>
      </w:pPr>
    </w:p>
    <w:p w14:paraId="6E7D6BC3" w14:textId="383F308C" w:rsidR="005C75C8" w:rsidRDefault="005C75C8"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Honorable Glenn “GT” Thompson</w:t>
      </w:r>
    </w:p>
    <w:p w14:paraId="1D4C6950" w14:textId="699EA6C9" w:rsidR="005C75C8" w:rsidRDefault="005C75C8" w:rsidP="00A9118A">
      <w:pPr>
        <w:autoSpaceDE w:val="0"/>
        <w:autoSpaceDN w:val="0"/>
        <w:adjustRightInd w:val="0"/>
        <w:spacing w:after="0" w:line="240" w:lineRule="auto"/>
        <w:rPr>
          <w:rFonts w:ascii="Cambria" w:hAnsi="Cambria" w:cs="Cambria"/>
          <w:color w:val="000000"/>
          <w:sz w:val="24"/>
          <w:szCs w:val="24"/>
        </w:rPr>
      </w:pPr>
      <w:bookmarkStart w:id="0" w:name="_Hlk130392878"/>
      <w:r>
        <w:rPr>
          <w:rFonts w:ascii="Cambria" w:hAnsi="Cambria" w:cs="Cambria"/>
          <w:color w:val="000000"/>
          <w:sz w:val="24"/>
          <w:szCs w:val="24"/>
        </w:rPr>
        <w:t>Chairman,</w:t>
      </w:r>
    </w:p>
    <w:p w14:paraId="4341D560" w14:textId="566DB7AC" w:rsidR="005C75C8" w:rsidRDefault="005C75C8"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House Committee on Agriculture</w:t>
      </w:r>
    </w:p>
    <w:p w14:paraId="180FFD1D" w14:textId="595B2A6C" w:rsidR="005C75C8" w:rsidRDefault="005C75C8"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400 Cannon House Office Building</w:t>
      </w:r>
    </w:p>
    <w:p w14:paraId="12E38E6B" w14:textId="747479E2" w:rsidR="005C75C8" w:rsidRDefault="005C75C8"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Washington, DC </w:t>
      </w:r>
      <w:r w:rsidR="00B00F03">
        <w:rPr>
          <w:rFonts w:ascii="Cambria" w:hAnsi="Cambria" w:cs="Cambria"/>
          <w:color w:val="000000"/>
          <w:sz w:val="24"/>
          <w:szCs w:val="24"/>
        </w:rPr>
        <w:t>20515</w:t>
      </w:r>
    </w:p>
    <w:bookmarkEnd w:id="0"/>
    <w:p w14:paraId="233A3054" w14:textId="77777777" w:rsidR="00B00F03" w:rsidRDefault="00B00F03" w:rsidP="00A9118A">
      <w:pPr>
        <w:autoSpaceDE w:val="0"/>
        <w:autoSpaceDN w:val="0"/>
        <w:adjustRightInd w:val="0"/>
        <w:spacing w:after="0" w:line="240" w:lineRule="auto"/>
        <w:rPr>
          <w:rFonts w:ascii="Cambria" w:hAnsi="Cambria" w:cs="Cambria"/>
          <w:color w:val="000000"/>
          <w:sz w:val="24"/>
          <w:szCs w:val="24"/>
        </w:rPr>
      </w:pPr>
    </w:p>
    <w:p w14:paraId="23692AA9" w14:textId="47A6CA6D" w:rsidR="00B00F03" w:rsidRDefault="00B00F03"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Honorable John Boozman</w:t>
      </w:r>
    </w:p>
    <w:p w14:paraId="62F3BC70" w14:textId="6B1B3E2B" w:rsidR="00B00F03" w:rsidRDefault="00B00F03"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Ranking Member,</w:t>
      </w:r>
    </w:p>
    <w:p w14:paraId="4DEE9D54" w14:textId="0CEC0B4D" w:rsidR="00B00F03" w:rsidRDefault="00B00F03"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Senate</w:t>
      </w:r>
      <w:r w:rsidR="00F14B28">
        <w:rPr>
          <w:rFonts w:ascii="Cambria" w:hAnsi="Cambria" w:cs="Cambria"/>
          <w:color w:val="000000"/>
          <w:sz w:val="24"/>
          <w:szCs w:val="24"/>
        </w:rPr>
        <w:t xml:space="preserve"> Committee on Agriculture, Nutrition &amp; Forestry</w:t>
      </w:r>
    </w:p>
    <w:p w14:paraId="2A59BA5B" w14:textId="05112CE8" w:rsidR="00F14B28" w:rsidRDefault="00F14B28"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141 Hart Senate Office Building</w:t>
      </w:r>
    </w:p>
    <w:p w14:paraId="00326BDF" w14:textId="175B8CD2" w:rsidR="00F14B28" w:rsidRDefault="00F14B28"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Washington, DC 20510</w:t>
      </w:r>
    </w:p>
    <w:p w14:paraId="78FAA2CF" w14:textId="77777777" w:rsidR="00285C45" w:rsidRDefault="00285C45" w:rsidP="00A9118A">
      <w:pPr>
        <w:autoSpaceDE w:val="0"/>
        <w:autoSpaceDN w:val="0"/>
        <w:adjustRightInd w:val="0"/>
        <w:spacing w:after="0" w:line="240" w:lineRule="auto"/>
        <w:rPr>
          <w:rFonts w:ascii="Cambria" w:hAnsi="Cambria" w:cs="Cambria"/>
          <w:color w:val="000000"/>
          <w:sz w:val="24"/>
          <w:szCs w:val="24"/>
        </w:rPr>
      </w:pPr>
    </w:p>
    <w:p w14:paraId="664CAED2" w14:textId="1AD30280" w:rsidR="00285C45" w:rsidRDefault="00285C45"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The Honorable David Scott</w:t>
      </w:r>
    </w:p>
    <w:p w14:paraId="46DAC085" w14:textId="0F147224" w:rsidR="00285C45" w:rsidRDefault="00285C45"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Ranking Member,</w:t>
      </w:r>
    </w:p>
    <w:p w14:paraId="5118841C" w14:textId="77777777" w:rsidR="00285C45" w:rsidRDefault="00285C45"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House Committee on Agriculture</w:t>
      </w:r>
    </w:p>
    <w:p w14:paraId="3490FF30" w14:textId="5F87FB99" w:rsidR="00285C45" w:rsidRDefault="00285C45"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468 Cannon House Office Building</w:t>
      </w:r>
    </w:p>
    <w:p w14:paraId="399AA62F" w14:textId="77777777" w:rsidR="00285C45" w:rsidRDefault="00285C45"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Washington, DC 20515</w:t>
      </w:r>
    </w:p>
    <w:p w14:paraId="45FC2726" w14:textId="527D4FCF" w:rsidR="00B00F03" w:rsidRDefault="00B00F03" w:rsidP="00A9118A">
      <w:pPr>
        <w:autoSpaceDE w:val="0"/>
        <w:autoSpaceDN w:val="0"/>
        <w:adjustRightInd w:val="0"/>
        <w:spacing w:after="0" w:line="240" w:lineRule="auto"/>
        <w:rPr>
          <w:rFonts w:ascii="Cambria" w:hAnsi="Cambria" w:cs="Cambria"/>
          <w:color w:val="000000"/>
          <w:sz w:val="24"/>
          <w:szCs w:val="24"/>
        </w:rPr>
      </w:pPr>
    </w:p>
    <w:p w14:paraId="7CB2845F" w14:textId="6D886785" w:rsidR="00AF0F00" w:rsidRDefault="00AF0F00"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Dear Chairwoman Stabenow, Chairman Thompson, Ranking Member Boozman and Ranking Member Scott:</w:t>
      </w:r>
    </w:p>
    <w:p w14:paraId="214BC63C" w14:textId="77777777" w:rsidR="00AF0F00" w:rsidRDefault="00AF0F00" w:rsidP="00A9118A">
      <w:pPr>
        <w:autoSpaceDE w:val="0"/>
        <w:autoSpaceDN w:val="0"/>
        <w:adjustRightInd w:val="0"/>
        <w:spacing w:after="0" w:line="240" w:lineRule="auto"/>
        <w:rPr>
          <w:rFonts w:ascii="Cambria" w:hAnsi="Cambria" w:cs="Cambria"/>
          <w:color w:val="000000"/>
          <w:sz w:val="24"/>
          <w:szCs w:val="24"/>
        </w:rPr>
      </w:pPr>
    </w:p>
    <w:p w14:paraId="678D2985" w14:textId="181CBB57" w:rsidR="00AF0F00" w:rsidRDefault="00AF0F00"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As organizations dedicated to environmental protection, human health and wellbeing, and</w:t>
      </w:r>
    </w:p>
    <w:p w14:paraId="32291816" w14:textId="50020B9C" w:rsidR="00AF0F00" w:rsidRDefault="00AF0F00" w:rsidP="00A9118A">
      <w:pPr>
        <w:spacing w:line="240" w:lineRule="auto"/>
        <w:rPr>
          <w:rFonts w:ascii="Times New Roman" w:hAnsi="Times New Roman" w:cs="Times New Roman"/>
          <w:sz w:val="24"/>
          <w:szCs w:val="24"/>
        </w:rPr>
      </w:pPr>
      <w:r>
        <w:rPr>
          <w:rFonts w:ascii="Cambria" w:hAnsi="Cambria" w:cs="Cambria"/>
          <w:color w:val="000000"/>
          <w:sz w:val="24"/>
          <w:szCs w:val="24"/>
        </w:rPr>
        <w:t>access to justice we are writing in strong opposition to including any language in the 2023 Farm Bill that would preempt localities from taking action to restrict the use of pesticides in their communities</w:t>
      </w:r>
      <w:r w:rsidR="00454E88">
        <w:rPr>
          <w:rFonts w:ascii="Cambria" w:hAnsi="Cambria" w:cs="Cambria"/>
          <w:color w:val="000000"/>
          <w:sz w:val="24"/>
          <w:szCs w:val="24"/>
        </w:rPr>
        <w:t xml:space="preserve">, which </w:t>
      </w:r>
      <w:r w:rsidR="00522670">
        <w:rPr>
          <w:rFonts w:ascii="Cambria" w:hAnsi="Cambria" w:cs="Times New Roman"/>
          <w:sz w:val="24"/>
          <w:szCs w:val="24"/>
        </w:rPr>
        <w:t xml:space="preserve">nearly 200 communities </w:t>
      </w:r>
      <w:r w:rsidR="009758A4">
        <w:rPr>
          <w:rFonts w:ascii="Cambria" w:hAnsi="Cambria" w:cs="Times New Roman"/>
          <w:sz w:val="24"/>
          <w:szCs w:val="24"/>
        </w:rPr>
        <w:t>across</w:t>
      </w:r>
      <w:r w:rsidR="00B16074">
        <w:rPr>
          <w:rFonts w:ascii="Cambria" w:hAnsi="Cambria" w:cs="Times New Roman"/>
          <w:sz w:val="24"/>
          <w:szCs w:val="24"/>
        </w:rPr>
        <w:t xml:space="preserve"> the country </w:t>
      </w:r>
      <w:r w:rsidR="00243100" w:rsidRPr="000A78BC">
        <w:rPr>
          <w:rFonts w:ascii="Cambria" w:hAnsi="Cambria" w:cs="Times New Roman"/>
          <w:sz w:val="24"/>
          <w:szCs w:val="24"/>
        </w:rPr>
        <w:t>already</w:t>
      </w:r>
      <w:r w:rsidRPr="000A78BC">
        <w:rPr>
          <w:rFonts w:ascii="Cambria" w:hAnsi="Cambria" w:cs="Times New Roman"/>
          <w:sz w:val="24"/>
          <w:szCs w:val="24"/>
        </w:rPr>
        <w:t xml:space="preserve"> </w:t>
      </w:r>
      <w:r w:rsidR="00454E88">
        <w:rPr>
          <w:rFonts w:ascii="Cambria" w:hAnsi="Cambria" w:cs="Times New Roman"/>
          <w:sz w:val="24"/>
          <w:szCs w:val="24"/>
        </w:rPr>
        <w:t>do</w:t>
      </w:r>
      <w:r w:rsidR="00243100" w:rsidRPr="000A78BC">
        <w:rPr>
          <w:rFonts w:ascii="Cambria" w:hAnsi="Cambria" w:cs="Times New Roman"/>
          <w:sz w:val="24"/>
          <w:szCs w:val="24"/>
        </w:rPr>
        <w:t>.</w:t>
      </w:r>
      <w:r w:rsidR="00676ED6">
        <w:rPr>
          <w:rStyle w:val="FootnoteReference"/>
          <w:rFonts w:ascii="Cambria" w:hAnsi="Cambria" w:cs="Times New Roman"/>
          <w:sz w:val="24"/>
          <w:szCs w:val="24"/>
        </w:rPr>
        <w:footnoteReference w:id="1"/>
      </w:r>
      <w:r w:rsidRPr="000A78BC">
        <w:rPr>
          <w:rFonts w:ascii="Cambria" w:hAnsi="Cambria" w:cs="Times New Roman"/>
          <w:sz w:val="24"/>
          <w:szCs w:val="24"/>
        </w:rPr>
        <w:t xml:space="preserve"> </w:t>
      </w:r>
      <w:r w:rsidR="00545232" w:rsidRPr="000A78BC">
        <w:rPr>
          <w:rFonts w:ascii="Cambria" w:hAnsi="Cambria" w:cs="Times New Roman"/>
          <w:sz w:val="24"/>
          <w:szCs w:val="24"/>
        </w:rPr>
        <w:t>Federal Insecticide, Fungicide and Rodenticide Act (“</w:t>
      </w:r>
      <w:r w:rsidR="00243100" w:rsidRPr="000A78BC">
        <w:rPr>
          <w:rFonts w:ascii="Cambria" w:hAnsi="Cambria" w:cs="Times New Roman"/>
          <w:sz w:val="24"/>
          <w:szCs w:val="24"/>
        </w:rPr>
        <w:t>FIFRA</w:t>
      </w:r>
      <w:r w:rsidR="00545232" w:rsidRPr="000A78BC">
        <w:rPr>
          <w:rFonts w:ascii="Cambria" w:hAnsi="Cambria" w:cs="Times New Roman"/>
          <w:sz w:val="24"/>
          <w:szCs w:val="24"/>
        </w:rPr>
        <w:t>”)</w:t>
      </w:r>
      <w:r w:rsidR="00243100" w:rsidRPr="000A78BC">
        <w:rPr>
          <w:rFonts w:ascii="Cambria" w:hAnsi="Cambria" w:cs="Times New Roman"/>
          <w:sz w:val="24"/>
          <w:szCs w:val="24"/>
        </w:rPr>
        <w:t xml:space="preserve"> locality preemption </w:t>
      </w:r>
      <w:r w:rsidRPr="000A78BC">
        <w:rPr>
          <w:rFonts w:ascii="Cambria" w:hAnsi="Cambria" w:cs="Times New Roman"/>
          <w:sz w:val="24"/>
          <w:szCs w:val="24"/>
        </w:rPr>
        <w:t xml:space="preserve">would also </w:t>
      </w:r>
      <w:r w:rsidR="00243100" w:rsidRPr="000A78BC">
        <w:rPr>
          <w:rFonts w:ascii="Cambria" w:hAnsi="Cambria" w:cs="Times New Roman"/>
          <w:sz w:val="24"/>
          <w:szCs w:val="24"/>
        </w:rPr>
        <w:t xml:space="preserve">prevent </w:t>
      </w:r>
      <w:r w:rsidRPr="000A78BC">
        <w:rPr>
          <w:rFonts w:ascii="Cambria" w:hAnsi="Cambria" w:cs="Times New Roman"/>
          <w:sz w:val="24"/>
          <w:szCs w:val="24"/>
        </w:rPr>
        <w:t>local governments</w:t>
      </w:r>
      <w:r w:rsidR="00243100" w:rsidRPr="000A78BC">
        <w:rPr>
          <w:rFonts w:ascii="Cambria" w:hAnsi="Cambria" w:cs="Times New Roman"/>
          <w:sz w:val="24"/>
          <w:szCs w:val="24"/>
        </w:rPr>
        <w:t>, in states where they are able,</w:t>
      </w:r>
      <w:r w:rsidRPr="000A78BC">
        <w:rPr>
          <w:rFonts w:ascii="Cambria" w:hAnsi="Cambria" w:cs="Times New Roman"/>
          <w:sz w:val="24"/>
          <w:szCs w:val="24"/>
        </w:rPr>
        <w:t xml:space="preserve"> </w:t>
      </w:r>
      <w:r w:rsidR="00243100" w:rsidRPr="000A78BC">
        <w:rPr>
          <w:rFonts w:ascii="Cambria" w:hAnsi="Cambria" w:cs="Times New Roman"/>
          <w:sz w:val="24"/>
          <w:szCs w:val="24"/>
        </w:rPr>
        <w:t>from</w:t>
      </w:r>
      <w:r w:rsidRPr="000A78BC">
        <w:rPr>
          <w:rFonts w:ascii="Cambria" w:hAnsi="Cambria" w:cs="Times New Roman"/>
          <w:sz w:val="24"/>
          <w:szCs w:val="24"/>
        </w:rPr>
        <w:t xml:space="preserve"> pass</w:t>
      </w:r>
      <w:r w:rsidR="00243100" w:rsidRPr="000A78BC">
        <w:rPr>
          <w:rFonts w:ascii="Cambria" w:hAnsi="Cambria" w:cs="Times New Roman"/>
          <w:sz w:val="24"/>
          <w:szCs w:val="24"/>
        </w:rPr>
        <w:t>ing</w:t>
      </w:r>
      <w:r w:rsidRPr="000A78BC">
        <w:rPr>
          <w:rFonts w:ascii="Cambria" w:hAnsi="Cambria" w:cs="Times New Roman"/>
          <w:sz w:val="24"/>
          <w:szCs w:val="24"/>
        </w:rPr>
        <w:t xml:space="preserve"> ordinances regulating their own use of pesticides on public property</w:t>
      </w:r>
      <w:r w:rsidR="00243100" w:rsidRPr="000A78BC">
        <w:rPr>
          <w:rFonts w:ascii="Cambria" w:hAnsi="Cambria" w:cs="Times New Roman"/>
          <w:sz w:val="24"/>
          <w:szCs w:val="24"/>
        </w:rPr>
        <w:t xml:space="preserve"> such as</w:t>
      </w:r>
      <w:r w:rsidRPr="000A78BC">
        <w:rPr>
          <w:rFonts w:ascii="Cambria" w:hAnsi="Cambria" w:cs="Times New Roman"/>
          <w:sz w:val="24"/>
          <w:szCs w:val="24"/>
        </w:rPr>
        <w:t xml:space="preserve"> public playgrounds or </w:t>
      </w:r>
      <w:r w:rsidR="00243100" w:rsidRPr="000A78BC">
        <w:rPr>
          <w:rFonts w:ascii="Cambria" w:hAnsi="Cambria" w:cs="Times New Roman"/>
          <w:sz w:val="24"/>
          <w:szCs w:val="24"/>
        </w:rPr>
        <w:t>at local schools</w:t>
      </w:r>
      <w:r w:rsidRPr="000A78BC">
        <w:rPr>
          <w:rFonts w:ascii="Cambria" w:hAnsi="Cambria" w:cs="Times New Roman"/>
          <w:sz w:val="24"/>
          <w:szCs w:val="24"/>
        </w:rPr>
        <w:t>.</w:t>
      </w:r>
      <w:r w:rsidR="00545232" w:rsidRPr="000A78BC">
        <w:rPr>
          <w:rFonts w:ascii="Cambria" w:hAnsi="Cambria" w:cs="Times New Roman"/>
          <w:sz w:val="24"/>
          <w:szCs w:val="24"/>
        </w:rPr>
        <w:t xml:space="preserve">  In addition, FIFRA locality preemption would also have the effect of preventing individuals </w:t>
      </w:r>
      <w:r w:rsidR="008D610E" w:rsidRPr="000A78BC">
        <w:rPr>
          <w:rFonts w:ascii="Cambria" w:hAnsi="Cambria" w:cs="Times New Roman"/>
          <w:sz w:val="24"/>
          <w:szCs w:val="24"/>
        </w:rPr>
        <w:t>from holding</w:t>
      </w:r>
      <w:r w:rsidR="00D42FE2" w:rsidRPr="000A78BC">
        <w:rPr>
          <w:rFonts w:ascii="Cambria" w:hAnsi="Cambria" w:cs="Times New Roman"/>
          <w:sz w:val="24"/>
          <w:szCs w:val="24"/>
        </w:rPr>
        <w:t xml:space="preserve"> </w:t>
      </w:r>
      <w:r w:rsidR="00C43CBB" w:rsidRPr="000A78BC">
        <w:rPr>
          <w:rFonts w:ascii="Cambria" w:hAnsi="Cambria" w:cs="Times New Roman"/>
          <w:sz w:val="24"/>
          <w:szCs w:val="24"/>
        </w:rPr>
        <w:t xml:space="preserve">pesticide </w:t>
      </w:r>
      <w:r w:rsidR="00B44B7F">
        <w:rPr>
          <w:rFonts w:ascii="Cambria" w:hAnsi="Cambria" w:cs="Times New Roman"/>
          <w:sz w:val="24"/>
          <w:szCs w:val="24"/>
        </w:rPr>
        <w:t>companies</w:t>
      </w:r>
      <w:r w:rsidR="00B44B7F" w:rsidRPr="000A78BC">
        <w:rPr>
          <w:rFonts w:ascii="Cambria" w:hAnsi="Cambria" w:cs="Times New Roman"/>
          <w:sz w:val="24"/>
          <w:szCs w:val="24"/>
        </w:rPr>
        <w:t xml:space="preserve"> </w:t>
      </w:r>
      <w:r w:rsidR="00C43CBB" w:rsidRPr="000A78BC">
        <w:rPr>
          <w:rFonts w:ascii="Cambria" w:hAnsi="Cambria" w:cs="Times New Roman"/>
          <w:sz w:val="24"/>
          <w:szCs w:val="24"/>
        </w:rPr>
        <w:t xml:space="preserve">accountable when they act recklessly.   </w:t>
      </w:r>
    </w:p>
    <w:p w14:paraId="68D9B9FD" w14:textId="549B591E" w:rsidR="009E6BD7" w:rsidRDefault="00E933E0" w:rsidP="00A9118A">
      <w:pPr>
        <w:spacing w:line="240" w:lineRule="auto"/>
        <w:rPr>
          <w:rFonts w:ascii="Cambria" w:hAnsi="Cambria" w:cs="Cambria"/>
          <w:color w:val="111111"/>
          <w:sz w:val="24"/>
          <w:szCs w:val="24"/>
        </w:rPr>
      </w:pPr>
      <w:r>
        <w:rPr>
          <w:rFonts w:ascii="Cambria" w:hAnsi="Cambria" w:cs="Cambria"/>
          <w:color w:val="111111"/>
          <w:sz w:val="24"/>
          <w:szCs w:val="24"/>
        </w:rPr>
        <w:t xml:space="preserve">Preempting local government’s ability to take prudent measures to reduce exposure to hazardous pesticides would </w:t>
      </w:r>
      <w:r w:rsidR="00AE2673">
        <w:rPr>
          <w:rFonts w:ascii="Cambria" w:hAnsi="Cambria" w:cs="Cambria"/>
          <w:color w:val="111111"/>
          <w:sz w:val="24"/>
          <w:szCs w:val="24"/>
        </w:rPr>
        <w:t>eliminate long-standing,</w:t>
      </w:r>
      <w:r>
        <w:rPr>
          <w:rFonts w:ascii="Cambria" w:hAnsi="Cambria" w:cs="Cambria"/>
          <w:color w:val="111111"/>
          <w:sz w:val="24"/>
          <w:szCs w:val="24"/>
        </w:rPr>
        <w:t xml:space="preserve"> local protections aimed at </w:t>
      </w:r>
      <w:r>
        <w:rPr>
          <w:rFonts w:ascii="Cambria" w:hAnsi="Cambria" w:cs="Cambria"/>
          <w:color w:val="111111"/>
          <w:sz w:val="24"/>
          <w:szCs w:val="24"/>
        </w:rPr>
        <w:lastRenderedPageBreak/>
        <w:t xml:space="preserve">safeguarding human health and the environment. Local governments have considered emerging scientific evidence, the concerns of their residents, and the unique local environment to craft meaningful protections that target water resources, the protection of wildlife, and </w:t>
      </w:r>
      <w:r w:rsidR="009E6BD7">
        <w:rPr>
          <w:rFonts w:ascii="Cambria" w:hAnsi="Cambria" w:cs="Cambria"/>
          <w:color w:val="111111"/>
          <w:sz w:val="24"/>
          <w:szCs w:val="24"/>
        </w:rPr>
        <w:t>harms</w:t>
      </w:r>
      <w:r>
        <w:rPr>
          <w:rFonts w:ascii="Cambria" w:hAnsi="Cambria" w:cs="Cambria"/>
          <w:color w:val="111111"/>
          <w:sz w:val="24"/>
          <w:szCs w:val="24"/>
        </w:rPr>
        <w:t xml:space="preserve"> to critical pollinator</w:t>
      </w:r>
      <w:r w:rsidR="009E6BD7">
        <w:rPr>
          <w:rFonts w:ascii="Cambria" w:hAnsi="Cambria" w:cs="Cambria"/>
          <w:color w:val="111111"/>
          <w:sz w:val="24"/>
          <w:szCs w:val="24"/>
        </w:rPr>
        <w:t>s</w:t>
      </w:r>
      <w:r>
        <w:rPr>
          <w:rFonts w:ascii="Cambria" w:hAnsi="Cambria" w:cs="Cambria"/>
          <w:color w:val="111111"/>
          <w:sz w:val="24"/>
          <w:szCs w:val="24"/>
        </w:rPr>
        <w:t xml:space="preserve">. </w:t>
      </w:r>
      <w:r w:rsidR="00AE2673">
        <w:rPr>
          <w:rFonts w:ascii="Cambria" w:hAnsi="Cambria" w:cs="Cambria"/>
          <w:color w:val="111111"/>
          <w:sz w:val="24"/>
          <w:szCs w:val="24"/>
        </w:rPr>
        <w:t xml:space="preserve">Other actions protect children from exposure by limiting use of hazardous pesticide around parks, playgrounds, and within local schools. </w:t>
      </w:r>
      <w:r w:rsidR="009E6BD7">
        <w:rPr>
          <w:rFonts w:ascii="Cambria" w:hAnsi="Cambria" w:cs="Cambria"/>
          <w:color w:val="111111"/>
          <w:sz w:val="24"/>
          <w:szCs w:val="24"/>
        </w:rPr>
        <w:t xml:space="preserve">These commonsense measures are undermined by FIFRA preemption, as is the ability of local governments to act quickly </w:t>
      </w:r>
      <w:r w:rsidR="005877CB">
        <w:rPr>
          <w:rFonts w:ascii="Cambria" w:hAnsi="Cambria" w:cs="Cambria"/>
          <w:color w:val="111111"/>
          <w:sz w:val="24"/>
          <w:szCs w:val="24"/>
        </w:rPr>
        <w:t xml:space="preserve">to </w:t>
      </w:r>
      <w:r w:rsidR="009E6BD7">
        <w:rPr>
          <w:rFonts w:ascii="Cambria" w:hAnsi="Cambria" w:cs="Cambria"/>
          <w:color w:val="111111"/>
          <w:sz w:val="24"/>
          <w:szCs w:val="24"/>
        </w:rPr>
        <w:t>tailor protections t</w:t>
      </w:r>
      <w:r w:rsidR="005877CB">
        <w:rPr>
          <w:rFonts w:ascii="Cambria" w:hAnsi="Cambria" w:cs="Cambria"/>
          <w:color w:val="111111"/>
          <w:sz w:val="24"/>
          <w:szCs w:val="24"/>
        </w:rPr>
        <w:t>hat</w:t>
      </w:r>
      <w:r w:rsidR="009E6BD7">
        <w:rPr>
          <w:rFonts w:ascii="Cambria" w:hAnsi="Cambria" w:cs="Cambria"/>
          <w:color w:val="111111"/>
          <w:sz w:val="24"/>
          <w:szCs w:val="24"/>
        </w:rPr>
        <w:t xml:space="preserve"> safeguard the local environment and community from pesticide</w:t>
      </w:r>
      <w:r w:rsidR="006E44FC">
        <w:rPr>
          <w:rFonts w:ascii="Cambria" w:hAnsi="Cambria" w:cs="Cambria"/>
          <w:color w:val="111111"/>
          <w:sz w:val="24"/>
          <w:szCs w:val="24"/>
        </w:rPr>
        <w:t xml:space="preserve"> exposure</w:t>
      </w:r>
      <w:r w:rsidR="009E6BD7">
        <w:rPr>
          <w:rFonts w:ascii="Cambria" w:hAnsi="Cambria" w:cs="Cambria"/>
          <w:color w:val="111111"/>
          <w:sz w:val="24"/>
          <w:szCs w:val="24"/>
        </w:rPr>
        <w:t xml:space="preserve">. </w:t>
      </w:r>
    </w:p>
    <w:p w14:paraId="2C2C62AC" w14:textId="2A9B6730" w:rsidR="00393D0B" w:rsidRDefault="00393D0B"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FIFRA preemption would also weaken the country’s pesticide laws and allow manufacturers to ignore safety concerns with their products.  People may be poisoned by a pesticide, studies may show that the pesticide causes cancer or neurodevelopmental harm, and air monitors or human experience may demonstrate the pesticide’s propensity to drift in toxic amounts to homes and schools. State tort liability is intended to fill this gap. It provides incentives for manufacturers to continue to monitor the safety of their products and ensure their labels reflect the known risks. It also affords workers and others harmed by pesticides an avenue for relief when manufacturers fail at their duty. When state tort law is preempted this incentive disappears and companies can avoid any safety concerns that develop.</w:t>
      </w:r>
      <w:r>
        <w:rPr>
          <w:rStyle w:val="FootnoteReference"/>
          <w:rFonts w:ascii="Cambria" w:hAnsi="Cambria" w:cs="Cambria"/>
          <w:color w:val="000000"/>
          <w:sz w:val="24"/>
          <w:szCs w:val="24"/>
        </w:rPr>
        <w:footnoteReference w:id="2"/>
      </w:r>
      <w:r>
        <w:rPr>
          <w:rFonts w:ascii="Cambria" w:hAnsi="Cambria" w:cs="Cambria"/>
          <w:color w:val="000000"/>
          <w:sz w:val="24"/>
          <w:szCs w:val="24"/>
        </w:rPr>
        <w:t xml:space="preserve"> </w:t>
      </w:r>
    </w:p>
    <w:p w14:paraId="3DD23408" w14:textId="77777777" w:rsidR="00393D0B" w:rsidRDefault="00393D0B" w:rsidP="00A9118A">
      <w:pPr>
        <w:autoSpaceDE w:val="0"/>
        <w:autoSpaceDN w:val="0"/>
        <w:adjustRightInd w:val="0"/>
        <w:spacing w:after="0" w:line="240" w:lineRule="auto"/>
        <w:rPr>
          <w:rFonts w:ascii="Cambria" w:hAnsi="Cambria" w:cs="Cambria"/>
          <w:color w:val="000000"/>
          <w:sz w:val="24"/>
          <w:szCs w:val="24"/>
        </w:rPr>
      </w:pPr>
    </w:p>
    <w:p w14:paraId="4422DEB0" w14:textId="6C9C605A" w:rsidR="00393D0B" w:rsidRPr="00285C45" w:rsidRDefault="00393D0B"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Legislating FIFRA locality preemption will also be a significant blow to environmental equity. </w:t>
      </w:r>
      <w:r>
        <w:rPr>
          <w:rFonts w:ascii="Cambria" w:hAnsi="Cambria" w:cs="Cambria"/>
          <w:color w:val="161616"/>
          <w:sz w:val="24"/>
          <w:szCs w:val="24"/>
        </w:rPr>
        <w:t>Certain communities, especially farmworkers and their families,</w:t>
      </w:r>
      <w:r>
        <w:rPr>
          <w:rFonts w:ascii="Cambria" w:hAnsi="Cambria" w:cs="Cambria"/>
          <w:color w:val="000000"/>
          <w:sz w:val="24"/>
          <w:szCs w:val="24"/>
        </w:rPr>
        <w:t xml:space="preserve"> </w:t>
      </w:r>
      <w:r>
        <w:rPr>
          <w:rFonts w:ascii="Cambria" w:hAnsi="Cambria" w:cs="Cambria"/>
          <w:color w:val="161616"/>
          <w:sz w:val="24"/>
          <w:szCs w:val="24"/>
        </w:rPr>
        <w:t>bear the brunt of greater risk of and greater illness from pesticide exposure. And despite</w:t>
      </w:r>
      <w:r>
        <w:rPr>
          <w:rFonts w:ascii="Cambria" w:hAnsi="Cambria" w:cs="Cambria"/>
          <w:color w:val="000000"/>
          <w:sz w:val="24"/>
          <w:szCs w:val="24"/>
        </w:rPr>
        <w:t xml:space="preserve"> </w:t>
      </w:r>
      <w:r>
        <w:rPr>
          <w:rFonts w:ascii="Cambria" w:hAnsi="Cambria" w:cs="Cambria"/>
          <w:color w:val="161616"/>
          <w:sz w:val="24"/>
          <w:szCs w:val="24"/>
        </w:rPr>
        <w:t xml:space="preserve">the fact that people of color </w:t>
      </w:r>
      <w:r>
        <w:rPr>
          <w:rFonts w:ascii="Cambria" w:hAnsi="Cambria" w:cs="Cambria"/>
          <w:color w:val="000000"/>
          <w:sz w:val="24"/>
          <w:szCs w:val="24"/>
        </w:rPr>
        <w:t>bear a disproportionate share of the health risks from exposure to pesticides, research attention</w:t>
      </w:r>
      <w:r w:rsidR="00684201">
        <w:rPr>
          <w:rFonts w:ascii="Cambria" w:hAnsi="Cambria" w:cs="Cambria"/>
          <w:color w:val="000000"/>
          <w:sz w:val="24"/>
          <w:szCs w:val="24"/>
        </w:rPr>
        <w:t>, that would normally would drive policy change,</w:t>
      </w:r>
      <w:r>
        <w:rPr>
          <w:rFonts w:ascii="Cambria" w:hAnsi="Cambria" w:cs="Cambria"/>
          <w:color w:val="000000"/>
          <w:sz w:val="24"/>
          <w:szCs w:val="24"/>
        </w:rPr>
        <w:t xml:space="preserve"> has been meager. </w:t>
      </w:r>
      <w:r>
        <w:rPr>
          <w:rFonts w:ascii="Cambria" w:hAnsi="Cambria" w:cs="Cambria"/>
          <w:color w:val="161616"/>
          <w:sz w:val="24"/>
          <w:szCs w:val="24"/>
        </w:rPr>
        <w:t>State tort law is one of the few</w:t>
      </w:r>
      <w:r>
        <w:rPr>
          <w:rFonts w:ascii="Cambria" w:hAnsi="Cambria" w:cs="Cambria"/>
          <w:color w:val="000000"/>
          <w:sz w:val="24"/>
          <w:szCs w:val="24"/>
        </w:rPr>
        <w:t xml:space="preserve"> </w:t>
      </w:r>
      <w:r>
        <w:rPr>
          <w:rFonts w:ascii="Cambria" w:hAnsi="Cambria" w:cs="Cambria"/>
          <w:color w:val="161616"/>
          <w:sz w:val="24"/>
          <w:szCs w:val="24"/>
        </w:rPr>
        <w:t>mechanisms available to correct these inequities. State tort law provides both</w:t>
      </w:r>
      <w:r>
        <w:rPr>
          <w:rFonts w:ascii="Cambria" w:hAnsi="Cambria" w:cs="Cambria"/>
          <w:color w:val="000000"/>
          <w:sz w:val="24"/>
          <w:szCs w:val="24"/>
        </w:rPr>
        <w:t xml:space="preserve"> </w:t>
      </w:r>
      <w:r>
        <w:rPr>
          <w:rFonts w:ascii="Cambria" w:hAnsi="Cambria" w:cs="Cambria"/>
          <w:color w:val="161616"/>
          <w:sz w:val="24"/>
          <w:szCs w:val="24"/>
        </w:rPr>
        <w:t>accountability in law as well as compensation when these communities are being impacted</w:t>
      </w:r>
      <w:r>
        <w:rPr>
          <w:rFonts w:ascii="Cambria" w:hAnsi="Cambria" w:cs="Cambria"/>
          <w:color w:val="000000"/>
          <w:sz w:val="24"/>
          <w:szCs w:val="24"/>
        </w:rPr>
        <w:t xml:space="preserve"> </w:t>
      </w:r>
      <w:r>
        <w:rPr>
          <w:rFonts w:ascii="Cambria" w:hAnsi="Cambria" w:cs="Cambria"/>
          <w:color w:val="161616"/>
          <w:sz w:val="24"/>
          <w:szCs w:val="24"/>
        </w:rPr>
        <w:t>by harmful chemicals.</w:t>
      </w:r>
    </w:p>
    <w:p w14:paraId="0C092D05" w14:textId="4DA55437" w:rsidR="00243100" w:rsidRPr="00393D0B" w:rsidRDefault="00595CF8" w:rsidP="00A9118A">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  </w:t>
      </w:r>
    </w:p>
    <w:p w14:paraId="2FA93BE9" w14:textId="7DE10404" w:rsidR="00B808A9" w:rsidRDefault="00466050" w:rsidP="00A9118A">
      <w:pPr>
        <w:autoSpaceDE w:val="0"/>
        <w:autoSpaceDN w:val="0"/>
        <w:adjustRightInd w:val="0"/>
        <w:spacing w:after="0" w:line="240" w:lineRule="auto"/>
        <w:rPr>
          <w:rFonts w:ascii="Cambria" w:hAnsi="Cambria" w:cs="Cambria"/>
          <w:color w:val="161616"/>
          <w:sz w:val="24"/>
          <w:szCs w:val="24"/>
        </w:rPr>
      </w:pPr>
      <w:r>
        <w:rPr>
          <w:rFonts w:ascii="Cambria" w:hAnsi="Cambria" w:cs="Cambria"/>
          <w:color w:val="161616"/>
          <w:sz w:val="24"/>
          <w:szCs w:val="24"/>
        </w:rPr>
        <w:t>W</w:t>
      </w:r>
      <w:r w:rsidR="00AF0F00">
        <w:rPr>
          <w:rFonts w:ascii="Cambria" w:hAnsi="Cambria" w:cs="Cambria"/>
          <w:color w:val="161616"/>
          <w:sz w:val="24"/>
          <w:szCs w:val="24"/>
        </w:rPr>
        <w:t>e are asking you to stand on the side of the peopl</w:t>
      </w:r>
      <w:r w:rsidR="00554137">
        <w:rPr>
          <w:rFonts w:ascii="Cambria" w:hAnsi="Cambria" w:cs="Cambria"/>
          <w:color w:val="161616"/>
          <w:sz w:val="24"/>
          <w:szCs w:val="24"/>
        </w:rPr>
        <w:t xml:space="preserve">e </w:t>
      </w:r>
      <w:r w:rsidR="00AF0F00">
        <w:rPr>
          <w:rFonts w:ascii="Cambria" w:hAnsi="Cambria" w:cs="Cambria"/>
          <w:color w:val="161616"/>
          <w:sz w:val="24"/>
          <w:szCs w:val="24"/>
        </w:rPr>
        <w:t>and the environment</w:t>
      </w:r>
      <w:r w:rsidR="00823FA1">
        <w:rPr>
          <w:rFonts w:ascii="Cambria" w:hAnsi="Cambria" w:cs="Cambria"/>
          <w:color w:val="161616"/>
          <w:sz w:val="24"/>
          <w:szCs w:val="24"/>
        </w:rPr>
        <w:t xml:space="preserve"> and allow localities </w:t>
      </w:r>
      <w:r w:rsidR="00712CB3">
        <w:rPr>
          <w:rFonts w:ascii="Cambria" w:hAnsi="Cambria" w:cs="Cambria"/>
          <w:color w:val="161616"/>
          <w:sz w:val="24"/>
          <w:szCs w:val="24"/>
        </w:rPr>
        <w:t xml:space="preserve">– not the chemical industry – </w:t>
      </w:r>
      <w:r w:rsidR="00823FA1">
        <w:rPr>
          <w:rFonts w:ascii="Cambria" w:hAnsi="Cambria" w:cs="Cambria"/>
          <w:color w:val="161616"/>
          <w:sz w:val="24"/>
          <w:szCs w:val="24"/>
        </w:rPr>
        <w:t>to</w:t>
      </w:r>
      <w:r w:rsidR="00712CB3">
        <w:rPr>
          <w:rFonts w:ascii="Cambria" w:hAnsi="Cambria" w:cs="Cambria"/>
          <w:color w:val="161616"/>
          <w:sz w:val="24"/>
          <w:szCs w:val="24"/>
        </w:rPr>
        <w:t xml:space="preserve"> </w:t>
      </w:r>
      <w:r w:rsidR="00823FA1">
        <w:rPr>
          <w:rFonts w:ascii="Cambria" w:hAnsi="Cambria" w:cs="Cambria"/>
          <w:color w:val="161616"/>
          <w:sz w:val="24"/>
          <w:szCs w:val="24"/>
        </w:rPr>
        <w:t xml:space="preserve">decide for themselves </w:t>
      </w:r>
      <w:r w:rsidR="00597378">
        <w:rPr>
          <w:rFonts w:ascii="Cambria" w:hAnsi="Cambria" w:cs="Cambria"/>
          <w:color w:val="161616"/>
          <w:sz w:val="24"/>
          <w:szCs w:val="24"/>
        </w:rPr>
        <w:t xml:space="preserve">whether pesticides should be used in their communities. Further, </w:t>
      </w:r>
      <w:r w:rsidR="00C66FDD">
        <w:rPr>
          <w:rFonts w:ascii="Cambria" w:hAnsi="Cambria" w:cs="Cambria"/>
          <w:color w:val="161616"/>
          <w:sz w:val="24"/>
          <w:szCs w:val="24"/>
        </w:rPr>
        <w:t>we also ask you to protect individuals</w:t>
      </w:r>
      <w:r w:rsidR="00B22118">
        <w:rPr>
          <w:rFonts w:ascii="Cambria" w:hAnsi="Cambria" w:cs="Cambria"/>
          <w:color w:val="161616"/>
          <w:sz w:val="24"/>
          <w:szCs w:val="24"/>
        </w:rPr>
        <w:t>’</w:t>
      </w:r>
      <w:r w:rsidR="00C66FDD">
        <w:rPr>
          <w:rFonts w:ascii="Cambria" w:hAnsi="Cambria" w:cs="Cambria"/>
          <w:color w:val="161616"/>
          <w:sz w:val="24"/>
          <w:szCs w:val="24"/>
        </w:rPr>
        <w:t xml:space="preserve"> right to access the courts when they are </w:t>
      </w:r>
      <w:r w:rsidR="00444F87">
        <w:rPr>
          <w:rFonts w:ascii="Cambria" w:hAnsi="Cambria" w:cs="Cambria"/>
          <w:color w:val="161616"/>
          <w:sz w:val="24"/>
          <w:szCs w:val="24"/>
        </w:rPr>
        <w:t>harmed</w:t>
      </w:r>
      <w:r w:rsidR="00C66FDD">
        <w:rPr>
          <w:rFonts w:ascii="Cambria" w:hAnsi="Cambria" w:cs="Cambria"/>
          <w:color w:val="161616"/>
          <w:sz w:val="24"/>
          <w:szCs w:val="24"/>
        </w:rPr>
        <w:t>. FIFRA preemption deserves no place in this year’s F</w:t>
      </w:r>
      <w:r w:rsidR="00E0686A">
        <w:rPr>
          <w:rFonts w:ascii="Cambria" w:hAnsi="Cambria" w:cs="Cambria"/>
          <w:color w:val="161616"/>
          <w:sz w:val="24"/>
          <w:szCs w:val="24"/>
        </w:rPr>
        <w:t>arm Bill.</w:t>
      </w:r>
    </w:p>
    <w:p w14:paraId="44879ECD" w14:textId="77777777" w:rsidR="00E0686A" w:rsidRDefault="00E0686A" w:rsidP="00A9118A">
      <w:pPr>
        <w:autoSpaceDE w:val="0"/>
        <w:autoSpaceDN w:val="0"/>
        <w:adjustRightInd w:val="0"/>
        <w:spacing w:after="0" w:line="240" w:lineRule="auto"/>
        <w:rPr>
          <w:rFonts w:ascii="Cambria" w:hAnsi="Cambria" w:cs="Cambria"/>
          <w:color w:val="161616"/>
          <w:sz w:val="24"/>
          <w:szCs w:val="24"/>
        </w:rPr>
      </w:pPr>
    </w:p>
    <w:p w14:paraId="446EA791" w14:textId="4DF2B748" w:rsidR="00E0686A" w:rsidRDefault="00E0686A" w:rsidP="00A9118A">
      <w:pPr>
        <w:autoSpaceDE w:val="0"/>
        <w:autoSpaceDN w:val="0"/>
        <w:adjustRightInd w:val="0"/>
        <w:spacing w:after="0" w:line="240" w:lineRule="auto"/>
        <w:rPr>
          <w:rFonts w:ascii="Cambria" w:hAnsi="Cambria" w:cs="Cambria"/>
          <w:color w:val="161616"/>
          <w:sz w:val="24"/>
          <w:szCs w:val="24"/>
        </w:rPr>
      </w:pPr>
      <w:r>
        <w:rPr>
          <w:rFonts w:ascii="Cambria" w:hAnsi="Cambria" w:cs="Cambria"/>
          <w:color w:val="161616"/>
          <w:sz w:val="24"/>
          <w:szCs w:val="24"/>
        </w:rPr>
        <w:t>Sincerely,</w:t>
      </w:r>
    </w:p>
    <w:p w14:paraId="038D80A2" w14:textId="77777777" w:rsidR="009B499D" w:rsidRDefault="009B499D" w:rsidP="00A9118A">
      <w:pPr>
        <w:autoSpaceDE w:val="0"/>
        <w:autoSpaceDN w:val="0"/>
        <w:adjustRightInd w:val="0"/>
        <w:spacing w:after="0" w:line="240" w:lineRule="auto"/>
        <w:rPr>
          <w:rFonts w:ascii="Cambria" w:hAnsi="Cambria" w:cs="Cambria"/>
          <w:color w:val="161616"/>
          <w:sz w:val="24"/>
          <w:szCs w:val="24"/>
        </w:rPr>
      </w:pPr>
    </w:p>
    <w:p w14:paraId="3F4034FB" w14:textId="1E693A8B" w:rsidR="00B87F05" w:rsidRDefault="00B87F05" w:rsidP="00A9118A">
      <w:pPr>
        <w:autoSpaceDE w:val="0"/>
        <w:autoSpaceDN w:val="0"/>
        <w:adjustRightInd w:val="0"/>
        <w:spacing w:after="0" w:line="240" w:lineRule="auto"/>
        <w:rPr>
          <w:rFonts w:ascii="Cambria" w:hAnsi="Cambria" w:cs="Cambria"/>
          <w:color w:val="161616"/>
          <w:sz w:val="24"/>
          <w:szCs w:val="24"/>
        </w:rPr>
      </w:pPr>
      <w:r>
        <w:rPr>
          <w:rFonts w:ascii="Cambria" w:hAnsi="Cambria" w:cs="Cambria"/>
          <w:color w:val="161616"/>
          <w:sz w:val="24"/>
          <w:szCs w:val="24"/>
        </w:rPr>
        <w:t>American Association for Justice</w:t>
      </w:r>
    </w:p>
    <w:p w14:paraId="37D8C7B2" w14:textId="48855CA6" w:rsidR="009B499D" w:rsidRDefault="009B499D" w:rsidP="00A9118A">
      <w:pPr>
        <w:autoSpaceDE w:val="0"/>
        <w:autoSpaceDN w:val="0"/>
        <w:adjustRightInd w:val="0"/>
        <w:spacing w:after="0" w:line="240" w:lineRule="auto"/>
        <w:rPr>
          <w:rFonts w:ascii="Cambria" w:hAnsi="Cambria" w:cs="Cambria"/>
          <w:color w:val="161616"/>
          <w:sz w:val="24"/>
          <w:szCs w:val="24"/>
        </w:rPr>
      </w:pPr>
      <w:r>
        <w:rPr>
          <w:rFonts w:ascii="Cambria" w:hAnsi="Cambria" w:cs="Cambria"/>
          <w:color w:val="161616"/>
          <w:sz w:val="24"/>
          <w:szCs w:val="24"/>
        </w:rPr>
        <w:t>The Center for Biological Diversity</w:t>
      </w:r>
    </w:p>
    <w:p w14:paraId="5723DB9B" w14:textId="0D297924" w:rsidR="00840C46" w:rsidRDefault="00840C46" w:rsidP="00A9118A">
      <w:pPr>
        <w:autoSpaceDE w:val="0"/>
        <w:autoSpaceDN w:val="0"/>
        <w:adjustRightInd w:val="0"/>
        <w:spacing w:after="0" w:line="240" w:lineRule="auto"/>
        <w:rPr>
          <w:rFonts w:ascii="Cambria" w:hAnsi="Cambria" w:cs="Cambria"/>
          <w:color w:val="161616"/>
          <w:sz w:val="24"/>
          <w:szCs w:val="24"/>
        </w:rPr>
      </w:pPr>
      <w:r>
        <w:rPr>
          <w:rFonts w:ascii="Cambria" w:hAnsi="Cambria" w:cs="Cambria"/>
          <w:color w:val="161616"/>
          <w:sz w:val="24"/>
          <w:szCs w:val="24"/>
        </w:rPr>
        <w:t>Earthjustice</w:t>
      </w:r>
    </w:p>
    <w:p w14:paraId="26596BA2" w14:textId="0294956B" w:rsidR="009B499D" w:rsidRDefault="009B499D" w:rsidP="00A9118A">
      <w:pPr>
        <w:autoSpaceDE w:val="0"/>
        <w:autoSpaceDN w:val="0"/>
        <w:adjustRightInd w:val="0"/>
        <w:spacing w:after="0" w:line="240" w:lineRule="auto"/>
        <w:rPr>
          <w:rFonts w:ascii="Cambria" w:hAnsi="Cambria" w:cs="Cambria"/>
          <w:color w:val="161616"/>
          <w:sz w:val="24"/>
          <w:szCs w:val="24"/>
        </w:rPr>
      </w:pPr>
      <w:r>
        <w:rPr>
          <w:rFonts w:ascii="Cambria" w:hAnsi="Cambria" w:cs="Cambria"/>
          <w:color w:val="161616"/>
          <w:sz w:val="24"/>
          <w:szCs w:val="24"/>
        </w:rPr>
        <w:t>Environmental Working Group</w:t>
      </w:r>
    </w:p>
    <w:p w14:paraId="59F28F51" w14:textId="23E2532D" w:rsidR="002C1AE9" w:rsidRDefault="002C1AE9" w:rsidP="00A9118A">
      <w:pPr>
        <w:autoSpaceDE w:val="0"/>
        <w:autoSpaceDN w:val="0"/>
        <w:adjustRightInd w:val="0"/>
        <w:spacing w:after="0" w:line="240" w:lineRule="auto"/>
        <w:rPr>
          <w:rFonts w:ascii="Cambria" w:hAnsi="Cambria" w:cs="Cambria"/>
          <w:color w:val="161616"/>
          <w:sz w:val="24"/>
          <w:szCs w:val="24"/>
        </w:rPr>
      </w:pPr>
      <w:r>
        <w:rPr>
          <w:rFonts w:ascii="Cambria" w:hAnsi="Cambria" w:cs="Cambria"/>
          <w:color w:val="161616"/>
          <w:sz w:val="24"/>
          <w:szCs w:val="24"/>
        </w:rPr>
        <w:t>Farmworker Justice</w:t>
      </w:r>
    </w:p>
    <w:p w14:paraId="3381EFCC" w14:textId="77777777" w:rsidR="00E0686A" w:rsidRPr="00C66FDD" w:rsidRDefault="00E0686A" w:rsidP="00A9118A">
      <w:pPr>
        <w:autoSpaceDE w:val="0"/>
        <w:autoSpaceDN w:val="0"/>
        <w:adjustRightInd w:val="0"/>
        <w:spacing w:after="0" w:line="240" w:lineRule="auto"/>
        <w:rPr>
          <w:rFonts w:ascii="Cambria" w:hAnsi="Cambria" w:cs="Cambria"/>
          <w:color w:val="161616"/>
          <w:sz w:val="24"/>
          <w:szCs w:val="24"/>
        </w:rPr>
      </w:pPr>
    </w:p>
    <w:sectPr w:rsidR="00E0686A" w:rsidRPr="00C66FDD" w:rsidSect="00393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6093" w14:textId="77777777" w:rsidR="00EF04E1" w:rsidRDefault="00EF04E1" w:rsidP="006729AF">
      <w:pPr>
        <w:spacing w:after="0" w:line="240" w:lineRule="auto"/>
      </w:pPr>
      <w:r>
        <w:separator/>
      </w:r>
    </w:p>
  </w:endnote>
  <w:endnote w:type="continuationSeparator" w:id="0">
    <w:p w14:paraId="68A8EC76" w14:textId="77777777" w:rsidR="00EF04E1" w:rsidRDefault="00EF04E1" w:rsidP="0067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8795" w14:textId="77777777" w:rsidR="00EF04E1" w:rsidRDefault="00EF04E1" w:rsidP="006729AF">
      <w:pPr>
        <w:spacing w:after="0" w:line="240" w:lineRule="auto"/>
      </w:pPr>
      <w:r>
        <w:separator/>
      </w:r>
    </w:p>
  </w:footnote>
  <w:footnote w:type="continuationSeparator" w:id="0">
    <w:p w14:paraId="5EC56460" w14:textId="77777777" w:rsidR="00EF04E1" w:rsidRDefault="00EF04E1" w:rsidP="006729AF">
      <w:pPr>
        <w:spacing w:after="0" w:line="240" w:lineRule="auto"/>
      </w:pPr>
      <w:r>
        <w:continuationSeparator/>
      </w:r>
    </w:p>
  </w:footnote>
  <w:footnote w:id="1">
    <w:p w14:paraId="13128B3A" w14:textId="0795B26A" w:rsidR="00676ED6" w:rsidRPr="00A24E6E" w:rsidRDefault="00676ED6">
      <w:pPr>
        <w:pStyle w:val="FootnoteText"/>
        <w:rPr>
          <w:rFonts w:ascii="Cambria" w:hAnsi="Cambria" w:cs="Times New Roman"/>
        </w:rPr>
      </w:pPr>
      <w:r w:rsidRPr="00A24E6E">
        <w:rPr>
          <w:rStyle w:val="FootnoteReference"/>
          <w:rFonts w:ascii="Cambria" w:hAnsi="Cambria" w:cs="Times New Roman"/>
        </w:rPr>
        <w:footnoteRef/>
      </w:r>
      <w:r w:rsidRPr="00A24E6E">
        <w:rPr>
          <w:rFonts w:ascii="Cambria" w:hAnsi="Cambria" w:cs="Times New Roman"/>
        </w:rPr>
        <w:t xml:space="preserve"> See Beyond Pesticide’s map of local pesticide policies at: </w:t>
      </w:r>
      <w:proofErr w:type="gramStart"/>
      <w:r w:rsidR="00887008" w:rsidRPr="00393D0B">
        <w:rPr>
          <w:rFonts w:ascii="Cambria" w:hAnsi="Cambria" w:cs="Times New Roman"/>
        </w:rPr>
        <w:t>https://www.google.com/maps/d/viewer?mid=1VLpVWvifO2JOrgxf1-d1DLyDruE&amp;ll=41.895619148810695%2C-74.18166846834136&amp;z=5</w:t>
      </w:r>
      <w:proofErr w:type="gramEnd"/>
      <w:r w:rsidR="00887008">
        <w:rPr>
          <w:rFonts w:ascii="Cambria" w:hAnsi="Cambria" w:cs="Times New Roman"/>
        </w:rPr>
        <w:t xml:space="preserve"> </w:t>
      </w:r>
    </w:p>
  </w:footnote>
  <w:footnote w:id="2">
    <w:p w14:paraId="08C5E03B" w14:textId="77777777" w:rsidR="00393D0B" w:rsidRPr="00D24F50" w:rsidRDefault="00393D0B" w:rsidP="00393D0B">
      <w:pPr>
        <w:pStyle w:val="FootnoteText"/>
        <w:rPr>
          <w:rFonts w:ascii="Cambria" w:hAnsi="Cambria"/>
        </w:rPr>
      </w:pPr>
      <w:r w:rsidRPr="00D24F50">
        <w:rPr>
          <w:rStyle w:val="FootnoteReference"/>
          <w:rFonts w:ascii="Cambria" w:hAnsi="Cambria"/>
        </w:rPr>
        <w:footnoteRef/>
      </w:r>
      <w:r w:rsidRPr="00D24F50">
        <w:rPr>
          <w:rFonts w:ascii="Cambria" w:hAnsi="Cambria"/>
        </w:rPr>
        <w:t xml:space="preserve"> The Supreme Court has held repeatedly that absent evidence to the contrary, a preemption clause’s reference to state “requirements” includes state common law duties which typically for</w:t>
      </w:r>
      <w:r>
        <w:rPr>
          <w:rFonts w:ascii="Cambria" w:hAnsi="Cambria"/>
        </w:rPr>
        <w:t>m</w:t>
      </w:r>
      <w:r w:rsidRPr="00D24F50">
        <w:rPr>
          <w:rFonts w:ascii="Cambria" w:hAnsi="Cambria"/>
        </w:rPr>
        <w:t xml:space="preserve"> the basis of any consumer lawsuit. Riegel v. Medtronic, Inc., 552 U.S. 312, 324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00"/>
    <w:rsid w:val="000460C2"/>
    <w:rsid w:val="000A681B"/>
    <w:rsid w:val="000A78BC"/>
    <w:rsid w:val="000B22FD"/>
    <w:rsid w:val="000F45FF"/>
    <w:rsid w:val="00103374"/>
    <w:rsid w:val="0011504B"/>
    <w:rsid w:val="00161F02"/>
    <w:rsid w:val="001820CD"/>
    <w:rsid w:val="0018601C"/>
    <w:rsid w:val="001E7E45"/>
    <w:rsid w:val="001F57CF"/>
    <w:rsid w:val="0022228F"/>
    <w:rsid w:val="00235A7C"/>
    <w:rsid w:val="00243100"/>
    <w:rsid w:val="002574C1"/>
    <w:rsid w:val="00285C45"/>
    <w:rsid w:val="002C1AE9"/>
    <w:rsid w:val="002F7509"/>
    <w:rsid w:val="003038C6"/>
    <w:rsid w:val="0030636E"/>
    <w:rsid w:val="00335BF3"/>
    <w:rsid w:val="00345628"/>
    <w:rsid w:val="003565DA"/>
    <w:rsid w:val="0038533B"/>
    <w:rsid w:val="00393D0B"/>
    <w:rsid w:val="003E4BFD"/>
    <w:rsid w:val="00400390"/>
    <w:rsid w:val="0040287E"/>
    <w:rsid w:val="00420A6A"/>
    <w:rsid w:val="004329EE"/>
    <w:rsid w:val="004341DB"/>
    <w:rsid w:val="00444F87"/>
    <w:rsid w:val="00453CA6"/>
    <w:rsid w:val="00454E88"/>
    <w:rsid w:val="00464649"/>
    <w:rsid w:val="00466050"/>
    <w:rsid w:val="00491643"/>
    <w:rsid w:val="0049214B"/>
    <w:rsid w:val="004C5F69"/>
    <w:rsid w:val="004D63E3"/>
    <w:rsid w:val="00522670"/>
    <w:rsid w:val="0053104F"/>
    <w:rsid w:val="00545232"/>
    <w:rsid w:val="00554137"/>
    <w:rsid w:val="005877CB"/>
    <w:rsid w:val="00595CF8"/>
    <w:rsid w:val="00596573"/>
    <w:rsid w:val="00597378"/>
    <w:rsid w:val="005C75C8"/>
    <w:rsid w:val="005D08B3"/>
    <w:rsid w:val="005F3E74"/>
    <w:rsid w:val="0062082A"/>
    <w:rsid w:val="00626DC7"/>
    <w:rsid w:val="0064078C"/>
    <w:rsid w:val="00672873"/>
    <w:rsid w:val="006729AF"/>
    <w:rsid w:val="00676ED6"/>
    <w:rsid w:val="00684201"/>
    <w:rsid w:val="006A36D0"/>
    <w:rsid w:val="006B073D"/>
    <w:rsid w:val="006E44FC"/>
    <w:rsid w:val="006F0F93"/>
    <w:rsid w:val="00712CB3"/>
    <w:rsid w:val="00713264"/>
    <w:rsid w:val="00730A2A"/>
    <w:rsid w:val="007342C0"/>
    <w:rsid w:val="007A1C05"/>
    <w:rsid w:val="007C726D"/>
    <w:rsid w:val="007E7AF3"/>
    <w:rsid w:val="00814537"/>
    <w:rsid w:val="00823FA1"/>
    <w:rsid w:val="00837776"/>
    <w:rsid w:val="00840C46"/>
    <w:rsid w:val="0084717C"/>
    <w:rsid w:val="00887008"/>
    <w:rsid w:val="008A4070"/>
    <w:rsid w:val="008B6B2D"/>
    <w:rsid w:val="008D610E"/>
    <w:rsid w:val="008D7B3D"/>
    <w:rsid w:val="008E1565"/>
    <w:rsid w:val="00911EA8"/>
    <w:rsid w:val="0092296A"/>
    <w:rsid w:val="00930477"/>
    <w:rsid w:val="00947042"/>
    <w:rsid w:val="009758A4"/>
    <w:rsid w:val="00977B08"/>
    <w:rsid w:val="00985B77"/>
    <w:rsid w:val="0098618C"/>
    <w:rsid w:val="009946D6"/>
    <w:rsid w:val="009B499D"/>
    <w:rsid w:val="009C64F8"/>
    <w:rsid w:val="009E6BD7"/>
    <w:rsid w:val="00A132A8"/>
    <w:rsid w:val="00A24E6E"/>
    <w:rsid w:val="00A731F2"/>
    <w:rsid w:val="00A8057A"/>
    <w:rsid w:val="00A830C1"/>
    <w:rsid w:val="00A9118A"/>
    <w:rsid w:val="00AA45DD"/>
    <w:rsid w:val="00AE2673"/>
    <w:rsid w:val="00AF0F00"/>
    <w:rsid w:val="00B00F03"/>
    <w:rsid w:val="00B01179"/>
    <w:rsid w:val="00B16074"/>
    <w:rsid w:val="00B22118"/>
    <w:rsid w:val="00B335B3"/>
    <w:rsid w:val="00B3521F"/>
    <w:rsid w:val="00B44B7F"/>
    <w:rsid w:val="00B60396"/>
    <w:rsid w:val="00B71955"/>
    <w:rsid w:val="00B808A9"/>
    <w:rsid w:val="00B87F05"/>
    <w:rsid w:val="00B90059"/>
    <w:rsid w:val="00BC2FE8"/>
    <w:rsid w:val="00C36CDB"/>
    <w:rsid w:val="00C43CBB"/>
    <w:rsid w:val="00C64095"/>
    <w:rsid w:val="00C66FDD"/>
    <w:rsid w:val="00CE18DD"/>
    <w:rsid w:val="00D004A4"/>
    <w:rsid w:val="00D012AC"/>
    <w:rsid w:val="00D2035A"/>
    <w:rsid w:val="00D24F50"/>
    <w:rsid w:val="00D42816"/>
    <w:rsid w:val="00D42FE2"/>
    <w:rsid w:val="00D82DDA"/>
    <w:rsid w:val="00D97197"/>
    <w:rsid w:val="00DA7186"/>
    <w:rsid w:val="00DF5BA4"/>
    <w:rsid w:val="00E0686A"/>
    <w:rsid w:val="00E933E0"/>
    <w:rsid w:val="00EA7906"/>
    <w:rsid w:val="00EB59DC"/>
    <w:rsid w:val="00EE3983"/>
    <w:rsid w:val="00EF04E1"/>
    <w:rsid w:val="00EF5C2E"/>
    <w:rsid w:val="00F07FD5"/>
    <w:rsid w:val="00F145BA"/>
    <w:rsid w:val="00F14B28"/>
    <w:rsid w:val="00F85A81"/>
    <w:rsid w:val="00FA2150"/>
    <w:rsid w:val="00FC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62CC"/>
  <w15:chartTrackingRefBased/>
  <w15:docId w15:val="{9006D1CF-8CA4-4A3A-A548-F9439C09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9AF"/>
  </w:style>
  <w:style w:type="paragraph" w:styleId="Footer">
    <w:name w:val="footer"/>
    <w:basedOn w:val="Normal"/>
    <w:link w:val="FooterChar"/>
    <w:uiPriority w:val="99"/>
    <w:unhideWhenUsed/>
    <w:rsid w:val="00672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9AF"/>
  </w:style>
  <w:style w:type="paragraph" w:styleId="Revision">
    <w:name w:val="Revision"/>
    <w:hidden/>
    <w:uiPriority w:val="99"/>
    <w:semiHidden/>
    <w:rsid w:val="000F45FF"/>
    <w:pPr>
      <w:spacing w:after="0" w:line="240" w:lineRule="auto"/>
    </w:pPr>
  </w:style>
  <w:style w:type="character" w:styleId="CommentReference">
    <w:name w:val="annotation reference"/>
    <w:basedOn w:val="DefaultParagraphFont"/>
    <w:uiPriority w:val="99"/>
    <w:semiHidden/>
    <w:unhideWhenUsed/>
    <w:rsid w:val="0064078C"/>
    <w:rPr>
      <w:sz w:val="16"/>
      <w:szCs w:val="16"/>
    </w:rPr>
  </w:style>
  <w:style w:type="paragraph" w:styleId="CommentText">
    <w:name w:val="annotation text"/>
    <w:basedOn w:val="Normal"/>
    <w:link w:val="CommentTextChar"/>
    <w:uiPriority w:val="99"/>
    <w:unhideWhenUsed/>
    <w:rsid w:val="0064078C"/>
    <w:pPr>
      <w:spacing w:line="240" w:lineRule="auto"/>
    </w:pPr>
    <w:rPr>
      <w:sz w:val="20"/>
      <w:szCs w:val="20"/>
    </w:rPr>
  </w:style>
  <w:style w:type="character" w:customStyle="1" w:styleId="CommentTextChar">
    <w:name w:val="Comment Text Char"/>
    <w:basedOn w:val="DefaultParagraphFont"/>
    <w:link w:val="CommentText"/>
    <w:uiPriority w:val="99"/>
    <w:rsid w:val="0064078C"/>
    <w:rPr>
      <w:sz w:val="20"/>
      <w:szCs w:val="20"/>
    </w:rPr>
  </w:style>
  <w:style w:type="paragraph" w:styleId="CommentSubject">
    <w:name w:val="annotation subject"/>
    <w:basedOn w:val="CommentText"/>
    <w:next w:val="CommentText"/>
    <w:link w:val="CommentSubjectChar"/>
    <w:uiPriority w:val="99"/>
    <w:semiHidden/>
    <w:unhideWhenUsed/>
    <w:rsid w:val="0064078C"/>
    <w:rPr>
      <w:b/>
      <w:bCs/>
    </w:rPr>
  </w:style>
  <w:style w:type="character" w:customStyle="1" w:styleId="CommentSubjectChar">
    <w:name w:val="Comment Subject Char"/>
    <w:basedOn w:val="CommentTextChar"/>
    <w:link w:val="CommentSubject"/>
    <w:uiPriority w:val="99"/>
    <w:semiHidden/>
    <w:rsid w:val="0064078C"/>
    <w:rPr>
      <w:b/>
      <w:bCs/>
      <w:sz w:val="20"/>
      <w:szCs w:val="20"/>
    </w:rPr>
  </w:style>
  <w:style w:type="paragraph" w:styleId="FootnoteText">
    <w:name w:val="footnote text"/>
    <w:basedOn w:val="Normal"/>
    <w:link w:val="FootnoteTextChar"/>
    <w:uiPriority w:val="99"/>
    <w:semiHidden/>
    <w:unhideWhenUsed/>
    <w:rsid w:val="00676E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ED6"/>
    <w:rPr>
      <w:sz w:val="20"/>
      <w:szCs w:val="20"/>
    </w:rPr>
  </w:style>
  <w:style w:type="character" w:styleId="FootnoteReference">
    <w:name w:val="footnote reference"/>
    <w:basedOn w:val="DefaultParagraphFont"/>
    <w:uiPriority w:val="99"/>
    <w:semiHidden/>
    <w:unhideWhenUsed/>
    <w:rsid w:val="00676ED6"/>
    <w:rPr>
      <w:vertAlign w:val="superscript"/>
    </w:rPr>
  </w:style>
  <w:style w:type="character" w:styleId="Hyperlink">
    <w:name w:val="Hyperlink"/>
    <w:basedOn w:val="DefaultParagraphFont"/>
    <w:uiPriority w:val="99"/>
    <w:unhideWhenUsed/>
    <w:rsid w:val="00977B08"/>
    <w:rPr>
      <w:color w:val="0563C1" w:themeColor="hyperlink"/>
      <w:u w:val="single"/>
    </w:rPr>
  </w:style>
  <w:style w:type="character" w:styleId="UnresolvedMention">
    <w:name w:val="Unresolved Mention"/>
    <w:basedOn w:val="DefaultParagraphFont"/>
    <w:uiPriority w:val="99"/>
    <w:semiHidden/>
    <w:unhideWhenUsed/>
    <w:rsid w:val="00977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6236">
      <w:bodyDiv w:val="1"/>
      <w:marLeft w:val="0"/>
      <w:marRight w:val="0"/>
      <w:marTop w:val="0"/>
      <w:marBottom w:val="0"/>
      <w:divBdr>
        <w:top w:val="none" w:sz="0" w:space="0" w:color="auto"/>
        <w:left w:val="none" w:sz="0" w:space="0" w:color="auto"/>
        <w:bottom w:val="none" w:sz="0" w:space="0" w:color="auto"/>
        <w:right w:val="none" w:sz="0" w:space="0" w:color="auto"/>
      </w:divBdr>
    </w:div>
    <w:div w:id="10082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E473E-ABDC-4D26-96B1-D5C2309D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Rooney, Sarah</dc:creator>
  <cp:keywords/>
  <dc:description/>
  <cp:lastModifiedBy>Rooney, Sarah</cp:lastModifiedBy>
  <cp:revision>2</cp:revision>
  <dcterms:created xsi:type="dcterms:W3CDTF">2023-04-14T19:43:00Z</dcterms:created>
  <dcterms:modified xsi:type="dcterms:W3CDTF">2023-04-14T19:43:00Z</dcterms:modified>
</cp:coreProperties>
</file>