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CC057" w14:textId="3CBEFFDD" w:rsidR="00992CE1" w:rsidRPr="00F56A22" w:rsidRDefault="68D7E2EB" w:rsidP="57A55420">
      <w:pPr>
        <w:spacing w:after="240"/>
        <w:rPr>
          <w:rFonts w:ascii="Calibri" w:hAnsi="Calibri" w:cs="Calibri"/>
          <w:sz w:val="22"/>
          <w:szCs w:val="22"/>
        </w:rPr>
      </w:pPr>
      <w:r w:rsidRPr="00F56A22">
        <w:rPr>
          <w:rFonts w:ascii="Calibri" w:eastAsia="Aptos" w:hAnsi="Calibri" w:cs="Calibri"/>
          <w:sz w:val="22"/>
          <w:szCs w:val="22"/>
        </w:rPr>
        <w:t>Dear Senator/Representative,</w:t>
      </w:r>
    </w:p>
    <w:p w14:paraId="5F49187F" w14:textId="01CAEC50" w:rsidR="00992CE1" w:rsidRPr="00F56A22" w:rsidRDefault="3398278B" w:rsidP="2EEE4369">
      <w:pPr>
        <w:spacing w:before="240" w:after="240"/>
        <w:rPr>
          <w:rFonts w:ascii="Calibri" w:eastAsia="Aptos" w:hAnsi="Calibri" w:cs="Calibri"/>
          <w:sz w:val="22"/>
          <w:szCs w:val="22"/>
        </w:rPr>
      </w:pPr>
      <w:r w:rsidRPr="00F56A22">
        <w:rPr>
          <w:rFonts w:ascii="Calibri" w:eastAsia="Aptos" w:hAnsi="Calibri" w:cs="Calibri"/>
          <w:sz w:val="22"/>
          <w:szCs w:val="22"/>
        </w:rPr>
        <w:t xml:space="preserve">We are writing to express our strong opposition to </w:t>
      </w:r>
      <w:r w:rsidR="2449D12C" w:rsidRPr="00F56A22">
        <w:rPr>
          <w:rFonts w:ascii="Calibri" w:eastAsia="Aptos" w:hAnsi="Calibri" w:cs="Calibri"/>
          <w:sz w:val="22"/>
          <w:szCs w:val="22"/>
        </w:rPr>
        <w:t>ongoing efforts to delay and undermine the implementation of critical food traceability rules established under the Food Safety Modernization Act</w:t>
      </w:r>
      <w:r w:rsidR="00AC6432" w:rsidRPr="00F56A22">
        <w:rPr>
          <w:rFonts w:ascii="Calibri" w:eastAsia="Aptos" w:hAnsi="Calibri" w:cs="Calibri"/>
          <w:sz w:val="22"/>
          <w:szCs w:val="22"/>
        </w:rPr>
        <w:t xml:space="preserve"> </w:t>
      </w:r>
      <w:r w:rsidR="2449D12C" w:rsidRPr="00F56A22">
        <w:rPr>
          <w:rFonts w:ascii="Calibri" w:eastAsia="Aptos" w:hAnsi="Calibri" w:cs="Calibri"/>
          <w:sz w:val="22"/>
          <w:szCs w:val="22"/>
        </w:rPr>
        <w:t xml:space="preserve">(FSMA). </w:t>
      </w:r>
    </w:p>
    <w:p w14:paraId="09B1FFCA" w14:textId="0F60CDE5" w:rsidR="004D2C20" w:rsidRPr="00F56A22" w:rsidRDefault="2449D12C" w:rsidP="2EEE4369">
      <w:pPr>
        <w:spacing w:before="240" w:after="240"/>
        <w:rPr>
          <w:rFonts w:ascii="Calibri" w:eastAsia="Aptos" w:hAnsi="Calibri" w:cs="Calibri"/>
          <w:sz w:val="22"/>
          <w:szCs w:val="22"/>
        </w:rPr>
      </w:pPr>
      <w:r w:rsidRPr="00F56A22">
        <w:rPr>
          <w:rFonts w:ascii="Calibri" w:eastAsia="Aptos" w:hAnsi="Calibri" w:cs="Calibri"/>
          <w:sz w:val="22"/>
          <w:szCs w:val="22"/>
        </w:rPr>
        <w:t xml:space="preserve">We urge you to reject </w:t>
      </w:r>
      <w:r w:rsidR="00C63F2B">
        <w:rPr>
          <w:rFonts w:ascii="Calibri" w:eastAsia="Aptos" w:hAnsi="Calibri" w:cs="Calibri"/>
          <w:sz w:val="22"/>
          <w:szCs w:val="22"/>
        </w:rPr>
        <w:t xml:space="preserve">and oppose </w:t>
      </w:r>
      <w:r w:rsidR="00AF3EE6" w:rsidRPr="00F56A22">
        <w:rPr>
          <w:rFonts w:ascii="Calibri" w:eastAsia="Aptos" w:hAnsi="Calibri" w:cs="Calibri"/>
          <w:sz w:val="22"/>
          <w:szCs w:val="22"/>
        </w:rPr>
        <w:t>all of the following</w:t>
      </w:r>
      <w:r w:rsidR="005C56A5" w:rsidRPr="00F56A22">
        <w:rPr>
          <w:rFonts w:ascii="Calibri" w:eastAsia="Aptos" w:hAnsi="Calibri" w:cs="Calibri"/>
          <w:sz w:val="22"/>
          <w:szCs w:val="22"/>
        </w:rPr>
        <w:t xml:space="preserve"> legislative </w:t>
      </w:r>
      <w:r w:rsidR="00C63F2B">
        <w:rPr>
          <w:rFonts w:ascii="Calibri" w:eastAsia="Aptos" w:hAnsi="Calibri" w:cs="Calibri"/>
          <w:sz w:val="22"/>
          <w:szCs w:val="22"/>
        </w:rPr>
        <w:t xml:space="preserve">and administrative </w:t>
      </w:r>
      <w:r w:rsidR="005C56A5" w:rsidRPr="00F56A22">
        <w:rPr>
          <w:rFonts w:ascii="Calibri" w:eastAsia="Aptos" w:hAnsi="Calibri" w:cs="Calibri"/>
          <w:sz w:val="22"/>
          <w:szCs w:val="22"/>
        </w:rPr>
        <w:t>attacks</w:t>
      </w:r>
      <w:r w:rsidR="00BC4F46" w:rsidRPr="00F56A22">
        <w:rPr>
          <w:rFonts w:ascii="Calibri" w:eastAsia="Aptos" w:hAnsi="Calibri" w:cs="Calibri"/>
          <w:sz w:val="22"/>
          <w:szCs w:val="22"/>
        </w:rPr>
        <w:t xml:space="preserve"> and any others that may arise</w:t>
      </w:r>
      <w:r w:rsidR="005C56A5" w:rsidRPr="00F56A22">
        <w:rPr>
          <w:rFonts w:ascii="Calibri" w:eastAsia="Aptos" w:hAnsi="Calibri" w:cs="Calibri"/>
          <w:sz w:val="22"/>
          <w:szCs w:val="22"/>
        </w:rPr>
        <w:t xml:space="preserve">: </w:t>
      </w:r>
    </w:p>
    <w:p w14:paraId="7374FECD" w14:textId="7AA1242B" w:rsidR="004D2C20" w:rsidRPr="00F56A22" w:rsidRDefault="00A4382D" w:rsidP="004D2C20">
      <w:pPr>
        <w:pStyle w:val="ListParagraph"/>
        <w:numPr>
          <w:ilvl w:val="0"/>
          <w:numId w:val="2"/>
        </w:numPr>
        <w:spacing w:before="240" w:after="240"/>
        <w:rPr>
          <w:rFonts w:ascii="Calibri" w:eastAsia="Aptos" w:hAnsi="Calibri" w:cs="Calibri"/>
          <w:sz w:val="22"/>
          <w:szCs w:val="22"/>
        </w:rPr>
      </w:pPr>
      <w:r w:rsidRPr="00F56A22">
        <w:rPr>
          <w:rFonts w:ascii="Calibri" w:eastAsia="Aptos" w:hAnsi="Calibri" w:cs="Calibri"/>
          <w:sz w:val="22"/>
          <w:szCs w:val="22"/>
        </w:rPr>
        <w:t xml:space="preserve">H.R 7563, standalone legislation misleadingly named </w:t>
      </w:r>
      <w:r w:rsidR="00D81F36" w:rsidRPr="00F56A22">
        <w:rPr>
          <w:rFonts w:ascii="Calibri" w:eastAsia="Aptos" w:hAnsi="Calibri" w:cs="Calibri"/>
          <w:sz w:val="22"/>
          <w:szCs w:val="22"/>
        </w:rPr>
        <w:t>t</w:t>
      </w:r>
      <w:r w:rsidR="3398278B" w:rsidRPr="00F56A22">
        <w:rPr>
          <w:rFonts w:ascii="Calibri" w:eastAsia="Aptos" w:hAnsi="Calibri" w:cs="Calibri"/>
          <w:sz w:val="22"/>
          <w:szCs w:val="22"/>
        </w:rPr>
        <w:t>he Food Traceability Enhancement Act</w:t>
      </w:r>
      <w:r w:rsidR="1791DC03" w:rsidRPr="00F56A22">
        <w:rPr>
          <w:rFonts w:ascii="Calibri" w:eastAsia="Aptos" w:hAnsi="Calibri" w:cs="Calibri"/>
          <w:sz w:val="22"/>
          <w:szCs w:val="22"/>
        </w:rPr>
        <w:t xml:space="preserve"> (FTEA</w:t>
      </w:r>
      <w:r w:rsidR="3398278B" w:rsidRPr="00F56A22">
        <w:rPr>
          <w:rFonts w:ascii="Calibri" w:eastAsia="Aptos" w:hAnsi="Calibri" w:cs="Calibri"/>
          <w:sz w:val="22"/>
          <w:szCs w:val="22"/>
        </w:rPr>
        <w:t>)</w:t>
      </w:r>
    </w:p>
    <w:p w14:paraId="340ED20A" w14:textId="703B600D" w:rsidR="00BC4F46" w:rsidRPr="00F56A22" w:rsidRDefault="00A4382D" w:rsidP="004D2C20">
      <w:pPr>
        <w:pStyle w:val="ListParagraph"/>
        <w:numPr>
          <w:ilvl w:val="0"/>
          <w:numId w:val="2"/>
        </w:numPr>
        <w:spacing w:before="240" w:after="240"/>
        <w:rPr>
          <w:rFonts w:ascii="Calibri" w:eastAsia="Aptos" w:hAnsi="Calibri" w:cs="Calibri"/>
          <w:sz w:val="22"/>
          <w:szCs w:val="22"/>
        </w:rPr>
      </w:pPr>
      <w:r w:rsidRPr="00F56A22">
        <w:rPr>
          <w:rFonts w:ascii="Calibri" w:eastAsia="Aptos" w:hAnsi="Calibri" w:cs="Calibri"/>
          <w:sz w:val="22"/>
          <w:szCs w:val="22"/>
        </w:rPr>
        <w:t xml:space="preserve">Language from FTEA </w:t>
      </w:r>
      <w:r w:rsidR="00BC4F46" w:rsidRPr="00F56A22">
        <w:rPr>
          <w:rFonts w:ascii="Calibri" w:eastAsia="Aptos" w:hAnsi="Calibri" w:cs="Calibri"/>
          <w:sz w:val="22"/>
          <w:szCs w:val="22"/>
        </w:rPr>
        <w:t xml:space="preserve">included as a </w:t>
      </w:r>
      <w:r w:rsidR="62122B0B" w:rsidRPr="00F56A22">
        <w:rPr>
          <w:rFonts w:ascii="Calibri" w:eastAsia="Aptos" w:hAnsi="Calibri" w:cs="Calibri"/>
          <w:sz w:val="22"/>
          <w:szCs w:val="22"/>
        </w:rPr>
        <w:t>rider in the FY25 House Agriculture Appropriations Bill (H.R. 9027</w:t>
      </w:r>
      <w:r w:rsidR="005C56A5" w:rsidRPr="00F56A22">
        <w:rPr>
          <w:rFonts w:ascii="Calibri" w:eastAsia="Aptos" w:hAnsi="Calibri" w:cs="Calibri"/>
          <w:sz w:val="22"/>
          <w:szCs w:val="22"/>
        </w:rPr>
        <w:t xml:space="preserve">, Section </w:t>
      </w:r>
      <w:r w:rsidR="005619D1" w:rsidRPr="00F56A22">
        <w:rPr>
          <w:rFonts w:ascii="Calibri" w:eastAsia="Aptos" w:hAnsi="Calibri" w:cs="Calibri"/>
          <w:sz w:val="22"/>
          <w:szCs w:val="22"/>
        </w:rPr>
        <w:t>768</w:t>
      </w:r>
      <w:r w:rsidR="62122B0B" w:rsidRPr="00F56A22">
        <w:rPr>
          <w:rFonts w:ascii="Calibri" w:eastAsia="Aptos" w:hAnsi="Calibri" w:cs="Calibri"/>
          <w:sz w:val="22"/>
          <w:szCs w:val="22"/>
        </w:rPr>
        <w:t>)</w:t>
      </w:r>
    </w:p>
    <w:p w14:paraId="3DF37BEE" w14:textId="021C09D7" w:rsidR="0047104E" w:rsidRDefault="00BC4F46" w:rsidP="004D2C20">
      <w:pPr>
        <w:pStyle w:val="ListParagraph"/>
        <w:numPr>
          <w:ilvl w:val="0"/>
          <w:numId w:val="2"/>
        </w:numPr>
        <w:spacing w:before="240" w:after="240"/>
        <w:rPr>
          <w:rFonts w:ascii="Calibri" w:eastAsia="Aptos" w:hAnsi="Calibri" w:cs="Calibri"/>
          <w:sz w:val="22"/>
          <w:szCs w:val="22"/>
        </w:rPr>
      </w:pPr>
      <w:r w:rsidRPr="00F56A22">
        <w:rPr>
          <w:rFonts w:ascii="Calibri" w:eastAsia="Aptos" w:hAnsi="Calibri" w:cs="Calibri"/>
          <w:sz w:val="22"/>
          <w:szCs w:val="22"/>
        </w:rPr>
        <w:t xml:space="preserve">Similar language in </w:t>
      </w:r>
      <w:r w:rsidR="62122B0B" w:rsidRPr="00F56A22">
        <w:rPr>
          <w:rFonts w:ascii="Calibri" w:eastAsia="Aptos" w:hAnsi="Calibri" w:cs="Calibri"/>
          <w:sz w:val="22"/>
          <w:szCs w:val="22"/>
        </w:rPr>
        <w:t>the report accompanying the Senate</w:t>
      </w:r>
      <w:r w:rsidR="00312747" w:rsidRPr="00F56A22">
        <w:rPr>
          <w:rFonts w:ascii="Calibri" w:eastAsia="Aptos" w:hAnsi="Calibri" w:cs="Calibri"/>
          <w:sz w:val="22"/>
          <w:szCs w:val="22"/>
        </w:rPr>
        <w:t xml:space="preserve">’s </w:t>
      </w:r>
      <w:r w:rsidR="62122B0B" w:rsidRPr="00F56A22">
        <w:rPr>
          <w:rFonts w:ascii="Calibri" w:eastAsia="Aptos" w:hAnsi="Calibri" w:cs="Calibri"/>
          <w:sz w:val="22"/>
          <w:szCs w:val="22"/>
        </w:rPr>
        <w:t>Agriculture, Rural Development, FDA, and Related Agencies Appropriations Act of 2025 (S.</w:t>
      </w:r>
      <w:r w:rsidR="67FE9AF0" w:rsidRPr="00F56A22">
        <w:rPr>
          <w:rFonts w:ascii="Calibri" w:eastAsia="Aptos" w:hAnsi="Calibri" w:cs="Calibri"/>
          <w:sz w:val="22"/>
          <w:szCs w:val="22"/>
        </w:rPr>
        <w:t xml:space="preserve"> </w:t>
      </w:r>
      <w:r w:rsidR="62122B0B" w:rsidRPr="00F56A22">
        <w:rPr>
          <w:rFonts w:ascii="Calibri" w:eastAsia="Aptos" w:hAnsi="Calibri" w:cs="Calibri"/>
          <w:sz w:val="22"/>
          <w:szCs w:val="22"/>
        </w:rPr>
        <w:t xml:space="preserve">4690), as well as any other efforts that may arise. </w:t>
      </w:r>
    </w:p>
    <w:p w14:paraId="58A3AAB6" w14:textId="3E790EB5" w:rsidR="00C63F2B" w:rsidRPr="00F56A22" w:rsidRDefault="00C63F2B" w:rsidP="004D2C20">
      <w:pPr>
        <w:pStyle w:val="ListParagraph"/>
        <w:numPr>
          <w:ilvl w:val="0"/>
          <w:numId w:val="2"/>
        </w:numPr>
        <w:spacing w:before="240" w:after="240"/>
        <w:rPr>
          <w:rFonts w:ascii="Calibri" w:eastAsia="Aptos" w:hAnsi="Calibri" w:cs="Calibri"/>
          <w:sz w:val="22"/>
          <w:szCs w:val="22"/>
        </w:rPr>
      </w:pPr>
      <w:r>
        <w:rPr>
          <w:rFonts w:ascii="Calibri" w:eastAsia="Aptos" w:hAnsi="Calibri" w:cs="Calibri"/>
          <w:sz w:val="22"/>
          <w:szCs w:val="22"/>
        </w:rPr>
        <w:t>Any deadline extension requests made directly to FDA that would delay implementation of the Food Traceability Final Rule.</w:t>
      </w:r>
    </w:p>
    <w:p w14:paraId="436715B2" w14:textId="497FE5ED" w:rsidR="00992CE1" w:rsidRPr="00F56A22" w:rsidRDefault="007369B5" w:rsidP="0047104E">
      <w:pPr>
        <w:spacing w:before="240" w:after="240"/>
        <w:rPr>
          <w:rFonts w:ascii="Calibri" w:eastAsia="Aptos" w:hAnsi="Calibri" w:cs="Calibri"/>
          <w:sz w:val="22"/>
          <w:szCs w:val="22"/>
        </w:rPr>
      </w:pPr>
      <w:r w:rsidRPr="00F56A22">
        <w:rPr>
          <w:rFonts w:ascii="Calibri" w:eastAsia="Arial" w:hAnsi="Calibri" w:cs="Calibri"/>
          <w:color w:val="000000" w:themeColor="text1"/>
          <w:sz w:val="22"/>
          <w:szCs w:val="22"/>
          <w:lang w:val="en"/>
        </w:rPr>
        <w:t>At a time when public health demands stricter oversight, t</w:t>
      </w:r>
      <w:r w:rsidR="62122B0B" w:rsidRPr="00F56A22">
        <w:rPr>
          <w:rFonts w:ascii="Calibri" w:eastAsia="Arial" w:hAnsi="Calibri" w:cs="Calibri"/>
          <w:color w:val="000000" w:themeColor="text1"/>
          <w:sz w:val="22"/>
          <w:szCs w:val="22"/>
          <w:lang w:val="en"/>
        </w:rPr>
        <w:t>hese measures threaten to undo years of progress towards ensuring food safety and transparency in our supply chains</w:t>
      </w:r>
      <w:r w:rsidR="00200E08" w:rsidRPr="00F56A22">
        <w:rPr>
          <w:rFonts w:ascii="Calibri" w:eastAsia="Arial" w:hAnsi="Calibri" w:cs="Calibri"/>
          <w:color w:val="000000" w:themeColor="text1"/>
          <w:sz w:val="22"/>
          <w:szCs w:val="22"/>
          <w:lang w:val="en"/>
        </w:rPr>
        <w:t>.</w:t>
      </w:r>
    </w:p>
    <w:p w14:paraId="20378CDF" w14:textId="046B0607" w:rsidR="00992CE1" w:rsidRPr="00F56A22" w:rsidRDefault="7C23B93C" w:rsidP="2EEE4369">
      <w:pPr>
        <w:spacing w:before="240" w:after="240"/>
        <w:rPr>
          <w:rFonts w:ascii="Calibri" w:eastAsia="Aptos" w:hAnsi="Calibri" w:cs="Calibri"/>
          <w:sz w:val="22"/>
          <w:szCs w:val="22"/>
        </w:rPr>
      </w:pPr>
      <w:r w:rsidRPr="00F56A22">
        <w:rPr>
          <w:rFonts w:ascii="Calibri" w:eastAsia="Aptos" w:hAnsi="Calibri" w:cs="Calibri"/>
          <w:sz w:val="22"/>
          <w:szCs w:val="22"/>
        </w:rPr>
        <w:t xml:space="preserve">Key concerns with the </w:t>
      </w:r>
      <w:r w:rsidR="0047104E" w:rsidRPr="00F56A22">
        <w:rPr>
          <w:rFonts w:ascii="Calibri" w:eastAsia="Aptos" w:hAnsi="Calibri" w:cs="Calibri"/>
          <w:sz w:val="22"/>
          <w:szCs w:val="22"/>
        </w:rPr>
        <w:t>bill</w:t>
      </w:r>
      <w:r w:rsidRPr="00F56A22">
        <w:rPr>
          <w:rFonts w:ascii="Calibri" w:eastAsia="Aptos" w:hAnsi="Calibri" w:cs="Calibri"/>
          <w:sz w:val="22"/>
          <w:szCs w:val="22"/>
        </w:rPr>
        <w:t xml:space="preserve"> </w:t>
      </w:r>
      <w:r w:rsidR="53B14256" w:rsidRPr="00F56A22">
        <w:rPr>
          <w:rFonts w:ascii="Calibri" w:eastAsia="Aptos" w:hAnsi="Calibri" w:cs="Calibri"/>
          <w:sz w:val="22"/>
          <w:szCs w:val="22"/>
        </w:rPr>
        <w:t xml:space="preserve">and </w:t>
      </w:r>
      <w:r w:rsidR="0047104E" w:rsidRPr="00F56A22">
        <w:rPr>
          <w:rFonts w:ascii="Calibri" w:eastAsia="Aptos" w:hAnsi="Calibri" w:cs="Calibri"/>
          <w:sz w:val="22"/>
          <w:szCs w:val="22"/>
        </w:rPr>
        <w:t xml:space="preserve">appropriations </w:t>
      </w:r>
      <w:r w:rsidR="53B14256" w:rsidRPr="00F56A22">
        <w:rPr>
          <w:rFonts w:ascii="Calibri" w:eastAsia="Aptos" w:hAnsi="Calibri" w:cs="Calibri"/>
          <w:sz w:val="22"/>
          <w:szCs w:val="22"/>
        </w:rPr>
        <w:t xml:space="preserve">rider </w:t>
      </w:r>
      <w:r w:rsidRPr="00F56A22">
        <w:rPr>
          <w:rFonts w:ascii="Calibri" w:eastAsia="Aptos" w:hAnsi="Calibri" w:cs="Calibri"/>
          <w:sz w:val="22"/>
          <w:szCs w:val="22"/>
        </w:rPr>
        <w:t>include:</w:t>
      </w:r>
    </w:p>
    <w:p w14:paraId="674EB1A8" w14:textId="12F240F7" w:rsidR="00992CE1" w:rsidRPr="00F56A22" w:rsidRDefault="7C23B93C" w:rsidP="41005847">
      <w:pPr>
        <w:pStyle w:val="ListParagraph"/>
        <w:numPr>
          <w:ilvl w:val="0"/>
          <w:numId w:val="1"/>
        </w:numPr>
        <w:spacing w:before="240" w:after="0"/>
        <w:rPr>
          <w:rFonts w:ascii="Calibri" w:eastAsia="Aptos" w:hAnsi="Calibri" w:cs="Calibri"/>
          <w:sz w:val="22"/>
          <w:szCs w:val="22"/>
        </w:rPr>
      </w:pPr>
      <w:r w:rsidRPr="00F56A22">
        <w:rPr>
          <w:rFonts w:ascii="Calibri" w:eastAsia="Aptos" w:hAnsi="Calibri" w:cs="Calibri"/>
          <w:b/>
          <w:bCs/>
          <w:sz w:val="22"/>
          <w:szCs w:val="22"/>
        </w:rPr>
        <w:t>Undermining public health and safety</w:t>
      </w:r>
      <w:r w:rsidRPr="00F56A22">
        <w:rPr>
          <w:rFonts w:ascii="Calibri" w:eastAsia="Aptos" w:hAnsi="Calibri" w:cs="Calibri"/>
          <w:sz w:val="22"/>
          <w:szCs w:val="22"/>
        </w:rPr>
        <w:t xml:space="preserve"> by impeding transparency and accountability in our food supply chain.</w:t>
      </w:r>
    </w:p>
    <w:p w14:paraId="46FE5E5C" w14:textId="628E1360" w:rsidR="00992CE1" w:rsidRPr="00F56A22" w:rsidRDefault="7C23B93C" w:rsidP="41005847">
      <w:pPr>
        <w:pStyle w:val="ListParagraph"/>
        <w:numPr>
          <w:ilvl w:val="0"/>
          <w:numId w:val="1"/>
        </w:numPr>
        <w:spacing w:before="240" w:after="0"/>
        <w:rPr>
          <w:rFonts w:ascii="Calibri" w:eastAsia="Aptos" w:hAnsi="Calibri" w:cs="Calibri"/>
          <w:sz w:val="22"/>
          <w:szCs w:val="22"/>
        </w:rPr>
      </w:pPr>
      <w:r w:rsidRPr="00F56A22">
        <w:rPr>
          <w:rFonts w:ascii="Calibri" w:eastAsia="Aptos" w:hAnsi="Calibri" w:cs="Calibri"/>
          <w:b/>
          <w:bCs/>
          <w:sz w:val="22"/>
          <w:szCs w:val="22"/>
        </w:rPr>
        <w:t>Delaying the long-overdue implementation</w:t>
      </w:r>
      <w:r w:rsidRPr="00F56A22">
        <w:rPr>
          <w:rFonts w:ascii="Calibri" w:eastAsia="Aptos" w:hAnsi="Calibri" w:cs="Calibri"/>
          <w:sz w:val="22"/>
          <w:szCs w:val="22"/>
        </w:rPr>
        <w:t xml:space="preserve"> of the </w:t>
      </w:r>
      <w:r w:rsidR="00C415DF" w:rsidRPr="00F56A22">
        <w:rPr>
          <w:rFonts w:ascii="Calibri" w:eastAsia="Aptos" w:hAnsi="Calibri" w:cs="Calibri"/>
          <w:sz w:val="22"/>
          <w:szCs w:val="22"/>
        </w:rPr>
        <w:t xml:space="preserve">final </w:t>
      </w:r>
      <w:r w:rsidRPr="00F56A22">
        <w:rPr>
          <w:rFonts w:ascii="Calibri" w:eastAsia="Aptos" w:hAnsi="Calibri" w:cs="Calibri"/>
          <w:sz w:val="22"/>
          <w:szCs w:val="22"/>
        </w:rPr>
        <w:t>Food Traceability Rule</w:t>
      </w:r>
      <w:r w:rsidR="5DBDC192" w:rsidRPr="00F56A22">
        <w:rPr>
          <w:rFonts w:ascii="Calibri" w:eastAsia="Aptos" w:hAnsi="Calibri" w:cs="Calibri"/>
          <w:sz w:val="22"/>
          <w:szCs w:val="22"/>
        </w:rPr>
        <w:t>.</w:t>
      </w:r>
    </w:p>
    <w:p w14:paraId="250CCFFD" w14:textId="11D26F5B" w:rsidR="00992CE1" w:rsidRPr="00F56A22" w:rsidRDefault="7C23B93C" w:rsidP="41005847">
      <w:pPr>
        <w:pStyle w:val="ListParagraph"/>
        <w:numPr>
          <w:ilvl w:val="0"/>
          <w:numId w:val="1"/>
        </w:numPr>
        <w:spacing w:before="240" w:after="0"/>
        <w:rPr>
          <w:rFonts w:ascii="Calibri" w:eastAsia="Aptos" w:hAnsi="Calibri" w:cs="Calibri"/>
          <w:sz w:val="22"/>
          <w:szCs w:val="22"/>
        </w:rPr>
      </w:pPr>
      <w:r w:rsidRPr="00F56A22">
        <w:rPr>
          <w:rFonts w:ascii="Calibri" w:eastAsia="Aptos" w:hAnsi="Calibri" w:cs="Calibri"/>
          <w:b/>
          <w:bCs/>
          <w:sz w:val="22"/>
          <w:szCs w:val="22"/>
        </w:rPr>
        <w:t>Jeopardizing the integrity</w:t>
      </w:r>
      <w:r w:rsidRPr="00F56A22">
        <w:rPr>
          <w:rFonts w:ascii="Calibri" w:eastAsia="Aptos" w:hAnsi="Calibri" w:cs="Calibri"/>
          <w:sz w:val="22"/>
          <w:szCs w:val="22"/>
        </w:rPr>
        <w:t xml:space="preserve"> of the Food Safety Modernization Act.</w:t>
      </w:r>
    </w:p>
    <w:p w14:paraId="0242B685" w14:textId="3CF3A6E6" w:rsidR="00C63F2B" w:rsidRPr="00045AF7" w:rsidRDefault="7C23B93C" w:rsidP="00045AF7">
      <w:pPr>
        <w:pStyle w:val="ListParagraph"/>
        <w:numPr>
          <w:ilvl w:val="0"/>
          <w:numId w:val="1"/>
        </w:numPr>
        <w:spacing w:before="240" w:after="0"/>
        <w:rPr>
          <w:rFonts w:ascii="Calibri" w:eastAsia="Aptos" w:hAnsi="Calibri" w:cs="Calibri"/>
          <w:sz w:val="22"/>
          <w:szCs w:val="22"/>
        </w:rPr>
      </w:pPr>
      <w:r w:rsidRPr="00F56A22">
        <w:rPr>
          <w:rFonts w:ascii="Calibri" w:eastAsia="Aptos" w:hAnsi="Calibri" w:cs="Calibri"/>
          <w:sz w:val="22"/>
          <w:szCs w:val="22"/>
        </w:rPr>
        <w:t xml:space="preserve"> </w:t>
      </w:r>
      <w:r w:rsidR="0E3B6173" w:rsidRPr="00F56A22">
        <w:rPr>
          <w:rFonts w:ascii="Calibri" w:eastAsia="Aptos" w:hAnsi="Calibri" w:cs="Calibri"/>
          <w:b/>
          <w:bCs/>
          <w:sz w:val="22"/>
          <w:szCs w:val="22"/>
        </w:rPr>
        <w:t>I</w:t>
      </w:r>
      <w:r w:rsidRPr="00F56A22">
        <w:rPr>
          <w:rFonts w:ascii="Calibri" w:eastAsia="Aptos" w:hAnsi="Calibri" w:cs="Calibri"/>
          <w:b/>
          <w:bCs/>
          <w:sz w:val="22"/>
          <w:szCs w:val="22"/>
        </w:rPr>
        <w:t>ncreasing the risk of foodborne illness outbreaks</w:t>
      </w:r>
      <w:r w:rsidRPr="00F56A22">
        <w:rPr>
          <w:rFonts w:ascii="Calibri" w:eastAsia="Aptos" w:hAnsi="Calibri" w:cs="Calibri"/>
          <w:sz w:val="22"/>
          <w:szCs w:val="22"/>
        </w:rPr>
        <w:t xml:space="preserve"> and their associated costs.</w:t>
      </w:r>
    </w:p>
    <w:p w14:paraId="2C9DEDCD" w14:textId="15ECFD1D" w:rsidR="00C63F2B" w:rsidRPr="00045AF7" w:rsidRDefault="00C63F2B" w:rsidP="00045AF7">
      <w:pPr>
        <w:spacing w:before="240" w:after="0"/>
        <w:rPr>
          <w:rFonts w:ascii="Calibri" w:eastAsia="Aptos" w:hAnsi="Calibri" w:cs="Calibri"/>
          <w:sz w:val="22"/>
          <w:szCs w:val="22"/>
        </w:rPr>
      </w:pPr>
      <w:r w:rsidRPr="00C63F2B">
        <w:rPr>
          <w:rFonts w:ascii="Calibri" w:eastAsia="Aptos" w:hAnsi="Calibri" w:cs="Calibri"/>
          <w:sz w:val="22"/>
          <w:szCs w:val="22"/>
        </w:rPr>
        <w:t>The Centers for Disease Control and Prevention (CDC) estimates that 1 in 6 Americans—48 million people—become ill from foodborne diseases annually, resulting in 128,000 hospitalizations and 3,000 deaths. Vulnerable populations—such as older adults, pregnant individuals, and children—are disproportionately affected. Adults over 65 are four times more likely to contract Listeria, and children under five account for one-third of global foodborne illnesses and deaths. This underscores the need for strong traceability systems to safeguard public health.   </w:t>
      </w:r>
    </w:p>
    <w:p w14:paraId="1D731809" w14:textId="1238D5D8" w:rsidR="00992CE1" w:rsidRPr="00F56A22" w:rsidRDefault="7DE20FBC" w:rsidP="2EEE4369">
      <w:pPr>
        <w:spacing w:before="240" w:after="0"/>
        <w:rPr>
          <w:rFonts w:ascii="Calibri" w:eastAsia="Aptos" w:hAnsi="Calibri" w:cs="Calibri"/>
          <w:sz w:val="22"/>
          <w:szCs w:val="22"/>
        </w:rPr>
      </w:pPr>
      <w:r w:rsidRPr="00F56A22">
        <w:rPr>
          <w:rFonts w:ascii="Calibri" w:eastAsia="Aptos" w:hAnsi="Calibri" w:cs="Calibri"/>
          <w:sz w:val="22"/>
          <w:szCs w:val="22"/>
        </w:rPr>
        <w:t>The F</w:t>
      </w:r>
      <w:r w:rsidR="00F93BEA" w:rsidRPr="00F56A22">
        <w:rPr>
          <w:rFonts w:ascii="Calibri" w:eastAsia="Aptos" w:hAnsi="Calibri" w:cs="Calibri"/>
          <w:sz w:val="22"/>
          <w:szCs w:val="22"/>
        </w:rPr>
        <w:t>ood Safety Modernization Act, enacted in 2010,</w:t>
      </w:r>
      <w:r w:rsidRPr="00F56A22">
        <w:rPr>
          <w:rFonts w:ascii="Calibri" w:eastAsia="Aptos" w:hAnsi="Calibri" w:cs="Calibri"/>
          <w:sz w:val="22"/>
          <w:szCs w:val="22"/>
        </w:rPr>
        <w:t xml:space="preserve"> represented a crucial overhaul of America's food safety laws</w:t>
      </w:r>
      <w:r w:rsidR="001917E6" w:rsidRPr="00F56A22">
        <w:rPr>
          <w:rFonts w:ascii="Calibri" w:eastAsia="Aptos" w:hAnsi="Calibri" w:cs="Calibri"/>
          <w:sz w:val="22"/>
          <w:szCs w:val="22"/>
        </w:rPr>
        <w:t>. Among other provisions, the law</w:t>
      </w:r>
      <w:r w:rsidRPr="00F56A22">
        <w:rPr>
          <w:rFonts w:ascii="Calibri" w:eastAsia="Aptos" w:hAnsi="Calibri" w:cs="Calibri"/>
          <w:sz w:val="22"/>
          <w:szCs w:val="22"/>
        </w:rPr>
        <w:t xml:space="preserve"> required </w:t>
      </w:r>
      <w:r w:rsidR="00360881" w:rsidRPr="00F56A22">
        <w:rPr>
          <w:rFonts w:ascii="Calibri" w:eastAsia="Aptos" w:hAnsi="Calibri" w:cs="Calibri"/>
          <w:sz w:val="22"/>
          <w:szCs w:val="22"/>
        </w:rPr>
        <w:t xml:space="preserve">the </w:t>
      </w:r>
      <w:r w:rsidRPr="00F56A22">
        <w:rPr>
          <w:rFonts w:ascii="Calibri" w:eastAsia="Aptos" w:hAnsi="Calibri" w:cs="Calibri"/>
          <w:sz w:val="22"/>
          <w:szCs w:val="22"/>
        </w:rPr>
        <w:t xml:space="preserve">FDA to designate </w:t>
      </w:r>
      <w:r w:rsidR="7AA18784" w:rsidRPr="00F56A22">
        <w:rPr>
          <w:rFonts w:ascii="Calibri" w:eastAsia="Aptos" w:hAnsi="Calibri" w:cs="Calibri"/>
          <w:sz w:val="22"/>
          <w:szCs w:val="22"/>
        </w:rPr>
        <w:t xml:space="preserve">high-risk </w:t>
      </w:r>
      <w:r w:rsidR="0E6DB83E" w:rsidRPr="00F56A22">
        <w:rPr>
          <w:rFonts w:ascii="Calibri" w:eastAsia="Aptos" w:hAnsi="Calibri" w:cs="Calibri"/>
          <w:sz w:val="22"/>
          <w:szCs w:val="22"/>
        </w:rPr>
        <w:t xml:space="preserve">foods </w:t>
      </w:r>
      <w:r w:rsidR="003F17DF" w:rsidRPr="00F56A22">
        <w:rPr>
          <w:rFonts w:ascii="Calibri" w:eastAsia="Aptos" w:hAnsi="Calibri" w:cs="Calibri"/>
          <w:sz w:val="22"/>
          <w:szCs w:val="22"/>
        </w:rPr>
        <w:t>and require</w:t>
      </w:r>
      <w:r w:rsidR="3B63732B" w:rsidRPr="00F56A22">
        <w:rPr>
          <w:rFonts w:ascii="Calibri" w:eastAsia="Aptos" w:hAnsi="Calibri" w:cs="Calibri"/>
          <w:sz w:val="22"/>
          <w:szCs w:val="22"/>
        </w:rPr>
        <w:t xml:space="preserve"> enhanced </w:t>
      </w:r>
      <w:r w:rsidRPr="00F56A22">
        <w:rPr>
          <w:rFonts w:ascii="Calibri" w:eastAsia="Aptos" w:hAnsi="Calibri" w:cs="Calibri"/>
          <w:sz w:val="22"/>
          <w:szCs w:val="22"/>
        </w:rPr>
        <w:t>recordkeeping requirements</w:t>
      </w:r>
      <w:r w:rsidR="003F17DF" w:rsidRPr="00F56A22">
        <w:rPr>
          <w:rFonts w:ascii="Calibri" w:eastAsia="Aptos" w:hAnsi="Calibri" w:cs="Calibri"/>
          <w:sz w:val="22"/>
          <w:szCs w:val="22"/>
        </w:rPr>
        <w:t xml:space="preserve"> for those foods</w:t>
      </w:r>
      <w:r w:rsidRPr="00F56A22">
        <w:rPr>
          <w:rFonts w:ascii="Calibri" w:eastAsia="Aptos" w:hAnsi="Calibri" w:cs="Calibri"/>
          <w:sz w:val="22"/>
          <w:szCs w:val="22"/>
        </w:rPr>
        <w:t xml:space="preserve"> to protect public health. </w:t>
      </w:r>
      <w:r w:rsidR="1280A8E1" w:rsidRPr="00F56A22">
        <w:rPr>
          <w:rFonts w:ascii="Calibri" w:eastAsia="Aptos" w:hAnsi="Calibri" w:cs="Calibri"/>
          <w:sz w:val="22"/>
          <w:szCs w:val="22"/>
        </w:rPr>
        <w:t xml:space="preserve">In 2020, </w:t>
      </w:r>
      <w:r w:rsidR="6E5C953F" w:rsidRPr="00F56A22">
        <w:rPr>
          <w:rFonts w:ascii="Calibri" w:eastAsia="Aptos" w:hAnsi="Calibri" w:cs="Calibri"/>
          <w:sz w:val="22"/>
          <w:szCs w:val="22"/>
        </w:rPr>
        <w:t>t</w:t>
      </w:r>
      <w:r w:rsidRPr="00F56A22">
        <w:rPr>
          <w:rFonts w:ascii="Calibri" w:eastAsia="Aptos" w:hAnsi="Calibri" w:cs="Calibri"/>
          <w:sz w:val="22"/>
          <w:szCs w:val="22"/>
        </w:rPr>
        <w:t xml:space="preserve">he FDA published the proposed </w:t>
      </w:r>
      <w:r w:rsidR="0FA6FAD9" w:rsidRPr="00F56A22">
        <w:rPr>
          <w:rFonts w:ascii="Calibri" w:eastAsia="Aptos" w:hAnsi="Calibri" w:cs="Calibri"/>
          <w:b/>
          <w:bCs/>
          <w:sz w:val="22"/>
          <w:szCs w:val="22"/>
        </w:rPr>
        <w:t xml:space="preserve">Food Traceability </w:t>
      </w:r>
      <w:r w:rsidR="74C73016" w:rsidRPr="00F56A22">
        <w:rPr>
          <w:rFonts w:ascii="Calibri" w:eastAsia="Aptos" w:hAnsi="Calibri" w:cs="Calibri"/>
          <w:b/>
          <w:bCs/>
          <w:sz w:val="22"/>
          <w:szCs w:val="22"/>
        </w:rPr>
        <w:t>Rule</w:t>
      </w:r>
      <w:r w:rsidR="74C73016" w:rsidRPr="00F56A22">
        <w:rPr>
          <w:rFonts w:ascii="Calibri" w:eastAsia="Aptos" w:hAnsi="Calibri" w:cs="Calibri"/>
          <w:sz w:val="22"/>
          <w:szCs w:val="22"/>
        </w:rPr>
        <w:t>, finalized</w:t>
      </w:r>
      <w:r w:rsidRPr="00F56A22">
        <w:rPr>
          <w:rFonts w:ascii="Calibri" w:eastAsia="Aptos" w:hAnsi="Calibri" w:cs="Calibri"/>
          <w:sz w:val="22"/>
          <w:szCs w:val="22"/>
        </w:rPr>
        <w:t xml:space="preserve"> in 2022</w:t>
      </w:r>
      <w:r w:rsidR="6C1FBDC9" w:rsidRPr="00F56A22">
        <w:rPr>
          <w:rFonts w:ascii="Calibri" w:eastAsia="Aptos" w:hAnsi="Calibri" w:cs="Calibri"/>
          <w:sz w:val="22"/>
          <w:szCs w:val="22"/>
        </w:rPr>
        <w:t xml:space="preserve">, </w:t>
      </w:r>
      <w:r w:rsidR="6256929E" w:rsidRPr="00F56A22">
        <w:rPr>
          <w:rFonts w:ascii="Calibri" w:eastAsia="Aptos" w:hAnsi="Calibri" w:cs="Calibri"/>
          <w:sz w:val="22"/>
          <w:szCs w:val="22"/>
        </w:rPr>
        <w:t xml:space="preserve">to improve the speed and accuracy of identifying and removing contaminated food from the market. </w:t>
      </w:r>
      <w:r w:rsidR="50148F1F" w:rsidRPr="00F56A22">
        <w:rPr>
          <w:rFonts w:ascii="Calibri" w:eastAsia="Aptos" w:hAnsi="Calibri" w:cs="Calibri"/>
          <w:sz w:val="22"/>
          <w:szCs w:val="22"/>
        </w:rPr>
        <w:t xml:space="preserve">The rule’s foundation is the </w:t>
      </w:r>
      <w:r w:rsidRPr="00F56A22">
        <w:rPr>
          <w:rFonts w:ascii="Calibri" w:eastAsia="Aptos" w:hAnsi="Calibri" w:cs="Calibri"/>
          <w:b/>
          <w:bCs/>
          <w:sz w:val="22"/>
          <w:szCs w:val="22"/>
        </w:rPr>
        <w:t xml:space="preserve">Food Traceability List </w:t>
      </w:r>
      <w:r w:rsidRPr="00F56A22">
        <w:rPr>
          <w:rFonts w:ascii="Calibri" w:eastAsia="Aptos" w:hAnsi="Calibri" w:cs="Calibri"/>
          <w:sz w:val="22"/>
          <w:szCs w:val="22"/>
        </w:rPr>
        <w:t xml:space="preserve">(FTL), which identifies </w:t>
      </w:r>
      <w:r w:rsidR="08721754" w:rsidRPr="00F56A22">
        <w:rPr>
          <w:rFonts w:ascii="Calibri" w:eastAsia="Aptos" w:hAnsi="Calibri" w:cs="Calibri"/>
          <w:sz w:val="22"/>
          <w:szCs w:val="22"/>
        </w:rPr>
        <w:t xml:space="preserve">high-risk </w:t>
      </w:r>
      <w:r w:rsidRPr="00F56A22">
        <w:rPr>
          <w:rFonts w:ascii="Calibri" w:eastAsia="Aptos" w:hAnsi="Calibri" w:cs="Calibri"/>
          <w:sz w:val="22"/>
          <w:szCs w:val="22"/>
        </w:rPr>
        <w:t xml:space="preserve">foods </w:t>
      </w:r>
      <w:r w:rsidR="19C0F1F6" w:rsidRPr="00F56A22">
        <w:rPr>
          <w:rFonts w:ascii="Calibri" w:eastAsia="Aptos" w:hAnsi="Calibri" w:cs="Calibri"/>
          <w:sz w:val="22"/>
          <w:szCs w:val="22"/>
        </w:rPr>
        <w:t>requiring traceability records</w:t>
      </w:r>
      <w:r w:rsidRPr="00F56A22">
        <w:rPr>
          <w:rFonts w:ascii="Calibri" w:eastAsia="Aptos" w:hAnsi="Calibri" w:cs="Calibri"/>
          <w:sz w:val="22"/>
          <w:szCs w:val="22"/>
        </w:rPr>
        <w:t xml:space="preserve">. </w:t>
      </w:r>
      <w:r w:rsidR="15D4A4DA" w:rsidRPr="00F56A22">
        <w:rPr>
          <w:rFonts w:ascii="Calibri" w:eastAsia="Aptos" w:hAnsi="Calibri" w:cs="Calibri"/>
          <w:sz w:val="22"/>
          <w:szCs w:val="22"/>
        </w:rPr>
        <w:t xml:space="preserve">Businesses handling </w:t>
      </w:r>
      <w:r w:rsidR="15D4A4DA" w:rsidRPr="00F56A22">
        <w:rPr>
          <w:rFonts w:ascii="Calibri" w:eastAsia="Aptos" w:hAnsi="Calibri" w:cs="Calibri"/>
          <w:sz w:val="22"/>
          <w:szCs w:val="22"/>
        </w:rPr>
        <w:lastRenderedPageBreak/>
        <w:t xml:space="preserve">these foods must maintain Key Data Elements (KDEs) linked to Critical Tracking Events (CTEs) throughout the supply chain to ensure traceability. </w:t>
      </w:r>
    </w:p>
    <w:p w14:paraId="7B50E2ED" w14:textId="01491010" w:rsidR="5937FC95" w:rsidRPr="00F56A22" w:rsidRDefault="006B110C">
      <w:pPr>
        <w:spacing w:before="240" w:after="240"/>
        <w:rPr>
          <w:rFonts w:ascii="Calibri" w:eastAsia="Aptos" w:hAnsi="Calibri" w:cs="Calibri"/>
          <w:sz w:val="22"/>
          <w:szCs w:val="22"/>
        </w:rPr>
      </w:pPr>
      <w:r w:rsidRPr="00F56A22">
        <w:rPr>
          <w:rFonts w:ascii="Calibri" w:eastAsia="Aptos" w:hAnsi="Calibri" w:cs="Calibri"/>
          <w:sz w:val="22"/>
          <w:szCs w:val="22"/>
        </w:rPr>
        <w:t>FTEA,</w:t>
      </w:r>
      <w:r w:rsidR="00042971" w:rsidRPr="00F56A22">
        <w:rPr>
          <w:rFonts w:ascii="Calibri" w:eastAsia="Aptos" w:hAnsi="Calibri" w:cs="Calibri"/>
          <w:sz w:val="22"/>
          <w:szCs w:val="22"/>
        </w:rPr>
        <w:t xml:space="preserve"> </w:t>
      </w:r>
      <w:r w:rsidR="00CC330B" w:rsidRPr="00F56A22">
        <w:rPr>
          <w:rFonts w:ascii="Calibri" w:eastAsia="Aptos" w:hAnsi="Calibri" w:cs="Calibri"/>
          <w:sz w:val="22"/>
          <w:szCs w:val="22"/>
        </w:rPr>
        <w:t>the appropriations rider</w:t>
      </w:r>
      <w:r w:rsidR="00042971" w:rsidRPr="00F56A22">
        <w:rPr>
          <w:rFonts w:ascii="Calibri" w:eastAsia="Aptos" w:hAnsi="Calibri" w:cs="Calibri"/>
          <w:sz w:val="22"/>
          <w:szCs w:val="22"/>
        </w:rPr>
        <w:t>, and similar efforts</w:t>
      </w:r>
      <w:r w:rsidR="5937FC95" w:rsidRPr="00F56A22">
        <w:rPr>
          <w:rFonts w:ascii="Calibri" w:eastAsia="Aptos" w:hAnsi="Calibri" w:cs="Calibri"/>
          <w:sz w:val="22"/>
          <w:szCs w:val="22"/>
        </w:rPr>
        <w:t xml:space="preserve"> would threaten these safeguards by delaying the rule's implementation until two years after additional pilot projects are completed—despite the fact that</w:t>
      </w:r>
      <w:r w:rsidR="00360881" w:rsidRPr="00F56A22">
        <w:rPr>
          <w:rFonts w:ascii="Calibri" w:eastAsia="Aptos" w:hAnsi="Calibri" w:cs="Calibri"/>
          <w:sz w:val="22"/>
          <w:szCs w:val="22"/>
        </w:rPr>
        <w:t xml:space="preserve"> the</w:t>
      </w:r>
      <w:r w:rsidR="5937FC95" w:rsidRPr="00F56A22">
        <w:rPr>
          <w:rFonts w:ascii="Calibri" w:eastAsia="Aptos" w:hAnsi="Calibri" w:cs="Calibri"/>
          <w:sz w:val="22"/>
          <w:szCs w:val="22"/>
        </w:rPr>
        <w:t xml:space="preserve"> FDA has already conducted multiple pilots. A 2013 FDA report detailed the pilot projects' outcomes, and in 2016, the agency presented its recommendations to Congress. The proposed </w:t>
      </w:r>
      <w:r w:rsidR="00584035" w:rsidRPr="00F56A22">
        <w:rPr>
          <w:rFonts w:ascii="Calibri" w:eastAsia="Aptos" w:hAnsi="Calibri" w:cs="Calibri"/>
          <w:sz w:val="22"/>
          <w:szCs w:val="22"/>
        </w:rPr>
        <w:t xml:space="preserve">multi-year </w:t>
      </w:r>
      <w:r w:rsidR="5937FC95" w:rsidRPr="00F56A22">
        <w:rPr>
          <w:rFonts w:ascii="Calibri" w:eastAsia="Aptos" w:hAnsi="Calibri" w:cs="Calibri"/>
          <w:sz w:val="22"/>
          <w:szCs w:val="22"/>
        </w:rPr>
        <w:t xml:space="preserve">delay for additional pilot projects is unnecessary given </w:t>
      </w:r>
      <w:r w:rsidR="00360881" w:rsidRPr="00F56A22">
        <w:rPr>
          <w:rFonts w:ascii="Calibri" w:eastAsia="Aptos" w:hAnsi="Calibri" w:cs="Calibri"/>
          <w:sz w:val="22"/>
          <w:szCs w:val="22"/>
        </w:rPr>
        <w:t xml:space="preserve">the </w:t>
      </w:r>
      <w:r w:rsidR="5937FC95" w:rsidRPr="00F56A22">
        <w:rPr>
          <w:rFonts w:ascii="Calibri" w:eastAsia="Aptos" w:hAnsi="Calibri" w:cs="Calibri"/>
          <w:sz w:val="22"/>
          <w:szCs w:val="22"/>
        </w:rPr>
        <w:t>FDA’s extensive prior work. With implementation</w:t>
      </w:r>
      <w:r w:rsidR="5A88EFA5" w:rsidRPr="00F56A22">
        <w:rPr>
          <w:rFonts w:ascii="Calibri" w:eastAsia="Aptos" w:hAnsi="Calibri" w:cs="Calibri"/>
          <w:sz w:val="22"/>
          <w:szCs w:val="22"/>
        </w:rPr>
        <w:t xml:space="preserve"> of the FSMA</w:t>
      </w:r>
      <w:r w:rsidR="5937FC95" w:rsidRPr="00F56A22">
        <w:rPr>
          <w:rFonts w:ascii="Calibri" w:eastAsia="Aptos" w:hAnsi="Calibri" w:cs="Calibri"/>
          <w:sz w:val="22"/>
          <w:szCs w:val="22"/>
        </w:rPr>
        <w:t xml:space="preserve"> scheduled for January 2026, further delays would needlessly endanger public health. </w:t>
      </w:r>
      <w:r w:rsidR="5937FC95" w:rsidRPr="00F56A22">
        <w:rPr>
          <w:rFonts w:ascii="Calibri" w:eastAsia="Aptos" w:hAnsi="Calibri" w:cs="Calibri"/>
          <w:b/>
          <w:bCs/>
          <w:i/>
          <w:iCs/>
          <w:sz w:val="22"/>
          <w:szCs w:val="22"/>
        </w:rPr>
        <w:t xml:space="preserve">The food industry has had nearly 15 years to prepare for these changes, making compliance </w:t>
      </w:r>
      <w:r w:rsidR="009A1960" w:rsidRPr="00F56A22">
        <w:rPr>
          <w:rFonts w:ascii="Calibri" w:eastAsia="Aptos" w:hAnsi="Calibri" w:cs="Calibri"/>
          <w:b/>
          <w:bCs/>
          <w:i/>
          <w:iCs/>
          <w:sz w:val="22"/>
          <w:szCs w:val="22"/>
        </w:rPr>
        <w:t>with</w:t>
      </w:r>
      <w:r w:rsidR="5937FC95" w:rsidRPr="00F56A22">
        <w:rPr>
          <w:rFonts w:ascii="Calibri" w:eastAsia="Aptos" w:hAnsi="Calibri" w:cs="Calibri"/>
          <w:b/>
          <w:bCs/>
          <w:i/>
          <w:iCs/>
          <w:sz w:val="22"/>
          <w:szCs w:val="22"/>
        </w:rPr>
        <w:t xml:space="preserve"> this deadline both feasible and essential</w:t>
      </w:r>
      <w:r w:rsidR="5937FC95" w:rsidRPr="00F56A22">
        <w:rPr>
          <w:rFonts w:ascii="Calibri" w:eastAsia="Aptos" w:hAnsi="Calibri" w:cs="Calibri"/>
          <w:sz w:val="22"/>
          <w:szCs w:val="22"/>
        </w:rPr>
        <w:t>. Furthermore, the FTEA proposes sweeping exemptions for restaurants, retail food establishments, and warehouses</w:t>
      </w:r>
      <w:r w:rsidR="00850524" w:rsidRPr="00F56A22">
        <w:rPr>
          <w:rFonts w:ascii="Calibri" w:eastAsia="Aptos" w:hAnsi="Calibri" w:cs="Calibri"/>
          <w:sz w:val="22"/>
          <w:szCs w:val="22"/>
        </w:rPr>
        <w:t xml:space="preserve"> that would</w:t>
      </w:r>
      <w:r w:rsidR="5937FC95" w:rsidRPr="00F56A22">
        <w:rPr>
          <w:rFonts w:ascii="Calibri" w:eastAsia="Aptos" w:hAnsi="Calibri" w:cs="Calibri"/>
          <w:sz w:val="22"/>
          <w:szCs w:val="22"/>
        </w:rPr>
        <w:t xml:space="preserve"> seriously weaken the traceability framework</w:t>
      </w:r>
      <w:r w:rsidR="00D959CC" w:rsidRPr="00F56A22">
        <w:rPr>
          <w:rFonts w:ascii="Calibri" w:eastAsia="Aptos" w:hAnsi="Calibri" w:cs="Calibri"/>
          <w:sz w:val="22"/>
          <w:szCs w:val="22"/>
        </w:rPr>
        <w:t xml:space="preserve">. </w:t>
      </w:r>
    </w:p>
    <w:p w14:paraId="6268D3AF" w14:textId="40EE5FB4" w:rsidR="00992CE1" w:rsidRPr="00F56A22" w:rsidRDefault="73874EAF" w:rsidP="2EEE4369">
      <w:pPr>
        <w:spacing w:before="240" w:after="240"/>
        <w:rPr>
          <w:rFonts w:ascii="Calibri" w:eastAsia="Aptos" w:hAnsi="Calibri" w:cs="Calibri"/>
          <w:sz w:val="22"/>
          <w:szCs w:val="22"/>
        </w:rPr>
      </w:pPr>
      <w:r w:rsidRPr="00F56A22">
        <w:rPr>
          <w:rFonts w:ascii="Calibri" w:eastAsia="Aptos" w:hAnsi="Calibri" w:cs="Calibri"/>
          <w:sz w:val="22"/>
          <w:szCs w:val="22"/>
        </w:rPr>
        <w:t xml:space="preserve">The U.S. government recommends eating seafood twice a week as an integral part of a healthy diet. </w:t>
      </w:r>
      <w:r w:rsidR="42180501" w:rsidRPr="00F56A22">
        <w:rPr>
          <w:rFonts w:ascii="Calibri" w:eastAsia="Aptos" w:hAnsi="Calibri" w:cs="Calibri"/>
          <w:sz w:val="22"/>
          <w:szCs w:val="22"/>
        </w:rPr>
        <w:t>S</w:t>
      </w:r>
      <w:r w:rsidR="0CD47B43" w:rsidRPr="00F56A22">
        <w:rPr>
          <w:rFonts w:ascii="Calibri" w:eastAsia="Aptos" w:hAnsi="Calibri" w:cs="Calibri"/>
          <w:sz w:val="22"/>
          <w:szCs w:val="22"/>
        </w:rPr>
        <w:t xml:space="preserve">eafood in general is </w:t>
      </w:r>
      <w:r w:rsidR="46C466C8" w:rsidRPr="00F56A22">
        <w:rPr>
          <w:rFonts w:ascii="Calibri" w:eastAsia="Aptos" w:hAnsi="Calibri" w:cs="Calibri"/>
          <w:sz w:val="22"/>
          <w:szCs w:val="22"/>
        </w:rPr>
        <w:t>highly</w:t>
      </w:r>
      <w:r w:rsidR="0CD47B43" w:rsidRPr="00F56A22">
        <w:rPr>
          <w:rFonts w:ascii="Calibri" w:eastAsia="Aptos" w:hAnsi="Calibri" w:cs="Calibri"/>
          <w:sz w:val="22"/>
          <w:szCs w:val="22"/>
        </w:rPr>
        <w:t xml:space="preserve"> sensitive to handling and refrigeration, and i</w:t>
      </w:r>
      <w:r w:rsidR="62336CC5" w:rsidRPr="00F56A22">
        <w:rPr>
          <w:rFonts w:ascii="Calibri" w:eastAsia="Aptos" w:hAnsi="Calibri" w:cs="Calibri"/>
          <w:sz w:val="22"/>
          <w:szCs w:val="22"/>
        </w:rPr>
        <w:t xml:space="preserve">mproper practices can result in </w:t>
      </w:r>
      <w:r w:rsidR="0CD47B43" w:rsidRPr="00F56A22">
        <w:rPr>
          <w:rFonts w:ascii="Calibri" w:eastAsia="Aptos" w:hAnsi="Calibri" w:cs="Calibri"/>
          <w:sz w:val="22"/>
          <w:szCs w:val="22"/>
        </w:rPr>
        <w:t>severe illness</w:t>
      </w:r>
      <w:r w:rsidR="5E89E03A" w:rsidRPr="00F56A22">
        <w:rPr>
          <w:rFonts w:ascii="Calibri" w:eastAsia="Aptos" w:hAnsi="Calibri" w:cs="Calibri"/>
          <w:sz w:val="22"/>
          <w:szCs w:val="22"/>
        </w:rPr>
        <w:t>es</w:t>
      </w:r>
      <w:r w:rsidR="0CD47B43" w:rsidRPr="00F56A22">
        <w:rPr>
          <w:rFonts w:ascii="Calibri" w:eastAsia="Aptos" w:hAnsi="Calibri" w:cs="Calibri"/>
          <w:sz w:val="22"/>
          <w:szCs w:val="22"/>
        </w:rPr>
        <w:t>.</w:t>
      </w:r>
      <w:r w:rsidR="6F2FD5BC" w:rsidRPr="00F56A22">
        <w:rPr>
          <w:rFonts w:ascii="Calibri" w:eastAsia="Aptos" w:hAnsi="Calibri" w:cs="Calibri"/>
          <w:sz w:val="22"/>
          <w:szCs w:val="22"/>
        </w:rPr>
        <w:t xml:space="preserve"> </w:t>
      </w:r>
      <w:r w:rsidR="257E8361" w:rsidRPr="00F56A22">
        <w:rPr>
          <w:rFonts w:ascii="Calibri" w:eastAsia="Aptos" w:hAnsi="Calibri" w:cs="Calibri"/>
          <w:b/>
          <w:bCs/>
          <w:i/>
          <w:iCs/>
          <w:sz w:val="22"/>
          <w:szCs w:val="22"/>
        </w:rPr>
        <w:t xml:space="preserve">Each year in the U.S., approximately </w:t>
      </w:r>
      <w:r w:rsidR="041615D3" w:rsidRPr="00F56A22">
        <w:rPr>
          <w:rFonts w:ascii="Calibri" w:eastAsia="Aptos" w:hAnsi="Calibri" w:cs="Calibri"/>
          <w:b/>
          <w:bCs/>
          <w:i/>
          <w:iCs/>
          <w:sz w:val="22"/>
          <w:szCs w:val="22"/>
        </w:rPr>
        <w:t xml:space="preserve">260,000 people </w:t>
      </w:r>
      <w:r w:rsidR="39C7354C" w:rsidRPr="00F56A22">
        <w:rPr>
          <w:rFonts w:ascii="Calibri" w:eastAsia="Aptos" w:hAnsi="Calibri" w:cs="Calibri"/>
          <w:b/>
          <w:bCs/>
          <w:i/>
          <w:iCs/>
          <w:sz w:val="22"/>
          <w:szCs w:val="22"/>
        </w:rPr>
        <w:t>fall ill</w:t>
      </w:r>
      <w:r w:rsidR="041615D3" w:rsidRPr="00F56A22">
        <w:rPr>
          <w:rFonts w:ascii="Calibri" w:eastAsia="Aptos" w:hAnsi="Calibri" w:cs="Calibri"/>
          <w:b/>
          <w:bCs/>
          <w:i/>
          <w:iCs/>
          <w:sz w:val="22"/>
          <w:szCs w:val="22"/>
        </w:rPr>
        <w:t xml:space="preserve"> from </w:t>
      </w:r>
      <w:r w:rsidR="00C306F1" w:rsidRPr="00F56A22">
        <w:rPr>
          <w:rFonts w:ascii="Calibri" w:eastAsia="Aptos" w:hAnsi="Calibri" w:cs="Calibri"/>
          <w:b/>
          <w:bCs/>
          <w:i/>
          <w:iCs/>
          <w:sz w:val="22"/>
          <w:szCs w:val="22"/>
        </w:rPr>
        <w:t xml:space="preserve">eating </w:t>
      </w:r>
      <w:r w:rsidR="041615D3" w:rsidRPr="00F56A22">
        <w:rPr>
          <w:rFonts w:ascii="Calibri" w:eastAsia="Aptos" w:hAnsi="Calibri" w:cs="Calibri"/>
          <w:b/>
          <w:bCs/>
          <w:i/>
          <w:iCs/>
          <w:sz w:val="22"/>
          <w:szCs w:val="22"/>
        </w:rPr>
        <w:t>contaminated fish</w:t>
      </w:r>
      <w:r w:rsidR="041615D3" w:rsidRPr="00F56A22">
        <w:rPr>
          <w:rFonts w:ascii="Calibri" w:eastAsia="Aptos" w:hAnsi="Calibri" w:cs="Calibri"/>
          <w:sz w:val="22"/>
          <w:szCs w:val="22"/>
        </w:rPr>
        <w:t xml:space="preserve">, and </w:t>
      </w:r>
      <w:r w:rsidR="16404B5F" w:rsidRPr="00F56A22">
        <w:rPr>
          <w:rFonts w:ascii="Calibri" w:eastAsia="Aptos" w:hAnsi="Calibri" w:cs="Calibri"/>
          <w:sz w:val="22"/>
          <w:szCs w:val="22"/>
        </w:rPr>
        <w:t>seafood is frequently</w:t>
      </w:r>
      <w:r w:rsidR="041615D3" w:rsidRPr="00F56A22">
        <w:rPr>
          <w:rFonts w:ascii="Calibri" w:eastAsia="Aptos" w:hAnsi="Calibri" w:cs="Calibri"/>
          <w:sz w:val="22"/>
          <w:szCs w:val="22"/>
        </w:rPr>
        <w:t xml:space="preserve"> implicated in foodborne outbreaks</w:t>
      </w:r>
      <w:r w:rsidR="003E06D0" w:rsidRPr="00F56A22">
        <w:rPr>
          <w:rFonts w:ascii="Calibri" w:eastAsia="Aptos" w:hAnsi="Calibri" w:cs="Calibri"/>
          <w:sz w:val="22"/>
          <w:szCs w:val="22"/>
        </w:rPr>
        <w:t xml:space="preserve">. </w:t>
      </w:r>
      <w:r w:rsidR="31F61157" w:rsidRPr="00F56A22">
        <w:rPr>
          <w:rFonts w:ascii="Calibri" w:eastAsia="Aptos" w:hAnsi="Calibri" w:cs="Calibri"/>
          <w:sz w:val="22"/>
          <w:szCs w:val="22"/>
        </w:rPr>
        <w:t xml:space="preserve">The seafood supply chain is opaque, with seafood often </w:t>
      </w:r>
      <w:r w:rsidR="1A71966E" w:rsidRPr="00F56A22">
        <w:rPr>
          <w:rFonts w:ascii="Calibri" w:eastAsia="Aptos" w:hAnsi="Calibri" w:cs="Calibri"/>
          <w:sz w:val="22"/>
          <w:szCs w:val="22"/>
        </w:rPr>
        <w:t>traveling along</w:t>
      </w:r>
      <w:r w:rsidR="31F61157" w:rsidRPr="00F56A22">
        <w:rPr>
          <w:rFonts w:ascii="Calibri" w:eastAsia="Aptos" w:hAnsi="Calibri" w:cs="Calibri"/>
          <w:sz w:val="22"/>
          <w:szCs w:val="22"/>
        </w:rPr>
        <w:t xml:space="preserve"> a complex path from the fishing vessel to the end consumer. </w:t>
      </w:r>
    </w:p>
    <w:p w14:paraId="11B8F407" w14:textId="239574F6" w:rsidR="00992CE1" w:rsidRPr="00F56A22" w:rsidRDefault="249C926D" w:rsidP="34054F55">
      <w:pPr>
        <w:spacing w:before="240" w:after="240"/>
        <w:rPr>
          <w:rFonts w:ascii="Calibri" w:eastAsia="Aptos" w:hAnsi="Calibri" w:cs="Calibri"/>
          <w:sz w:val="22"/>
          <w:szCs w:val="22"/>
        </w:rPr>
      </w:pPr>
      <w:r w:rsidRPr="00F56A22">
        <w:rPr>
          <w:rFonts w:ascii="Calibri" w:eastAsia="Aptos" w:hAnsi="Calibri" w:cs="Calibri"/>
          <w:sz w:val="22"/>
          <w:szCs w:val="22"/>
        </w:rPr>
        <w:t>Mislabeled seafood—such as fish with health advisories sold as safer alternatives, low-cost fish marketed as premium products, or imported fish presented as domestic—</w:t>
      </w:r>
      <w:r w:rsidR="00997E1A" w:rsidRPr="00F56A22">
        <w:rPr>
          <w:rFonts w:ascii="Calibri" w:eastAsia="Aptos" w:hAnsi="Calibri" w:cs="Calibri"/>
          <w:sz w:val="22"/>
          <w:szCs w:val="22"/>
        </w:rPr>
        <w:t xml:space="preserve">harms </w:t>
      </w:r>
      <w:r w:rsidR="00571265" w:rsidRPr="00F56A22">
        <w:rPr>
          <w:rFonts w:ascii="Calibri" w:eastAsia="Aptos" w:hAnsi="Calibri" w:cs="Calibri"/>
          <w:sz w:val="22"/>
          <w:szCs w:val="22"/>
        </w:rPr>
        <w:t>the U.S. seafood economy and</w:t>
      </w:r>
      <w:r w:rsidR="32F0D280" w:rsidRPr="00F56A22">
        <w:rPr>
          <w:rFonts w:ascii="Calibri" w:eastAsia="Aptos" w:hAnsi="Calibri" w:cs="Calibri"/>
          <w:sz w:val="22"/>
          <w:szCs w:val="22"/>
        </w:rPr>
        <w:t xml:space="preserve"> poses risks to sensitive groups such as </w:t>
      </w:r>
      <w:r w:rsidR="00571265" w:rsidRPr="00F56A22">
        <w:rPr>
          <w:rFonts w:ascii="Calibri" w:eastAsia="Aptos" w:hAnsi="Calibri" w:cs="Calibri"/>
          <w:sz w:val="22"/>
          <w:szCs w:val="22"/>
        </w:rPr>
        <w:t>those</w:t>
      </w:r>
      <w:r w:rsidR="00DA738F" w:rsidRPr="00F56A22">
        <w:rPr>
          <w:rFonts w:ascii="Calibri" w:eastAsia="Aptos" w:hAnsi="Calibri" w:cs="Calibri"/>
          <w:sz w:val="22"/>
          <w:szCs w:val="22"/>
        </w:rPr>
        <w:t xml:space="preserve"> </w:t>
      </w:r>
      <w:r w:rsidR="00997E1A" w:rsidRPr="00F56A22">
        <w:rPr>
          <w:rFonts w:ascii="Calibri" w:eastAsia="Aptos" w:hAnsi="Calibri" w:cs="Calibri"/>
          <w:sz w:val="22"/>
          <w:szCs w:val="22"/>
        </w:rPr>
        <w:t xml:space="preserve">who have food </w:t>
      </w:r>
      <w:r w:rsidR="00DA738F" w:rsidRPr="00F56A22">
        <w:rPr>
          <w:rFonts w:ascii="Calibri" w:eastAsia="Aptos" w:hAnsi="Calibri" w:cs="Calibri"/>
          <w:sz w:val="22"/>
          <w:szCs w:val="22"/>
        </w:rPr>
        <w:t>allergies</w:t>
      </w:r>
      <w:r w:rsidR="00997E1A" w:rsidRPr="00F56A22">
        <w:rPr>
          <w:rFonts w:ascii="Calibri" w:eastAsia="Aptos" w:hAnsi="Calibri" w:cs="Calibri"/>
          <w:sz w:val="22"/>
          <w:szCs w:val="22"/>
        </w:rPr>
        <w:t xml:space="preserve"> or are </w:t>
      </w:r>
      <w:r w:rsidR="32F0D280" w:rsidRPr="00F56A22">
        <w:rPr>
          <w:rFonts w:ascii="Calibri" w:eastAsia="Aptos" w:hAnsi="Calibri" w:cs="Calibri"/>
          <w:sz w:val="22"/>
          <w:szCs w:val="22"/>
        </w:rPr>
        <w:t>pregnant</w:t>
      </w:r>
      <w:r w:rsidRPr="00F56A22">
        <w:rPr>
          <w:rFonts w:ascii="Calibri" w:eastAsia="Aptos" w:hAnsi="Calibri" w:cs="Calibri"/>
          <w:sz w:val="22"/>
          <w:szCs w:val="22"/>
        </w:rPr>
        <w:t xml:space="preserve">. </w:t>
      </w:r>
      <w:r w:rsidRPr="00F56A22">
        <w:rPr>
          <w:rFonts w:ascii="Calibri" w:eastAsia="Aptos" w:hAnsi="Calibri" w:cs="Calibri"/>
          <w:b/>
          <w:bCs/>
          <w:i/>
          <w:iCs/>
          <w:sz w:val="22"/>
          <w:szCs w:val="22"/>
        </w:rPr>
        <w:t xml:space="preserve">Fraudulent </w:t>
      </w:r>
      <w:r w:rsidR="002B3779" w:rsidRPr="00F56A22">
        <w:rPr>
          <w:rFonts w:ascii="Calibri" w:eastAsia="Aptos" w:hAnsi="Calibri" w:cs="Calibri"/>
          <w:b/>
          <w:bCs/>
          <w:i/>
          <w:iCs/>
          <w:sz w:val="22"/>
          <w:szCs w:val="22"/>
        </w:rPr>
        <w:t>seafood labeling</w:t>
      </w:r>
      <w:r w:rsidRPr="00F56A22">
        <w:rPr>
          <w:rFonts w:ascii="Calibri" w:eastAsia="Aptos" w:hAnsi="Calibri" w:cs="Calibri"/>
          <w:b/>
          <w:bCs/>
          <w:i/>
          <w:iCs/>
          <w:sz w:val="22"/>
          <w:szCs w:val="22"/>
        </w:rPr>
        <w:t xml:space="preserve"> </w:t>
      </w:r>
      <w:r w:rsidR="00DE338D" w:rsidRPr="00F56A22">
        <w:rPr>
          <w:rFonts w:ascii="Calibri" w:eastAsia="Aptos" w:hAnsi="Calibri" w:cs="Calibri"/>
          <w:b/>
          <w:bCs/>
          <w:i/>
          <w:iCs/>
          <w:sz w:val="22"/>
          <w:szCs w:val="22"/>
        </w:rPr>
        <w:t>enables</w:t>
      </w:r>
      <w:r w:rsidRPr="00F56A22">
        <w:rPr>
          <w:rFonts w:ascii="Calibri" w:eastAsia="Aptos" w:hAnsi="Calibri" w:cs="Calibri"/>
          <w:b/>
          <w:bCs/>
          <w:i/>
          <w:iCs/>
          <w:sz w:val="22"/>
          <w:szCs w:val="22"/>
        </w:rPr>
        <w:t xml:space="preserve"> illegally sourced seafood and</w:t>
      </w:r>
      <w:r w:rsidR="002B3779" w:rsidRPr="00F56A22">
        <w:rPr>
          <w:rFonts w:ascii="Calibri" w:eastAsia="Aptos" w:hAnsi="Calibri" w:cs="Calibri"/>
          <w:b/>
          <w:bCs/>
          <w:i/>
          <w:iCs/>
          <w:sz w:val="22"/>
          <w:szCs w:val="22"/>
        </w:rPr>
        <w:t xml:space="preserve"> products of</w:t>
      </w:r>
      <w:r w:rsidRPr="00F56A22">
        <w:rPr>
          <w:rFonts w:ascii="Calibri" w:eastAsia="Aptos" w:hAnsi="Calibri" w:cs="Calibri"/>
          <w:b/>
          <w:bCs/>
          <w:i/>
          <w:iCs/>
          <w:sz w:val="22"/>
          <w:szCs w:val="22"/>
        </w:rPr>
        <w:t xml:space="preserve"> forced labor to enter the market, often from China and India</w:t>
      </w:r>
      <w:r w:rsidRPr="00F56A22">
        <w:rPr>
          <w:rFonts w:ascii="Calibri" w:eastAsia="Aptos" w:hAnsi="Calibri" w:cs="Calibri"/>
          <w:sz w:val="22"/>
          <w:szCs w:val="22"/>
        </w:rPr>
        <w:t>. In response to this</w:t>
      </w:r>
      <w:r w:rsidR="00DE338D" w:rsidRPr="00F56A22">
        <w:rPr>
          <w:rFonts w:ascii="Calibri" w:eastAsia="Aptos" w:hAnsi="Calibri" w:cs="Calibri"/>
          <w:sz w:val="22"/>
          <w:szCs w:val="22"/>
        </w:rPr>
        <w:t xml:space="preserve"> problem</w:t>
      </w:r>
      <w:r w:rsidRPr="00F56A22">
        <w:rPr>
          <w:rFonts w:ascii="Calibri" w:eastAsia="Aptos" w:hAnsi="Calibri" w:cs="Calibri"/>
          <w:sz w:val="22"/>
          <w:szCs w:val="22"/>
        </w:rPr>
        <w:t xml:space="preserve">, Louisiana recently enacted legislation targeting seafood mislabeling—especially with shrimp and crawfish—because these practices have damaged local fisheries. Effective federal traceability standards under </w:t>
      </w:r>
      <w:r w:rsidR="1FEC38DE" w:rsidRPr="00F56A22">
        <w:rPr>
          <w:rFonts w:ascii="Calibri" w:eastAsia="Aptos" w:hAnsi="Calibri" w:cs="Calibri"/>
          <w:sz w:val="22"/>
          <w:szCs w:val="22"/>
        </w:rPr>
        <w:t xml:space="preserve">the </w:t>
      </w:r>
      <w:r w:rsidRPr="00F56A22">
        <w:rPr>
          <w:rFonts w:ascii="Calibri" w:eastAsia="Aptos" w:hAnsi="Calibri" w:cs="Calibri"/>
          <w:sz w:val="22"/>
          <w:szCs w:val="22"/>
        </w:rPr>
        <w:t xml:space="preserve">FSMA will complement and strengthen state-level efforts, ensuring better food safety and supporting American seafood producers. </w:t>
      </w:r>
    </w:p>
    <w:p w14:paraId="643747D8" w14:textId="49D857BF" w:rsidR="00992CE1" w:rsidRPr="00F56A22" w:rsidRDefault="68D7E2EB" w:rsidP="2EEE4369">
      <w:pPr>
        <w:spacing w:before="240" w:after="240"/>
        <w:rPr>
          <w:rFonts w:ascii="Calibri" w:eastAsia="Aptos" w:hAnsi="Calibri" w:cs="Calibri"/>
          <w:sz w:val="22"/>
          <w:szCs w:val="22"/>
        </w:rPr>
      </w:pPr>
      <w:r w:rsidRPr="00F56A22">
        <w:rPr>
          <w:rFonts w:ascii="Calibri" w:eastAsia="Aptos" w:hAnsi="Calibri" w:cs="Calibri"/>
          <w:sz w:val="22"/>
          <w:szCs w:val="22"/>
        </w:rPr>
        <w:t>We urge you to oppose the Food Traceability Enhancement Act</w:t>
      </w:r>
      <w:r w:rsidR="00C73EA5" w:rsidRPr="00F56A22">
        <w:rPr>
          <w:rFonts w:ascii="Calibri" w:eastAsia="Aptos" w:hAnsi="Calibri" w:cs="Calibri"/>
          <w:sz w:val="22"/>
          <w:szCs w:val="22"/>
        </w:rPr>
        <w:t>, the appropriations rider,</w:t>
      </w:r>
      <w:r w:rsidRPr="00F56A22">
        <w:rPr>
          <w:rFonts w:ascii="Calibri" w:eastAsia="Aptos" w:hAnsi="Calibri" w:cs="Calibri"/>
          <w:sz w:val="22"/>
          <w:szCs w:val="22"/>
        </w:rPr>
        <w:t xml:space="preserve"> and any similar measures that would delay or weaken </w:t>
      </w:r>
      <w:r w:rsidR="7BD143A2" w:rsidRPr="00F56A22">
        <w:rPr>
          <w:rFonts w:ascii="Calibri" w:eastAsia="Aptos" w:hAnsi="Calibri" w:cs="Calibri"/>
          <w:sz w:val="22"/>
          <w:szCs w:val="22"/>
        </w:rPr>
        <w:t xml:space="preserve">these critical </w:t>
      </w:r>
      <w:r w:rsidRPr="00F56A22">
        <w:rPr>
          <w:rFonts w:ascii="Calibri" w:eastAsia="Aptos" w:hAnsi="Calibri" w:cs="Calibri"/>
          <w:sz w:val="22"/>
          <w:szCs w:val="22"/>
        </w:rPr>
        <w:t xml:space="preserve">food safety regulations. Instead, </w:t>
      </w:r>
      <w:r w:rsidR="00C73EA5" w:rsidRPr="00F56A22">
        <w:rPr>
          <w:rFonts w:ascii="Calibri" w:eastAsia="Aptos" w:hAnsi="Calibri" w:cs="Calibri"/>
          <w:sz w:val="22"/>
          <w:szCs w:val="22"/>
        </w:rPr>
        <w:t xml:space="preserve">to protect public health and maintain trust in our food supply, </w:t>
      </w:r>
      <w:r w:rsidRPr="00F56A22">
        <w:rPr>
          <w:rFonts w:ascii="Calibri" w:eastAsia="Aptos" w:hAnsi="Calibri" w:cs="Calibri"/>
          <w:sz w:val="22"/>
          <w:szCs w:val="22"/>
        </w:rPr>
        <w:t xml:space="preserve">we encourage you to support the full and timely implementation of the FSMA's traceability requirements, </w:t>
      </w:r>
    </w:p>
    <w:p w14:paraId="4811CAB6" w14:textId="5F8ADEC5" w:rsidR="00992CE1" w:rsidRPr="00F56A22" w:rsidRDefault="68D7E2EB" w:rsidP="57A55420">
      <w:pPr>
        <w:spacing w:before="240" w:after="240"/>
        <w:rPr>
          <w:rFonts w:ascii="Calibri" w:hAnsi="Calibri" w:cs="Calibri"/>
          <w:sz w:val="22"/>
          <w:szCs w:val="22"/>
        </w:rPr>
      </w:pPr>
      <w:r w:rsidRPr="00F56A22">
        <w:rPr>
          <w:rFonts w:ascii="Calibri" w:eastAsia="Aptos" w:hAnsi="Calibri" w:cs="Calibri"/>
          <w:sz w:val="22"/>
          <w:szCs w:val="22"/>
        </w:rPr>
        <w:t>Thank you for your attention to this critical issue. We look forward to your support in maintaining strong food safety standards for all Americans.</w:t>
      </w:r>
    </w:p>
    <w:p w14:paraId="2C078E63" w14:textId="2CA069AB" w:rsidR="00992CE1" w:rsidRPr="00F56A22" w:rsidRDefault="68D7E2EB" w:rsidP="2EEE4369">
      <w:pPr>
        <w:spacing w:before="240" w:after="240"/>
        <w:rPr>
          <w:rFonts w:ascii="Calibri" w:eastAsia="Aptos" w:hAnsi="Calibri" w:cs="Calibri"/>
          <w:sz w:val="22"/>
          <w:szCs w:val="22"/>
        </w:rPr>
      </w:pPr>
      <w:r w:rsidRPr="00F56A22">
        <w:rPr>
          <w:rFonts w:ascii="Calibri" w:eastAsia="Aptos" w:hAnsi="Calibri" w:cs="Calibri"/>
          <w:sz w:val="22"/>
          <w:szCs w:val="22"/>
        </w:rPr>
        <w:t>Sincerely,</w:t>
      </w:r>
    </w:p>
    <w:sectPr w:rsidR="00992CE1" w:rsidRPr="00F56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2CFC6C"/>
    <w:multiLevelType w:val="hybridMultilevel"/>
    <w:tmpl w:val="40FC9474"/>
    <w:lvl w:ilvl="0" w:tplc="BBF09662">
      <w:start w:val="1"/>
      <w:numFmt w:val="decimal"/>
      <w:lvlText w:val="%1."/>
      <w:lvlJc w:val="left"/>
      <w:pPr>
        <w:ind w:left="720" w:hanging="360"/>
      </w:pPr>
    </w:lvl>
    <w:lvl w:ilvl="1" w:tplc="958A3FB0">
      <w:start w:val="1"/>
      <w:numFmt w:val="lowerLetter"/>
      <w:lvlText w:val="%2."/>
      <w:lvlJc w:val="left"/>
      <w:pPr>
        <w:ind w:left="1440" w:hanging="360"/>
      </w:pPr>
    </w:lvl>
    <w:lvl w:ilvl="2" w:tplc="998C07E8">
      <w:start w:val="1"/>
      <w:numFmt w:val="lowerRoman"/>
      <w:lvlText w:val="%3."/>
      <w:lvlJc w:val="right"/>
      <w:pPr>
        <w:ind w:left="2160" w:hanging="180"/>
      </w:pPr>
    </w:lvl>
    <w:lvl w:ilvl="3" w:tplc="998CF86A">
      <w:start w:val="1"/>
      <w:numFmt w:val="decimal"/>
      <w:lvlText w:val="%4."/>
      <w:lvlJc w:val="left"/>
      <w:pPr>
        <w:ind w:left="2880" w:hanging="360"/>
      </w:pPr>
    </w:lvl>
    <w:lvl w:ilvl="4" w:tplc="9E9C4C38">
      <w:start w:val="1"/>
      <w:numFmt w:val="lowerLetter"/>
      <w:lvlText w:val="%5."/>
      <w:lvlJc w:val="left"/>
      <w:pPr>
        <w:ind w:left="3600" w:hanging="360"/>
      </w:pPr>
    </w:lvl>
    <w:lvl w:ilvl="5" w:tplc="4E600FD2">
      <w:start w:val="1"/>
      <w:numFmt w:val="lowerRoman"/>
      <w:lvlText w:val="%6."/>
      <w:lvlJc w:val="right"/>
      <w:pPr>
        <w:ind w:left="4320" w:hanging="180"/>
      </w:pPr>
    </w:lvl>
    <w:lvl w:ilvl="6" w:tplc="5CDE2EE8">
      <w:start w:val="1"/>
      <w:numFmt w:val="decimal"/>
      <w:lvlText w:val="%7."/>
      <w:lvlJc w:val="left"/>
      <w:pPr>
        <w:ind w:left="5040" w:hanging="360"/>
      </w:pPr>
    </w:lvl>
    <w:lvl w:ilvl="7" w:tplc="CC2C45C2">
      <w:start w:val="1"/>
      <w:numFmt w:val="lowerLetter"/>
      <w:lvlText w:val="%8."/>
      <w:lvlJc w:val="left"/>
      <w:pPr>
        <w:ind w:left="5760" w:hanging="360"/>
      </w:pPr>
    </w:lvl>
    <w:lvl w:ilvl="8" w:tplc="716218EE">
      <w:start w:val="1"/>
      <w:numFmt w:val="lowerRoman"/>
      <w:lvlText w:val="%9."/>
      <w:lvlJc w:val="right"/>
      <w:pPr>
        <w:ind w:left="6480" w:hanging="180"/>
      </w:pPr>
    </w:lvl>
  </w:abstractNum>
  <w:abstractNum w:abstractNumId="1" w15:restartNumberingAfterBreak="0">
    <w:nsid w:val="5A4B2FB3"/>
    <w:multiLevelType w:val="hybridMultilevel"/>
    <w:tmpl w:val="544E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0472113">
    <w:abstractNumId w:val="0"/>
  </w:num>
  <w:num w:numId="2" w16cid:durableId="131140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74AAAE"/>
    <w:rsid w:val="000016E4"/>
    <w:rsid w:val="00025559"/>
    <w:rsid w:val="00042971"/>
    <w:rsid w:val="00045AF7"/>
    <w:rsid w:val="00061CD8"/>
    <w:rsid w:val="000C025E"/>
    <w:rsid w:val="000D5083"/>
    <w:rsid w:val="000F7173"/>
    <w:rsid w:val="001662E5"/>
    <w:rsid w:val="001747CB"/>
    <w:rsid w:val="001917E6"/>
    <w:rsid w:val="001A11EA"/>
    <w:rsid w:val="00200E08"/>
    <w:rsid w:val="00253A20"/>
    <w:rsid w:val="002569A3"/>
    <w:rsid w:val="00266BDD"/>
    <w:rsid w:val="00276281"/>
    <w:rsid w:val="00283DD2"/>
    <w:rsid w:val="00291355"/>
    <w:rsid w:val="002B1A96"/>
    <w:rsid w:val="002B3779"/>
    <w:rsid w:val="002B3968"/>
    <w:rsid w:val="002C0F8E"/>
    <w:rsid w:val="002F15B9"/>
    <w:rsid w:val="00312747"/>
    <w:rsid w:val="0033631E"/>
    <w:rsid w:val="003407E5"/>
    <w:rsid w:val="003517C1"/>
    <w:rsid w:val="003574E0"/>
    <w:rsid w:val="00360881"/>
    <w:rsid w:val="003A58F1"/>
    <w:rsid w:val="003B56A8"/>
    <w:rsid w:val="003B6CD2"/>
    <w:rsid w:val="003D281D"/>
    <w:rsid w:val="003E06D0"/>
    <w:rsid w:val="003F0114"/>
    <w:rsid w:val="003F17DF"/>
    <w:rsid w:val="0040704F"/>
    <w:rsid w:val="00457953"/>
    <w:rsid w:val="0047104E"/>
    <w:rsid w:val="004D2C20"/>
    <w:rsid w:val="005224C9"/>
    <w:rsid w:val="005619D1"/>
    <w:rsid w:val="00571265"/>
    <w:rsid w:val="00582C15"/>
    <w:rsid w:val="00584035"/>
    <w:rsid w:val="005C56A5"/>
    <w:rsid w:val="005F0094"/>
    <w:rsid w:val="0063116A"/>
    <w:rsid w:val="0066180C"/>
    <w:rsid w:val="00676F62"/>
    <w:rsid w:val="006A2A7B"/>
    <w:rsid w:val="006B110C"/>
    <w:rsid w:val="006B1951"/>
    <w:rsid w:val="006B4B55"/>
    <w:rsid w:val="006B69C1"/>
    <w:rsid w:val="006C4630"/>
    <w:rsid w:val="006F1CEC"/>
    <w:rsid w:val="007369B5"/>
    <w:rsid w:val="00751D0E"/>
    <w:rsid w:val="0075692B"/>
    <w:rsid w:val="00760EA1"/>
    <w:rsid w:val="007768E0"/>
    <w:rsid w:val="007A2161"/>
    <w:rsid w:val="008064CD"/>
    <w:rsid w:val="0081227D"/>
    <w:rsid w:val="00814511"/>
    <w:rsid w:val="00850524"/>
    <w:rsid w:val="00872EF1"/>
    <w:rsid w:val="00882DE3"/>
    <w:rsid w:val="008D7752"/>
    <w:rsid w:val="008F2EA7"/>
    <w:rsid w:val="009135BC"/>
    <w:rsid w:val="00936000"/>
    <w:rsid w:val="009836F0"/>
    <w:rsid w:val="00992CE1"/>
    <w:rsid w:val="00997E1A"/>
    <w:rsid w:val="009A1960"/>
    <w:rsid w:val="009A54A7"/>
    <w:rsid w:val="009D19C9"/>
    <w:rsid w:val="00A10A57"/>
    <w:rsid w:val="00A11EBC"/>
    <w:rsid w:val="00A4382D"/>
    <w:rsid w:val="00A7792A"/>
    <w:rsid w:val="00A97C0A"/>
    <w:rsid w:val="00AC1AEB"/>
    <w:rsid w:val="00AC6432"/>
    <w:rsid w:val="00AD680E"/>
    <w:rsid w:val="00AF3EE6"/>
    <w:rsid w:val="00B22A73"/>
    <w:rsid w:val="00B91BCE"/>
    <w:rsid w:val="00BA7185"/>
    <w:rsid w:val="00BB086F"/>
    <w:rsid w:val="00BC2C55"/>
    <w:rsid w:val="00BC3EA2"/>
    <w:rsid w:val="00BC4F46"/>
    <w:rsid w:val="00BD743C"/>
    <w:rsid w:val="00C07D7D"/>
    <w:rsid w:val="00C10003"/>
    <w:rsid w:val="00C306F1"/>
    <w:rsid w:val="00C415DF"/>
    <w:rsid w:val="00C63F2B"/>
    <w:rsid w:val="00C73EA5"/>
    <w:rsid w:val="00C9297D"/>
    <w:rsid w:val="00C941F0"/>
    <w:rsid w:val="00CB44E2"/>
    <w:rsid w:val="00CC330B"/>
    <w:rsid w:val="00CE7E0B"/>
    <w:rsid w:val="00D15105"/>
    <w:rsid w:val="00D41860"/>
    <w:rsid w:val="00D5479F"/>
    <w:rsid w:val="00D5737A"/>
    <w:rsid w:val="00D67CCB"/>
    <w:rsid w:val="00D7622C"/>
    <w:rsid w:val="00D81F36"/>
    <w:rsid w:val="00D834B4"/>
    <w:rsid w:val="00D959CC"/>
    <w:rsid w:val="00DA738F"/>
    <w:rsid w:val="00DC25FC"/>
    <w:rsid w:val="00DC69FD"/>
    <w:rsid w:val="00DE338D"/>
    <w:rsid w:val="00E10DB0"/>
    <w:rsid w:val="00E1435C"/>
    <w:rsid w:val="00E33876"/>
    <w:rsid w:val="00E3AFAA"/>
    <w:rsid w:val="00E5241D"/>
    <w:rsid w:val="00E75089"/>
    <w:rsid w:val="00E77486"/>
    <w:rsid w:val="00E82653"/>
    <w:rsid w:val="00F16F30"/>
    <w:rsid w:val="00F35FF1"/>
    <w:rsid w:val="00F47B37"/>
    <w:rsid w:val="00F56A22"/>
    <w:rsid w:val="00F818BB"/>
    <w:rsid w:val="00F93BEA"/>
    <w:rsid w:val="00FE0A43"/>
    <w:rsid w:val="00FF7D3A"/>
    <w:rsid w:val="01B38EE0"/>
    <w:rsid w:val="02FB3B31"/>
    <w:rsid w:val="0310D695"/>
    <w:rsid w:val="034BA425"/>
    <w:rsid w:val="0350BC79"/>
    <w:rsid w:val="036BB524"/>
    <w:rsid w:val="037DD6AD"/>
    <w:rsid w:val="03D2D9CF"/>
    <w:rsid w:val="041615D3"/>
    <w:rsid w:val="04358E46"/>
    <w:rsid w:val="0444B7D4"/>
    <w:rsid w:val="0496AFF2"/>
    <w:rsid w:val="04ABE8CE"/>
    <w:rsid w:val="04D50FF2"/>
    <w:rsid w:val="05FC3F10"/>
    <w:rsid w:val="06403DD7"/>
    <w:rsid w:val="06684887"/>
    <w:rsid w:val="06881DEC"/>
    <w:rsid w:val="06A29B7A"/>
    <w:rsid w:val="0733B191"/>
    <w:rsid w:val="074943C3"/>
    <w:rsid w:val="076CE9E8"/>
    <w:rsid w:val="0806FA3E"/>
    <w:rsid w:val="0829F67C"/>
    <w:rsid w:val="08721754"/>
    <w:rsid w:val="087E8B9A"/>
    <w:rsid w:val="08D78F2D"/>
    <w:rsid w:val="0900BFAF"/>
    <w:rsid w:val="09407C6A"/>
    <w:rsid w:val="095E21A3"/>
    <w:rsid w:val="095F364E"/>
    <w:rsid w:val="096C2752"/>
    <w:rsid w:val="09BCB9A7"/>
    <w:rsid w:val="09FFD7BB"/>
    <w:rsid w:val="0A59E2EE"/>
    <w:rsid w:val="0AD08706"/>
    <w:rsid w:val="0AEAC28E"/>
    <w:rsid w:val="0B7C1326"/>
    <w:rsid w:val="0BFFD0F3"/>
    <w:rsid w:val="0C6FBBAD"/>
    <w:rsid w:val="0C8EADA1"/>
    <w:rsid w:val="0C92E4C6"/>
    <w:rsid w:val="0C93E08B"/>
    <w:rsid w:val="0CD47B43"/>
    <w:rsid w:val="0D2FE8AD"/>
    <w:rsid w:val="0DD220FE"/>
    <w:rsid w:val="0E3B6173"/>
    <w:rsid w:val="0E5F122B"/>
    <w:rsid w:val="0E6DB83E"/>
    <w:rsid w:val="0F132611"/>
    <w:rsid w:val="0F154295"/>
    <w:rsid w:val="0F50EF33"/>
    <w:rsid w:val="0FA6FAD9"/>
    <w:rsid w:val="0FD577F0"/>
    <w:rsid w:val="1009FDC0"/>
    <w:rsid w:val="101E5D4E"/>
    <w:rsid w:val="102C2510"/>
    <w:rsid w:val="102F1AFB"/>
    <w:rsid w:val="109F959A"/>
    <w:rsid w:val="10C5537D"/>
    <w:rsid w:val="10E254B6"/>
    <w:rsid w:val="11F4FE28"/>
    <w:rsid w:val="12278A2D"/>
    <w:rsid w:val="1280A8E1"/>
    <w:rsid w:val="12864FF3"/>
    <w:rsid w:val="13E3028E"/>
    <w:rsid w:val="14AAA04D"/>
    <w:rsid w:val="1544ADEA"/>
    <w:rsid w:val="154AB47B"/>
    <w:rsid w:val="15950587"/>
    <w:rsid w:val="15D4A4DA"/>
    <w:rsid w:val="15F9C139"/>
    <w:rsid w:val="15FE87F1"/>
    <w:rsid w:val="16025E3E"/>
    <w:rsid w:val="16404B5F"/>
    <w:rsid w:val="1716D55B"/>
    <w:rsid w:val="1774AAAE"/>
    <w:rsid w:val="1791DC03"/>
    <w:rsid w:val="17FE5248"/>
    <w:rsid w:val="18AD9403"/>
    <w:rsid w:val="18BCD499"/>
    <w:rsid w:val="19C0F1F6"/>
    <w:rsid w:val="1A679224"/>
    <w:rsid w:val="1A71966E"/>
    <w:rsid w:val="1AEA3453"/>
    <w:rsid w:val="1B20D51A"/>
    <w:rsid w:val="1B275878"/>
    <w:rsid w:val="1B584820"/>
    <w:rsid w:val="1BDCAD00"/>
    <w:rsid w:val="1C072C7D"/>
    <w:rsid w:val="1C53CC67"/>
    <w:rsid w:val="1CCC5306"/>
    <w:rsid w:val="1CE567D7"/>
    <w:rsid w:val="1DA327B9"/>
    <w:rsid w:val="1DA3B681"/>
    <w:rsid w:val="1DA3CAB7"/>
    <w:rsid w:val="1DFF066D"/>
    <w:rsid w:val="1E128A92"/>
    <w:rsid w:val="1EF062C5"/>
    <w:rsid w:val="1FEC38DE"/>
    <w:rsid w:val="2015F243"/>
    <w:rsid w:val="2024D0C6"/>
    <w:rsid w:val="2048C21D"/>
    <w:rsid w:val="21412CF0"/>
    <w:rsid w:val="214495DB"/>
    <w:rsid w:val="221FCE2F"/>
    <w:rsid w:val="23CC9379"/>
    <w:rsid w:val="240223A7"/>
    <w:rsid w:val="2437F195"/>
    <w:rsid w:val="2449D12C"/>
    <w:rsid w:val="2480EBB7"/>
    <w:rsid w:val="249C926D"/>
    <w:rsid w:val="24D150DB"/>
    <w:rsid w:val="24D74C16"/>
    <w:rsid w:val="24F19D22"/>
    <w:rsid w:val="257E8361"/>
    <w:rsid w:val="25DD0465"/>
    <w:rsid w:val="26081154"/>
    <w:rsid w:val="268B7615"/>
    <w:rsid w:val="26D8FA42"/>
    <w:rsid w:val="275B553B"/>
    <w:rsid w:val="280D4540"/>
    <w:rsid w:val="283927FC"/>
    <w:rsid w:val="2A9DF47C"/>
    <w:rsid w:val="2BD057CF"/>
    <w:rsid w:val="2BE8D3B0"/>
    <w:rsid w:val="2BE9617D"/>
    <w:rsid w:val="2C2A19B6"/>
    <w:rsid w:val="2C937440"/>
    <w:rsid w:val="2D5E00BA"/>
    <w:rsid w:val="2DCDEACF"/>
    <w:rsid w:val="2E189717"/>
    <w:rsid w:val="2E56A275"/>
    <w:rsid w:val="2E5727C5"/>
    <w:rsid w:val="2E88C5CE"/>
    <w:rsid w:val="2ED17CCF"/>
    <w:rsid w:val="2EEE4369"/>
    <w:rsid w:val="2F38B3FA"/>
    <w:rsid w:val="2FA950BF"/>
    <w:rsid w:val="31749642"/>
    <w:rsid w:val="31F61157"/>
    <w:rsid w:val="328381F1"/>
    <w:rsid w:val="32889C3C"/>
    <w:rsid w:val="329E705D"/>
    <w:rsid w:val="32AB9E1C"/>
    <w:rsid w:val="32B61C35"/>
    <w:rsid w:val="32F0D280"/>
    <w:rsid w:val="3398278B"/>
    <w:rsid w:val="34054F55"/>
    <w:rsid w:val="357E646B"/>
    <w:rsid w:val="35DFEEA2"/>
    <w:rsid w:val="366DD604"/>
    <w:rsid w:val="36A67093"/>
    <w:rsid w:val="37016D91"/>
    <w:rsid w:val="37F546A8"/>
    <w:rsid w:val="381A8C78"/>
    <w:rsid w:val="382489C8"/>
    <w:rsid w:val="3887BAAA"/>
    <w:rsid w:val="3901147F"/>
    <w:rsid w:val="39C7354C"/>
    <w:rsid w:val="39D160EA"/>
    <w:rsid w:val="39D3712D"/>
    <w:rsid w:val="39F058A8"/>
    <w:rsid w:val="3A300422"/>
    <w:rsid w:val="3A4A3E21"/>
    <w:rsid w:val="3A96E72A"/>
    <w:rsid w:val="3AA78F60"/>
    <w:rsid w:val="3AD04E79"/>
    <w:rsid w:val="3B139348"/>
    <w:rsid w:val="3B63732B"/>
    <w:rsid w:val="3C1AEE59"/>
    <w:rsid w:val="3CE91658"/>
    <w:rsid w:val="3DEBA602"/>
    <w:rsid w:val="3EFB17DD"/>
    <w:rsid w:val="3F212196"/>
    <w:rsid w:val="404834CE"/>
    <w:rsid w:val="40A3EEC1"/>
    <w:rsid w:val="41005847"/>
    <w:rsid w:val="41242562"/>
    <w:rsid w:val="412B440E"/>
    <w:rsid w:val="416F278E"/>
    <w:rsid w:val="42180501"/>
    <w:rsid w:val="4279DDE9"/>
    <w:rsid w:val="42F10271"/>
    <w:rsid w:val="4350682D"/>
    <w:rsid w:val="436806AB"/>
    <w:rsid w:val="43EECA23"/>
    <w:rsid w:val="4421AA87"/>
    <w:rsid w:val="447CEB37"/>
    <w:rsid w:val="44B4610B"/>
    <w:rsid w:val="465DA065"/>
    <w:rsid w:val="46B700C8"/>
    <w:rsid w:val="46C466C8"/>
    <w:rsid w:val="47097659"/>
    <w:rsid w:val="47CEEC36"/>
    <w:rsid w:val="4810EC60"/>
    <w:rsid w:val="48808B1B"/>
    <w:rsid w:val="4891BF1E"/>
    <w:rsid w:val="489B30F7"/>
    <w:rsid w:val="49AB9677"/>
    <w:rsid w:val="49EC7FF2"/>
    <w:rsid w:val="4AF1BC66"/>
    <w:rsid w:val="4B79A43C"/>
    <w:rsid w:val="4BFE6CE0"/>
    <w:rsid w:val="4C397CBC"/>
    <w:rsid w:val="4DC5EF20"/>
    <w:rsid w:val="4DDDE042"/>
    <w:rsid w:val="4DF09901"/>
    <w:rsid w:val="4DFE0110"/>
    <w:rsid w:val="4E3FF5A8"/>
    <w:rsid w:val="4E8E4441"/>
    <w:rsid w:val="4EB4A3AE"/>
    <w:rsid w:val="4EED629D"/>
    <w:rsid w:val="4F387CE2"/>
    <w:rsid w:val="4F389E66"/>
    <w:rsid w:val="4F5210AB"/>
    <w:rsid w:val="4F771C82"/>
    <w:rsid w:val="4FC2152B"/>
    <w:rsid w:val="500E5AAC"/>
    <w:rsid w:val="50148F1F"/>
    <w:rsid w:val="5093A2B7"/>
    <w:rsid w:val="512875CC"/>
    <w:rsid w:val="52BBD31A"/>
    <w:rsid w:val="52FFC873"/>
    <w:rsid w:val="5387A26C"/>
    <w:rsid w:val="5397B65D"/>
    <w:rsid w:val="53A9ECB3"/>
    <w:rsid w:val="53B14256"/>
    <w:rsid w:val="545A1AAC"/>
    <w:rsid w:val="546AD6D6"/>
    <w:rsid w:val="54C0FEAF"/>
    <w:rsid w:val="55FB70C8"/>
    <w:rsid w:val="56790611"/>
    <w:rsid w:val="56885466"/>
    <w:rsid w:val="5761FC70"/>
    <w:rsid w:val="57A55420"/>
    <w:rsid w:val="57C18105"/>
    <w:rsid w:val="57F78D2B"/>
    <w:rsid w:val="5876C24C"/>
    <w:rsid w:val="58F37A08"/>
    <w:rsid w:val="5916097B"/>
    <w:rsid w:val="591AD79F"/>
    <w:rsid w:val="5937FC95"/>
    <w:rsid w:val="59C9DD10"/>
    <w:rsid w:val="5A0F218E"/>
    <w:rsid w:val="5A2B34E7"/>
    <w:rsid w:val="5A36177E"/>
    <w:rsid w:val="5A88EFA5"/>
    <w:rsid w:val="5AD63FFA"/>
    <w:rsid w:val="5AF3A4C4"/>
    <w:rsid w:val="5B5FAC21"/>
    <w:rsid w:val="5B6E0EAA"/>
    <w:rsid w:val="5BEF2004"/>
    <w:rsid w:val="5C491CB1"/>
    <w:rsid w:val="5CDE7C4A"/>
    <w:rsid w:val="5CE375A8"/>
    <w:rsid w:val="5CFE29A3"/>
    <w:rsid w:val="5D46E3B3"/>
    <w:rsid w:val="5D48D37D"/>
    <w:rsid w:val="5DBDC192"/>
    <w:rsid w:val="5E396DC7"/>
    <w:rsid w:val="5E4144E8"/>
    <w:rsid w:val="5E88F38D"/>
    <w:rsid w:val="5E89E03A"/>
    <w:rsid w:val="5F4D588E"/>
    <w:rsid w:val="5FE23E19"/>
    <w:rsid w:val="6010365E"/>
    <w:rsid w:val="60DA9EDE"/>
    <w:rsid w:val="60F05286"/>
    <w:rsid w:val="611CECF2"/>
    <w:rsid w:val="6163D087"/>
    <w:rsid w:val="61DDA57D"/>
    <w:rsid w:val="62122B0B"/>
    <w:rsid w:val="62336CC5"/>
    <w:rsid w:val="6247EF1F"/>
    <w:rsid w:val="6256929E"/>
    <w:rsid w:val="633C6C85"/>
    <w:rsid w:val="634F1480"/>
    <w:rsid w:val="63F5906D"/>
    <w:rsid w:val="64E8CFB4"/>
    <w:rsid w:val="64F693A9"/>
    <w:rsid w:val="6593A659"/>
    <w:rsid w:val="65959252"/>
    <w:rsid w:val="6728B9EA"/>
    <w:rsid w:val="67B7FEF3"/>
    <w:rsid w:val="67FE9AF0"/>
    <w:rsid w:val="6876909E"/>
    <w:rsid w:val="68D7E2EB"/>
    <w:rsid w:val="68DF458E"/>
    <w:rsid w:val="69A296D3"/>
    <w:rsid w:val="6A38B61E"/>
    <w:rsid w:val="6A5149E5"/>
    <w:rsid w:val="6ADF7336"/>
    <w:rsid w:val="6B2932A5"/>
    <w:rsid w:val="6BB1452C"/>
    <w:rsid w:val="6BCD3FC7"/>
    <w:rsid w:val="6BD98C7F"/>
    <w:rsid w:val="6BFC4AB4"/>
    <w:rsid w:val="6C1FBDC9"/>
    <w:rsid w:val="6CCBB9CB"/>
    <w:rsid w:val="6D0156B2"/>
    <w:rsid w:val="6D22C39A"/>
    <w:rsid w:val="6DB8299D"/>
    <w:rsid w:val="6E5C953F"/>
    <w:rsid w:val="6E71D9E0"/>
    <w:rsid w:val="6EBBFF56"/>
    <w:rsid w:val="6EF21B20"/>
    <w:rsid w:val="6F128256"/>
    <w:rsid w:val="6F2FD5BC"/>
    <w:rsid w:val="6FBE000B"/>
    <w:rsid w:val="6FD24F30"/>
    <w:rsid w:val="703E30F1"/>
    <w:rsid w:val="70628EF8"/>
    <w:rsid w:val="7100DEDB"/>
    <w:rsid w:val="711C5A79"/>
    <w:rsid w:val="71589401"/>
    <w:rsid w:val="7174850D"/>
    <w:rsid w:val="71B45916"/>
    <w:rsid w:val="7231F206"/>
    <w:rsid w:val="725ACCC0"/>
    <w:rsid w:val="727BCC41"/>
    <w:rsid w:val="737A08D5"/>
    <w:rsid w:val="73874EAF"/>
    <w:rsid w:val="73A74844"/>
    <w:rsid w:val="7423B9A8"/>
    <w:rsid w:val="747EF1F9"/>
    <w:rsid w:val="749C592E"/>
    <w:rsid w:val="74C73016"/>
    <w:rsid w:val="74FE72E5"/>
    <w:rsid w:val="7518F15B"/>
    <w:rsid w:val="7522555A"/>
    <w:rsid w:val="75ED837E"/>
    <w:rsid w:val="75F0A307"/>
    <w:rsid w:val="76741CD3"/>
    <w:rsid w:val="7735A352"/>
    <w:rsid w:val="774412B1"/>
    <w:rsid w:val="780728D6"/>
    <w:rsid w:val="78622E55"/>
    <w:rsid w:val="7A19D81D"/>
    <w:rsid w:val="7A949116"/>
    <w:rsid w:val="7AA18784"/>
    <w:rsid w:val="7B0214B6"/>
    <w:rsid w:val="7BBEAA59"/>
    <w:rsid w:val="7BD143A2"/>
    <w:rsid w:val="7C23B93C"/>
    <w:rsid w:val="7C6FA50B"/>
    <w:rsid w:val="7CB6342D"/>
    <w:rsid w:val="7CB762C6"/>
    <w:rsid w:val="7D76C63B"/>
    <w:rsid w:val="7DE20FBC"/>
    <w:rsid w:val="7E0ADCFC"/>
    <w:rsid w:val="7E1DB97F"/>
    <w:rsid w:val="7E95381B"/>
    <w:rsid w:val="7EE14074"/>
    <w:rsid w:val="7F3BCB31"/>
    <w:rsid w:val="7F747A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4AAAE"/>
  <w15:chartTrackingRefBased/>
  <w15:docId w15:val="{782F09E2-A915-4CAD-BA85-5E203F40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72EF1"/>
    <w:pPr>
      <w:spacing w:after="0" w:line="240" w:lineRule="auto"/>
    </w:pPr>
  </w:style>
  <w:style w:type="character" w:styleId="CommentReference">
    <w:name w:val="annotation reference"/>
    <w:basedOn w:val="DefaultParagraphFont"/>
    <w:uiPriority w:val="99"/>
    <w:semiHidden/>
    <w:unhideWhenUsed/>
    <w:rsid w:val="00DC25FC"/>
    <w:rPr>
      <w:sz w:val="16"/>
      <w:szCs w:val="16"/>
    </w:rPr>
  </w:style>
  <w:style w:type="paragraph" w:styleId="CommentText">
    <w:name w:val="annotation text"/>
    <w:basedOn w:val="Normal"/>
    <w:link w:val="CommentTextChar"/>
    <w:uiPriority w:val="99"/>
    <w:unhideWhenUsed/>
    <w:rsid w:val="00DC25FC"/>
    <w:pPr>
      <w:spacing w:line="240" w:lineRule="auto"/>
    </w:pPr>
    <w:rPr>
      <w:sz w:val="20"/>
      <w:szCs w:val="20"/>
    </w:rPr>
  </w:style>
  <w:style w:type="character" w:customStyle="1" w:styleId="CommentTextChar">
    <w:name w:val="Comment Text Char"/>
    <w:basedOn w:val="DefaultParagraphFont"/>
    <w:link w:val="CommentText"/>
    <w:uiPriority w:val="99"/>
    <w:rsid w:val="00DC25FC"/>
    <w:rPr>
      <w:sz w:val="20"/>
      <w:szCs w:val="20"/>
    </w:rPr>
  </w:style>
  <w:style w:type="paragraph" w:styleId="CommentSubject">
    <w:name w:val="annotation subject"/>
    <w:basedOn w:val="CommentText"/>
    <w:next w:val="CommentText"/>
    <w:link w:val="CommentSubjectChar"/>
    <w:uiPriority w:val="99"/>
    <w:semiHidden/>
    <w:unhideWhenUsed/>
    <w:rsid w:val="00DC25FC"/>
    <w:rPr>
      <w:b/>
      <w:bCs/>
    </w:rPr>
  </w:style>
  <w:style w:type="character" w:customStyle="1" w:styleId="CommentSubjectChar">
    <w:name w:val="Comment Subject Char"/>
    <w:basedOn w:val="CommentTextChar"/>
    <w:link w:val="CommentSubject"/>
    <w:uiPriority w:val="99"/>
    <w:semiHidden/>
    <w:rsid w:val="00DC25FC"/>
    <w:rPr>
      <w:b/>
      <w:bCs/>
      <w:sz w:val="20"/>
      <w:szCs w:val="20"/>
    </w:rPr>
  </w:style>
  <w:style w:type="character" w:styleId="Hyperlink">
    <w:name w:val="Hyperlink"/>
    <w:basedOn w:val="DefaultParagraphFont"/>
    <w:uiPriority w:val="99"/>
    <w:unhideWhenUsed/>
    <w:rsid w:val="00A97C0A"/>
    <w:rPr>
      <w:color w:val="467886" w:themeColor="hyperlink"/>
      <w:u w:val="single"/>
    </w:rPr>
  </w:style>
  <w:style w:type="character" w:styleId="UnresolvedMention">
    <w:name w:val="Unresolved Mention"/>
    <w:basedOn w:val="DefaultParagraphFont"/>
    <w:uiPriority w:val="99"/>
    <w:semiHidden/>
    <w:unhideWhenUsed/>
    <w:rsid w:val="0027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Marla</dc:creator>
  <cp:keywords/>
  <dc:description/>
  <cp:lastModifiedBy>Levison, Lara</cp:lastModifiedBy>
  <cp:revision>3</cp:revision>
  <cp:lastPrinted>2024-11-25T18:03:00Z</cp:lastPrinted>
  <dcterms:created xsi:type="dcterms:W3CDTF">2024-11-25T21:40:00Z</dcterms:created>
  <dcterms:modified xsi:type="dcterms:W3CDTF">2024-11-25T21:41:00Z</dcterms:modified>
</cp:coreProperties>
</file>