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5E16B" w14:textId="426F0DBB" w:rsidR="000F2AA9" w:rsidRPr="000F2AA9" w:rsidRDefault="000F2AA9" w:rsidP="000F2AA9">
      <w:pPr>
        <w:spacing w:after="0"/>
        <w:jc w:val="center"/>
        <w:rPr>
          <w:rFonts w:asciiTheme="majorBidi" w:hAnsiTheme="majorBidi" w:cstheme="majorBidi"/>
          <w:b/>
          <w:szCs w:val="24"/>
        </w:rPr>
      </w:pPr>
      <w:r w:rsidRPr="000F2AA9">
        <w:rPr>
          <w:rFonts w:asciiTheme="majorBidi" w:hAnsiTheme="majorBidi" w:cstheme="majorBidi"/>
          <w:b/>
          <w:szCs w:val="24"/>
        </w:rPr>
        <w:t>DRAFT</w:t>
      </w:r>
    </w:p>
    <w:p w14:paraId="21058556" w14:textId="77777777" w:rsidR="000F2AA9" w:rsidRDefault="000F2AA9" w:rsidP="00ED710D">
      <w:pPr>
        <w:spacing w:after="0"/>
        <w:rPr>
          <w:rFonts w:asciiTheme="majorBidi" w:hAnsiTheme="majorBidi" w:cstheme="majorBidi"/>
          <w:szCs w:val="24"/>
        </w:rPr>
      </w:pPr>
    </w:p>
    <w:p w14:paraId="1552C6D7" w14:textId="5EFCDD21" w:rsidR="00ED710D" w:rsidRPr="002F64A6" w:rsidRDefault="001A09D4" w:rsidP="00ED710D">
      <w:pPr>
        <w:spacing w:after="0"/>
        <w:rPr>
          <w:rFonts w:asciiTheme="majorBidi" w:hAnsiTheme="majorBidi" w:cstheme="majorBidi"/>
          <w:szCs w:val="24"/>
        </w:rPr>
      </w:pPr>
      <w:r>
        <w:rPr>
          <w:rFonts w:asciiTheme="majorBidi" w:hAnsiTheme="majorBidi" w:cstheme="majorBidi"/>
          <w:szCs w:val="24"/>
        </w:rPr>
        <w:t>July [</w:t>
      </w:r>
      <w:proofErr w:type="spellStart"/>
      <w:r>
        <w:rPr>
          <w:rFonts w:asciiTheme="majorBidi" w:hAnsiTheme="majorBidi" w:cstheme="majorBidi"/>
          <w:szCs w:val="24"/>
        </w:rPr>
        <w:t>tk</w:t>
      </w:r>
      <w:proofErr w:type="spellEnd"/>
      <w:r>
        <w:rPr>
          <w:rFonts w:asciiTheme="majorBidi" w:hAnsiTheme="majorBidi" w:cstheme="majorBidi"/>
          <w:szCs w:val="24"/>
        </w:rPr>
        <w:t>]</w:t>
      </w:r>
      <w:r w:rsidR="00ED710D" w:rsidRPr="002F64A6">
        <w:rPr>
          <w:rFonts w:asciiTheme="majorBidi" w:hAnsiTheme="majorBidi" w:cstheme="majorBidi"/>
          <w:szCs w:val="24"/>
        </w:rPr>
        <w:t>, 2018</w:t>
      </w:r>
    </w:p>
    <w:p w14:paraId="23A2D5FD" w14:textId="77777777" w:rsidR="00ED710D" w:rsidRPr="002F64A6" w:rsidRDefault="00ED710D" w:rsidP="00ED710D">
      <w:pPr>
        <w:spacing w:after="0"/>
        <w:rPr>
          <w:rFonts w:asciiTheme="majorBidi" w:hAnsiTheme="majorBidi" w:cstheme="majorBidi"/>
          <w:szCs w:val="24"/>
        </w:rPr>
      </w:pPr>
    </w:p>
    <w:p w14:paraId="38F80102"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Loren </w:t>
      </w:r>
      <w:proofErr w:type="spellStart"/>
      <w:r w:rsidRPr="002F64A6">
        <w:rPr>
          <w:rFonts w:asciiTheme="majorBidi" w:hAnsiTheme="majorBidi" w:cstheme="majorBidi"/>
          <w:szCs w:val="24"/>
        </w:rPr>
        <w:t>Sweatt</w:t>
      </w:r>
      <w:proofErr w:type="spellEnd"/>
    </w:p>
    <w:p w14:paraId="1D4B891D"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Acting Assistant Secretary of Labor for Occupational Safety and Health</w:t>
      </w:r>
    </w:p>
    <w:p w14:paraId="75D7D9C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U.S. Department of Labor</w:t>
      </w:r>
    </w:p>
    <w:p w14:paraId="74CA82A1"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200 Constitution Ave. NW </w:t>
      </w:r>
    </w:p>
    <w:p w14:paraId="18024484"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Washington, D.C. 20210</w:t>
      </w:r>
    </w:p>
    <w:p w14:paraId="2A0B3054" w14:textId="49D9C2A5" w:rsidR="00ED710D" w:rsidRPr="002F64A6" w:rsidRDefault="00ED710D" w:rsidP="00ED710D">
      <w:pPr>
        <w:spacing w:after="0"/>
        <w:rPr>
          <w:rFonts w:asciiTheme="majorBidi" w:hAnsiTheme="majorBidi" w:cstheme="majorBidi"/>
          <w:szCs w:val="24"/>
        </w:rPr>
      </w:pPr>
    </w:p>
    <w:p w14:paraId="0A49DF16" w14:textId="77777777" w:rsidR="00ED710D" w:rsidRPr="002F64A6" w:rsidRDefault="00ED710D" w:rsidP="00ED710D">
      <w:pPr>
        <w:spacing w:after="0"/>
        <w:rPr>
          <w:rFonts w:asciiTheme="majorBidi" w:hAnsiTheme="majorBidi" w:cstheme="majorBidi"/>
          <w:szCs w:val="24"/>
        </w:rPr>
      </w:pPr>
      <w:r w:rsidRPr="002F64A6">
        <w:rPr>
          <w:rFonts w:asciiTheme="majorBidi" w:hAnsiTheme="majorBidi" w:cstheme="majorBidi"/>
          <w:szCs w:val="24"/>
        </w:rPr>
        <w:t xml:space="preserve">Dear Ms. </w:t>
      </w:r>
      <w:proofErr w:type="spellStart"/>
      <w:r w:rsidRPr="002F64A6">
        <w:rPr>
          <w:rFonts w:asciiTheme="majorBidi" w:hAnsiTheme="majorBidi" w:cstheme="majorBidi"/>
          <w:szCs w:val="24"/>
        </w:rPr>
        <w:t>Sweatt</w:t>
      </w:r>
      <w:proofErr w:type="spellEnd"/>
      <w:r w:rsidRPr="002F64A6">
        <w:rPr>
          <w:rFonts w:asciiTheme="majorBidi" w:hAnsiTheme="majorBidi" w:cstheme="majorBidi"/>
          <w:szCs w:val="24"/>
        </w:rPr>
        <w:t>,</w:t>
      </w:r>
    </w:p>
    <w:p w14:paraId="4EFFF6EE" w14:textId="77777777" w:rsidR="00ED710D" w:rsidRPr="002F64A6" w:rsidRDefault="00ED710D" w:rsidP="00ED710D">
      <w:pPr>
        <w:spacing w:after="0"/>
        <w:rPr>
          <w:rFonts w:asciiTheme="majorBidi" w:hAnsiTheme="majorBidi" w:cstheme="majorBidi"/>
          <w:szCs w:val="24"/>
        </w:rPr>
      </w:pPr>
    </w:p>
    <w:p w14:paraId="4CB0DB2E" w14:textId="54E141DA" w:rsidR="00ED710D" w:rsidRPr="002F64A6" w:rsidRDefault="00ED710D" w:rsidP="00ED710D">
      <w:r w:rsidRPr="002F64A6">
        <w:t xml:space="preserve">Public Citizen, a consumer and health advocacy group </w:t>
      </w:r>
      <w:r w:rsidR="00FD3884" w:rsidRPr="002F64A6">
        <w:t xml:space="preserve">with </w:t>
      </w:r>
      <w:r w:rsidRPr="002F64A6">
        <w:t xml:space="preserve">more </w:t>
      </w:r>
      <w:r w:rsidR="00BD3AEC">
        <w:t>than</w:t>
      </w:r>
      <w:r w:rsidR="00A168E9">
        <w:t xml:space="preserve"> </w:t>
      </w:r>
      <w:r w:rsidRPr="002F64A6">
        <w:t>400,000 me</w:t>
      </w:r>
      <w:r w:rsidR="00FC38DA">
        <w:t>mbers and supporters nationwide,</w:t>
      </w:r>
      <w:r w:rsidRPr="002F64A6">
        <w:t xml:space="preserve"> </w:t>
      </w:r>
      <w:r w:rsidR="00677405">
        <w:t xml:space="preserve">Farmworker Justice, </w:t>
      </w:r>
      <w:r w:rsidR="00ED6BAD">
        <w:t>United Farm</w:t>
      </w:r>
      <w:r w:rsidR="0059453B">
        <w:t xml:space="preserve"> W</w:t>
      </w:r>
      <w:r w:rsidR="00ED6BAD">
        <w:t xml:space="preserve">orkers, </w:t>
      </w:r>
      <w:r w:rsidR="00545E17">
        <w:t>[</w:t>
      </w:r>
      <w:proofErr w:type="spellStart"/>
      <w:r w:rsidR="00545E17">
        <w:t>tk</w:t>
      </w:r>
      <w:proofErr w:type="spellEnd"/>
      <w:r w:rsidR="00545E17">
        <w:t xml:space="preserve"> add others]</w:t>
      </w:r>
      <w:r w:rsidR="00ED6BAD">
        <w:t>,</w:t>
      </w:r>
      <w:r w:rsidRPr="002F64A6">
        <w:t xml:space="preserve"> hereby petition the Occupational Safety and Health Administration (OSHA), pursuant to section 6(c) of the Occupational Safety and Health Act, 29 U.S.C. § 655(c), to initiate the rulemaking process for </w:t>
      </w:r>
      <w:r w:rsidR="003A282B" w:rsidRPr="002F64A6">
        <w:t>the first national</w:t>
      </w:r>
      <w:r w:rsidRPr="002F64A6">
        <w:t xml:space="preserve"> standard that would protect U.S. workers f</w:t>
      </w:r>
      <w:r w:rsidR="006141CD">
        <w:t>rom the dangers of heat stress.</w:t>
      </w:r>
    </w:p>
    <w:p w14:paraId="37D561EE" w14:textId="41DF6F81" w:rsidR="00ED710D" w:rsidRPr="002F64A6" w:rsidRDefault="00ED710D" w:rsidP="00ED710D">
      <w:r w:rsidRPr="002F64A6">
        <w:t xml:space="preserve">It is now more than 47 years since OSHA went into effect and </w:t>
      </w:r>
      <w:r w:rsidR="003A282B" w:rsidRPr="002F64A6">
        <w:t xml:space="preserve">three </w:t>
      </w:r>
      <w:r w:rsidRPr="002F64A6">
        <w:t>states with their own state OSHA plans</w:t>
      </w:r>
      <w:r w:rsidR="002030DC" w:rsidRPr="002F64A6">
        <w:t>—</w:t>
      </w:r>
      <w:r w:rsidRPr="002F64A6">
        <w:t>California, Washington and Minnesota</w:t>
      </w:r>
      <w:r w:rsidR="002030DC" w:rsidRPr="002F64A6">
        <w:t>—</w:t>
      </w:r>
      <w:r w:rsidRPr="002F64A6">
        <w:t xml:space="preserve">have implemented some form of protective heat standards for their workers. But </w:t>
      </w:r>
      <w:r w:rsidR="007B0784" w:rsidRPr="002F64A6">
        <w:t>approximately</w:t>
      </w:r>
      <w:r w:rsidRPr="002F64A6">
        <w:t xml:space="preserve"> </w:t>
      </w:r>
      <w:r w:rsidR="007B0784" w:rsidRPr="002F64A6">
        <w:t>130</w:t>
      </w:r>
      <w:r w:rsidRPr="002F64A6">
        <w:t xml:space="preserve"> million workers in the rest of the country</w:t>
      </w:r>
      <w:r w:rsidR="00F47E81" w:rsidRPr="002F64A6">
        <w:t xml:space="preserve"> </w:t>
      </w:r>
      <w:r w:rsidRPr="002F64A6">
        <w:t>have no protection from a national OSHA heat standard.</w:t>
      </w:r>
      <w:r w:rsidR="00EB0067" w:rsidRPr="002F64A6">
        <w:t xml:space="preserve"> </w:t>
      </w:r>
      <w:r w:rsidR="006A5E35" w:rsidRPr="002F64A6">
        <w:t>The National Institute for Occupational Safety and Health (</w:t>
      </w:r>
      <w:r w:rsidR="00EB0067" w:rsidRPr="002F64A6">
        <w:t>NIOSH</w:t>
      </w:r>
      <w:r w:rsidR="006A5E35" w:rsidRPr="002F64A6">
        <w:t>)</w:t>
      </w:r>
      <w:r w:rsidR="00A426A0" w:rsidRPr="002F64A6">
        <w:t>, a component of the Centers for Disease Control and Prevention that provides research-based evidence to support OSHA</w:t>
      </w:r>
      <w:r w:rsidR="00DB23CF">
        <w:t>’</w:t>
      </w:r>
      <w:r w:rsidR="00A426A0" w:rsidRPr="002F64A6">
        <w:t>s regulatory mission,</w:t>
      </w:r>
      <w:r w:rsidR="00EB0067" w:rsidRPr="002F64A6">
        <w:t xml:space="preserve"> explain</w:t>
      </w:r>
      <w:r w:rsidR="00A426A0" w:rsidRPr="002F64A6">
        <w:t xml:space="preserve">ed </w:t>
      </w:r>
      <w:r w:rsidR="00EB0067" w:rsidRPr="002F64A6">
        <w:t>it is generally estimated that 2</w:t>
      </w:r>
      <w:r w:rsidR="00A426A0" w:rsidRPr="002F64A6">
        <w:t xml:space="preserve"> </w:t>
      </w:r>
      <w:r w:rsidR="00433B3C" w:rsidRPr="002F64A6">
        <w:t>in</w:t>
      </w:r>
      <w:r w:rsidR="00A426A0" w:rsidRPr="002F64A6">
        <w:t xml:space="preserve"> </w:t>
      </w:r>
      <w:r w:rsidR="00EB0067" w:rsidRPr="002F64A6">
        <w:t>1000 workers are at risk for heat stress.</w:t>
      </w:r>
      <w:r w:rsidR="00903A63" w:rsidRPr="002F64A6">
        <w:rPr>
          <w:rStyle w:val="FootnoteReference"/>
        </w:rPr>
        <w:footnoteReference w:id="1"/>
      </w:r>
      <w:r w:rsidR="00EB0067" w:rsidRPr="002F64A6">
        <w:t xml:space="preserve"> </w:t>
      </w:r>
      <w:r w:rsidR="00012E11" w:rsidRPr="002F64A6">
        <w:t xml:space="preserve">This suggests that approximately </w:t>
      </w:r>
      <w:r w:rsidR="007B0784" w:rsidRPr="002F64A6">
        <w:t>26</w:t>
      </w:r>
      <w:r w:rsidR="00A426A0" w:rsidRPr="002F64A6">
        <w:t>0</w:t>
      </w:r>
      <w:r w:rsidR="00012E11" w:rsidRPr="002F64A6">
        <w:t>,000 workers outside of California, Washington, and Minnesota are at risk with no standard in place to protect them.</w:t>
      </w:r>
    </w:p>
    <w:p w14:paraId="101AC8B9" w14:textId="3A16732F" w:rsidR="00ED710D" w:rsidRPr="002F64A6" w:rsidRDefault="00ED710D" w:rsidP="00ED710D">
      <w:r w:rsidRPr="002F64A6">
        <w:t>The proposed standard should include the following elements, based largely on NIOSH</w:t>
      </w:r>
      <w:r w:rsidR="00DB23CF">
        <w:t>’</w:t>
      </w:r>
      <w:r w:rsidRPr="002F64A6">
        <w:t xml:space="preserve">s latest </w:t>
      </w:r>
      <w:r w:rsidR="00C40816" w:rsidRPr="002F64A6">
        <w:t xml:space="preserve">(2016) </w:t>
      </w:r>
      <w:r w:rsidRPr="002F64A6">
        <w:t xml:space="preserve">iteration of its </w:t>
      </w:r>
      <w:r w:rsidR="00861B97" w:rsidRPr="002F64A6">
        <w:t>c</w:t>
      </w:r>
      <w:r w:rsidRPr="002F64A6">
        <w:t xml:space="preserve">riteria for a </w:t>
      </w:r>
      <w:r w:rsidR="00861B97" w:rsidRPr="002F64A6">
        <w:t>r</w:t>
      </w:r>
      <w:r w:rsidRPr="002F64A6">
        <w:t xml:space="preserve">ecommended </w:t>
      </w:r>
      <w:r w:rsidR="00861B97" w:rsidRPr="002F64A6">
        <w:t>s</w:t>
      </w:r>
      <w:r w:rsidRPr="002F64A6">
        <w:t xml:space="preserve">tandard for </w:t>
      </w:r>
      <w:r w:rsidR="00861B97" w:rsidRPr="002F64A6">
        <w:t>occupational exposure to heat and hot environments</w:t>
      </w:r>
      <w:r w:rsidRPr="002F64A6">
        <w:t>:</w:t>
      </w:r>
      <w:r w:rsidRPr="002F64A6">
        <w:rPr>
          <w:rStyle w:val="FootnoteReference"/>
          <w:rFonts w:asciiTheme="majorBidi" w:hAnsiTheme="majorBidi" w:cstheme="majorBidi"/>
          <w:szCs w:val="24"/>
        </w:rPr>
        <w:footnoteReference w:id="2"/>
      </w:r>
    </w:p>
    <w:p w14:paraId="6E930BD7" w14:textId="621672AD" w:rsidR="00ED710D" w:rsidRPr="002F64A6" w:rsidRDefault="00ED710D" w:rsidP="00ED710D">
      <w:pPr>
        <w:pStyle w:val="Bullet1"/>
        <w:rPr>
          <w:b/>
          <w:u w:val="single"/>
        </w:rPr>
      </w:pPr>
      <w:r w:rsidRPr="002F64A6">
        <w:rPr>
          <w:b/>
          <w:u w:val="single"/>
        </w:rPr>
        <w:t>Heat stress thresholds</w:t>
      </w:r>
      <w:r w:rsidRPr="002F64A6">
        <w:t>: At NIOSH</w:t>
      </w:r>
      <w:r w:rsidR="00DB23CF">
        <w:t>’</w:t>
      </w:r>
      <w:r w:rsidRPr="002F64A6">
        <w:t>s Recommended Exposure Limit (REL) for acclimatized workers and Recommended Alert Limit (RAL) for unacclimatized workers, employers would be required to initiate robust protective measures. These include:</w:t>
      </w:r>
    </w:p>
    <w:p w14:paraId="1A3A1E82" w14:textId="5D1609DB" w:rsidR="00ED710D" w:rsidRPr="002F64A6" w:rsidRDefault="00ED710D" w:rsidP="00ED710D">
      <w:pPr>
        <w:pStyle w:val="Bullet2"/>
        <w:rPr>
          <w:b/>
          <w:u w:val="single"/>
        </w:rPr>
      </w:pPr>
      <w:r w:rsidRPr="002F64A6">
        <w:rPr>
          <w:b/>
          <w:u w:val="single"/>
        </w:rPr>
        <w:lastRenderedPageBreak/>
        <w:t>Mandatory rest breaks</w:t>
      </w:r>
      <w:r w:rsidRPr="002F64A6">
        <w:t xml:space="preserve">: These should range in duration from 15 to 45 minutes per </w:t>
      </w:r>
      <w:r w:rsidRPr="008B36E0">
        <w:t xml:space="preserve">hour, </w:t>
      </w:r>
      <w:r w:rsidR="003A282B" w:rsidRPr="008B36E0">
        <w:t xml:space="preserve">depending on the </w:t>
      </w:r>
      <w:r w:rsidR="000D7F06" w:rsidRPr="008B36E0">
        <w:t xml:space="preserve">work-place </w:t>
      </w:r>
      <w:r w:rsidR="003A282B" w:rsidRPr="008B36E0">
        <w:t>temperature,</w:t>
      </w:r>
      <w:r w:rsidR="008B36E0">
        <w:t xml:space="preserve"> </w:t>
      </w:r>
      <w:r w:rsidRPr="008B36E0">
        <w:t xml:space="preserve">away from </w:t>
      </w:r>
      <w:r w:rsidRPr="002F64A6">
        <w:t>the hot environment. At certain wet-bulb globe temperatures, work must be stopped entirely.</w:t>
      </w:r>
    </w:p>
    <w:p w14:paraId="42B12E2E" w14:textId="12815762" w:rsidR="00ED710D" w:rsidRPr="002F64A6" w:rsidRDefault="000D7F06" w:rsidP="00ED710D">
      <w:pPr>
        <w:pStyle w:val="Bullet2"/>
        <w:rPr>
          <w:b/>
          <w:u w:val="single"/>
        </w:rPr>
      </w:pPr>
      <w:r w:rsidRPr="002F64A6">
        <w:rPr>
          <w:b/>
          <w:u w:val="single"/>
        </w:rPr>
        <w:t>Personal protective equipment (</w:t>
      </w:r>
      <w:r w:rsidR="00ED710D" w:rsidRPr="002F64A6">
        <w:rPr>
          <w:b/>
          <w:u w:val="single"/>
        </w:rPr>
        <w:t>PPE</w:t>
      </w:r>
      <w:r w:rsidRPr="002F64A6">
        <w:rPr>
          <w:b/>
          <w:u w:val="single"/>
        </w:rPr>
        <w:t>)</w:t>
      </w:r>
      <w:r w:rsidR="00ED710D" w:rsidRPr="002F64A6">
        <w:t>: At all times when total heat stress load reaches the RAL</w:t>
      </w:r>
      <w:r w:rsidRPr="002F64A6">
        <w:t xml:space="preserve"> </w:t>
      </w:r>
      <w:r w:rsidR="00C40816" w:rsidRPr="002F64A6">
        <w:t xml:space="preserve">or </w:t>
      </w:r>
      <w:r w:rsidR="00ED710D" w:rsidRPr="002F64A6">
        <w:t>REL, especially during mandatory rest breaks, employers must provide PPE (e.g., water-cooled garments, air-cooled garments, or cooling vests) to protect workers from heat-related illness.</w:t>
      </w:r>
    </w:p>
    <w:p w14:paraId="22456318" w14:textId="7F162E1A" w:rsidR="00ED710D" w:rsidRPr="002F64A6" w:rsidRDefault="000021E8" w:rsidP="00ED710D">
      <w:pPr>
        <w:pStyle w:val="Bullet2"/>
        <w:rPr>
          <w:b/>
          <w:u w:val="single"/>
        </w:rPr>
      </w:pPr>
      <w:r w:rsidRPr="002F64A6">
        <w:rPr>
          <w:b/>
          <w:u w:val="single"/>
        </w:rPr>
        <w:t>S</w:t>
      </w:r>
      <w:r w:rsidR="00ED710D" w:rsidRPr="002F64A6">
        <w:rPr>
          <w:b/>
          <w:u w:val="single"/>
        </w:rPr>
        <w:t>hade</w:t>
      </w:r>
      <w:r w:rsidR="00ED710D" w:rsidRPr="002F64A6">
        <w:t xml:space="preserve">: In outdoor environments, employers must provide access to sufficient areas of shade during the rest breaks. In addition, shaded areas </w:t>
      </w:r>
      <w:r w:rsidR="00C562C3">
        <w:t xml:space="preserve">should </w:t>
      </w:r>
      <w:r w:rsidR="00ED710D" w:rsidRPr="002F64A6">
        <w:t>be provided to all workers upon request.</w:t>
      </w:r>
    </w:p>
    <w:p w14:paraId="5AF75507" w14:textId="1092FE3B" w:rsidR="00ED710D" w:rsidRPr="002F64A6" w:rsidRDefault="00ED710D" w:rsidP="00ED710D">
      <w:pPr>
        <w:pStyle w:val="Bullet1"/>
        <w:rPr>
          <w:b/>
          <w:u w:val="single"/>
        </w:rPr>
      </w:pPr>
      <w:r w:rsidRPr="002F64A6">
        <w:rPr>
          <w:b/>
          <w:u w:val="single"/>
        </w:rPr>
        <w:t>Hydration</w:t>
      </w:r>
      <w:r w:rsidRPr="002F64A6">
        <w:rPr>
          <w:b/>
        </w:rPr>
        <w:t>:</w:t>
      </w:r>
      <w:r w:rsidRPr="002F64A6">
        <w:t xml:space="preserve"> Workers must be given access</w:t>
      </w:r>
      <w:r w:rsidR="006141CD">
        <w:t>—</w:t>
      </w:r>
      <w:r w:rsidRPr="002F64A6">
        <w:t>at no cost to themselves</w:t>
      </w:r>
      <w:r w:rsidR="006141CD">
        <w:t>—</w:t>
      </w:r>
      <w:r w:rsidRPr="002F64A6">
        <w:t>to recommended quantities of water and electrolytes sufficient to maintain adequate levels of hydration at varying levels of heat.</w:t>
      </w:r>
    </w:p>
    <w:p w14:paraId="5D85C80E" w14:textId="77777777" w:rsidR="00ED710D" w:rsidRPr="002F64A6" w:rsidRDefault="00ED710D" w:rsidP="00ED710D">
      <w:pPr>
        <w:pStyle w:val="Bullet1"/>
      </w:pPr>
      <w:r w:rsidRPr="002F64A6">
        <w:rPr>
          <w:b/>
          <w:u w:val="single"/>
        </w:rPr>
        <w:t>Heat acclimatization plan</w:t>
      </w:r>
      <w:r w:rsidRPr="002F64A6">
        <w:rPr>
          <w:b/>
        </w:rPr>
        <w:t>:</w:t>
      </w:r>
      <w:r w:rsidRPr="002F64A6">
        <w:t xml:space="preserve"> All workers beginning work in high-heat environments, or who will be working in hotter conditions than usual (e.g., during a heat wave), must be gradually acclimatized to the work over a period of at least 7-14 days.</w:t>
      </w:r>
    </w:p>
    <w:p w14:paraId="7058AB1B" w14:textId="77777777" w:rsidR="00ED710D" w:rsidRPr="002F64A6" w:rsidRDefault="00ED710D" w:rsidP="00ED710D">
      <w:pPr>
        <w:pStyle w:val="Bullet1"/>
        <w:rPr>
          <w:b/>
          <w:u w:val="single"/>
        </w:rPr>
      </w:pPr>
      <w:r w:rsidRPr="002F64A6">
        <w:rPr>
          <w:b/>
          <w:u w:val="single"/>
        </w:rPr>
        <w:t>Exposure monitoring</w:t>
      </w:r>
      <w:r w:rsidRPr="002F64A6">
        <w:rPr>
          <w:b/>
        </w:rPr>
        <w:t>:</w:t>
      </w:r>
      <w:r w:rsidRPr="002F64A6">
        <w:t xml:space="preserve"> Employers must monitor both environmental [indoor or outdoor] heat exposure and employee workloads to ensure that no worker is exposed to heat stress at or above the RAL/REL.</w:t>
      </w:r>
    </w:p>
    <w:p w14:paraId="14A92BD7" w14:textId="77777777" w:rsidR="00ED710D" w:rsidRPr="002F64A6" w:rsidRDefault="00ED710D" w:rsidP="00ED710D">
      <w:pPr>
        <w:pStyle w:val="Bullet1"/>
      </w:pPr>
      <w:r w:rsidRPr="002F64A6">
        <w:rPr>
          <w:b/>
          <w:u w:val="single"/>
        </w:rPr>
        <w:t>Medical monitoring</w:t>
      </w:r>
      <w:r w:rsidRPr="002F64A6">
        <w:rPr>
          <w:b/>
        </w:rPr>
        <w:t>:</w:t>
      </w:r>
      <w:r w:rsidRPr="002F64A6">
        <w:t xml:space="preserve"> Employers must institute a medical monitoring program for all workers who are or may be exposed to heat stress at or above the RAL/REL. </w:t>
      </w:r>
    </w:p>
    <w:p w14:paraId="3903827D" w14:textId="77777777" w:rsidR="00ED710D" w:rsidRPr="002F64A6" w:rsidRDefault="00ED710D" w:rsidP="00ED710D">
      <w:pPr>
        <w:pStyle w:val="Bullet1"/>
      </w:pPr>
      <w:r w:rsidRPr="002F64A6">
        <w:rPr>
          <w:b/>
          <w:u w:val="single"/>
        </w:rPr>
        <w:t>Hazard notification</w:t>
      </w:r>
      <w:r w:rsidRPr="002F64A6">
        <w:rPr>
          <w:b/>
        </w:rPr>
        <w:t>:</w:t>
      </w:r>
      <w:r w:rsidRPr="002F64A6">
        <w:t xml:space="preserve"> Employers must post prominent signs, in all relevant languages, in high-heat areas warning of the dangers of heat stress.</w:t>
      </w:r>
    </w:p>
    <w:p w14:paraId="56B1D5C4" w14:textId="77777777" w:rsidR="00ED710D" w:rsidRPr="002F64A6" w:rsidRDefault="00ED710D" w:rsidP="00ED710D">
      <w:pPr>
        <w:pStyle w:val="Bullet1"/>
      </w:pPr>
      <w:r w:rsidRPr="002F64A6">
        <w:rPr>
          <w:b/>
          <w:u w:val="single"/>
        </w:rPr>
        <w:t>Heat Alert Program</w:t>
      </w:r>
      <w:r w:rsidRPr="002F64A6">
        <w:rPr>
          <w:b/>
        </w:rPr>
        <w:t xml:space="preserve">: </w:t>
      </w:r>
      <w:r w:rsidRPr="002F64A6">
        <w:t>Employers must develop a written Heat Alert Program to be implemented whenever the National Weather Service or other authoritative weather service forecasts a heat wave in the coming day or days.</w:t>
      </w:r>
    </w:p>
    <w:p w14:paraId="7F62B0AB" w14:textId="77777777" w:rsidR="00ED710D" w:rsidRPr="002F64A6" w:rsidRDefault="00ED710D" w:rsidP="00ED710D">
      <w:pPr>
        <w:pStyle w:val="Bullet1"/>
      </w:pPr>
      <w:r w:rsidRPr="002F64A6">
        <w:rPr>
          <w:b/>
          <w:u w:val="single"/>
        </w:rPr>
        <w:t>Worker information and training</w:t>
      </w:r>
      <w:r w:rsidRPr="002F64A6">
        <w:rPr>
          <w:b/>
        </w:rPr>
        <w:t>:</w:t>
      </w:r>
      <w:r w:rsidRPr="002F64A6">
        <w:t xml:space="preserve"> All workers and supervisors who work in areas where there is a reasonable likelihood of heat injury must be trained on measures to prevent and mitigate the risk. A written training program must be developed to serve as the basis for this training.</w:t>
      </w:r>
    </w:p>
    <w:p w14:paraId="0F0659CE" w14:textId="77777777" w:rsidR="00FF0510" w:rsidRPr="002F64A6" w:rsidRDefault="00ED710D" w:rsidP="00FF0510">
      <w:pPr>
        <w:pStyle w:val="Bullet1"/>
      </w:pPr>
      <w:r w:rsidRPr="002F64A6">
        <w:rPr>
          <w:b/>
          <w:u w:val="single"/>
        </w:rPr>
        <w:t>Heat-related surveillance and recordkeeping:</w:t>
      </w:r>
      <w:r w:rsidRPr="002F64A6">
        <w:t xml:space="preserve">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 and made available to OSHA.</w:t>
      </w:r>
    </w:p>
    <w:p w14:paraId="699BD711" w14:textId="66283936" w:rsidR="00FF0510" w:rsidRPr="002F64A6" w:rsidRDefault="00FF0510" w:rsidP="00FF0510">
      <w:pPr>
        <w:pStyle w:val="Bullet1"/>
      </w:pPr>
      <w:r w:rsidRPr="002F64A6">
        <w:rPr>
          <w:b/>
          <w:u w:val="single"/>
        </w:rPr>
        <w:lastRenderedPageBreak/>
        <w:t>Whistleblower protection:</w:t>
      </w:r>
      <w:r w:rsidRPr="002F64A6">
        <w:t xml:space="preserve"> </w:t>
      </w:r>
      <w:r w:rsidR="00B25A21" w:rsidRPr="002F64A6">
        <w:t xml:space="preserve">Each employer must institute an independent whistleblower protection program for </w:t>
      </w:r>
      <w:r w:rsidR="0021150F" w:rsidRPr="002F64A6">
        <w:t>employees</w:t>
      </w:r>
      <w:r w:rsidR="00B25A21" w:rsidRPr="002F64A6">
        <w:t xml:space="preserve"> and supervisors to report violations of the heat stress standard. OSHA should provide criteria or model </w:t>
      </w:r>
      <w:r w:rsidR="000C3EC6" w:rsidRPr="002F64A6">
        <w:t xml:space="preserve">language </w:t>
      </w:r>
      <w:r w:rsidR="00B25A21" w:rsidRPr="002F64A6">
        <w:t>to serve as the basis for the whistleblower protection programs.</w:t>
      </w:r>
    </w:p>
    <w:p w14:paraId="0155746C" w14:textId="77777777" w:rsidR="00293662" w:rsidRPr="002F64A6" w:rsidRDefault="00293662" w:rsidP="000021C0">
      <w:pPr>
        <w:pStyle w:val="Bullet1"/>
        <w:numPr>
          <w:ilvl w:val="0"/>
          <w:numId w:val="0"/>
        </w:numPr>
        <w:ind w:left="720" w:hanging="360"/>
      </w:pPr>
    </w:p>
    <w:p w14:paraId="40A6BEE3" w14:textId="7FEAA5A5" w:rsidR="00D04525" w:rsidRPr="002F64A6" w:rsidRDefault="00D04525" w:rsidP="00D04525">
      <w:pPr>
        <w:jc w:val="center"/>
        <w:rPr>
          <w:b/>
        </w:rPr>
      </w:pPr>
      <w:r w:rsidRPr="002F64A6">
        <w:rPr>
          <w:b/>
        </w:rPr>
        <w:t>Contents</w:t>
      </w:r>
    </w:p>
    <w:p w14:paraId="0CF825D4" w14:textId="77777777" w:rsidR="00806F98" w:rsidRDefault="00BD175B">
      <w:pPr>
        <w:pStyle w:val="TOC1"/>
        <w:rPr>
          <w:rFonts w:asciiTheme="minorHAnsi" w:eastAsiaTheme="minorEastAsia" w:hAnsiTheme="minorHAnsi" w:cstheme="minorBidi"/>
          <w:noProof/>
          <w:sz w:val="22"/>
        </w:rPr>
      </w:pPr>
      <w:r w:rsidRPr="002F64A6">
        <w:rPr>
          <w:bCs/>
        </w:rPr>
        <w:fldChar w:fldCharType="begin"/>
      </w:r>
      <w:r w:rsidRPr="002F64A6">
        <w:rPr>
          <w:bCs/>
        </w:rPr>
        <w:instrText xml:space="preserve"> TOC \o "1-3" \h \z \u </w:instrText>
      </w:r>
      <w:r w:rsidRPr="002F64A6">
        <w:rPr>
          <w:bCs/>
        </w:rPr>
        <w:fldChar w:fldCharType="separate"/>
      </w:r>
      <w:hyperlink w:anchor="_Toc517168441" w:history="1">
        <w:r w:rsidR="00806F98" w:rsidRPr="0001205D">
          <w:rPr>
            <w:rStyle w:val="Hyperlink"/>
            <w:bCs/>
            <w:noProof/>
          </w:rPr>
          <w:t>I.</w:t>
        </w:r>
        <w:r w:rsidR="00806F98">
          <w:rPr>
            <w:rFonts w:asciiTheme="minorHAnsi" w:eastAsiaTheme="minorEastAsia" w:hAnsiTheme="minorHAnsi" w:cstheme="minorBidi"/>
            <w:noProof/>
            <w:sz w:val="22"/>
          </w:rPr>
          <w:tab/>
        </w:r>
        <w:r w:rsidR="00806F98" w:rsidRPr="0001205D">
          <w:rPr>
            <w:rStyle w:val="Hyperlink"/>
            <w:noProof/>
          </w:rPr>
          <w:t>Background</w:t>
        </w:r>
        <w:r w:rsidR="00806F98">
          <w:rPr>
            <w:noProof/>
            <w:webHidden/>
          </w:rPr>
          <w:tab/>
        </w:r>
        <w:r w:rsidR="00806F98">
          <w:rPr>
            <w:noProof/>
            <w:webHidden/>
          </w:rPr>
          <w:fldChar w:fldCharType="begin"/>
        </w:r>
        <w:r w:rsidR="00806F98">
          <w:rPr>
            <w:noProof/>
            <w:webHidden/>
          </w:rPr>
          <w:instrText xml:space="preserve"> PAGEREF _Toc517168441 \h </w:instrText>
        </w:r>
        <w:r w:rsidR="00806F98">
          <w:rPr>
            <w:noProof/>
            <w:webHidden/>
          </w:rPr>
        </w:r>
        <w:r w:rsidR="00806F98">
          <w:rPr>
            <w:noProof/>
            <w:webHidden/>
          </w:rPr>
          <w:fldChar w:fldCharType="separate"/>
        </w:r>
        <w:r w:rsidR="00806F98">
          <w:rPr>
            <w:noProof/>
            <w:webHidden/>
          </w:rPr>
          <w:t>4</w:t>
        </w:r>
        <w:r w:rsidR="00806F98">
          <w:rPr>
            <w:noProof/>
            <w:webHidden/>
          </w:rPr>
          <w:fldChar w:fldCharType="end"/>
        </w:r>
      </w:hyperlink>
    </w:p>
    <w:p w14:paraId="26CFF2EF" w14:textId="77777777" w:rsidR="00806F98" w:rsidRDefault="00806F98">
      <w:pPr>
        <w:pStyle w:val="TOC1"/>
        <w:rPr>
          <w:rFonts w:asciiTheme="minorHAnsi" w:eastAsiaTheme="minorEastAsia" w:hAnsiTheme="minorHAnsi" w:cstheme="minorBidi"/>
          <w:noProof/>
          <w:sz w:val="22"/>
        </w:rPr>
      </w:pPr>
      <w:hyperlink w:anchor="_Toc517168442" w:history="1">
        <w:r w:rsidRPr="0001205D">
          <w:rPr>
            <w:rStyle w:val="Hyperlink"/>
            <w:noProof/>
          </w:rPr>
          <w:t>II.</w:t>
        </w:r>
        <w:r>
          <w:rPr>
            <w:rFonts w:asciiTheme="minorHAnsi" w:eastAsiaTheme="minorEastAsia" w:hAnsiTheme="minorHAnsi" w:cstheme="minorBidi"/>
            <w:noProof/>
            <w:sz w:val="22"/>
          </w:rPr>
          <w:tab/>
        </w:r>
        <w:r w:rsidRPr="0001205D">
          <w:rPr>
            <w:rStyle w:val="Hyperlink"/>
            <w:noProof/>
          </w:rPr>
          <w:t>Health effects of excessive heat exposure</w:t>
        </w:r>
        <w:r>
          <w:rPr>
            <w:noProof/>
            <w:webHidden/>
          </w:rPr>
          <w:tab/>
        </w:r>
        <w:r>
          <w:rPr>
            <w:noProof/>
            <w:webHidden/>
          </w:rPr>
          <w:fldChar w:fldCharType="begin"/>
        </w:r>
        <w:r>
          <w:rPr>
            <w:noProof/>
            <w:webHidden/>
          </w:rPr>
          <w:instrText xml:space="preserve"> PAGEREF _Toc517168442 \h </w:instrText>
        </w:r>
        <w:r>
          <w:rPr>
            <w:noProof/>
            <w:webHidden/>
          </w:rPr>
        </w:r>
        <w:r>
          <w:rPr>
            <w:noProof/>
            <w:webHidden/>
          </w:rPr>
          <w:fldChar w:fldCharType="separate"/>
        </w:r>
        <w:r>
          <w:rPr>
            <w:noProof/>
            <w:webHidden/>
          </w:rPr>
          <w:t>5</w:t>
        </w:r>
        <w:r>
          <w:rPr>
            <w:noProof/>
            <w:webHidden/>
          </w:rPr>
          <w:fldChar w:fldCharType="end"/>
        </w:r>
      </w:hyperlink>
    </w:p>
    <w:p w14:paraId="12A78827" w14:textId="77777777" w:rsidR="00806F98" w:rsidRDefault="00806F98">
      <w:pPr>
        <w:pStyle w:val="TOC2"/>
        <w:rPr>
          <w:rFonts w:asciiTheme="minorHAnsi" w:eastAsiaTheme="minorEastAsia" w:hAnsiTheme="minorHAnsi" w:cstheme="minorBidi"/>
          <w:noProof/>
          <w:sz w:val="22"/>
        </w:rPr>
      </w:pPr>
      <w:hyperlink w:anchor="_Toc517168443" w:history="1">
        <w:r w:rsidRPr="0001205D">
          <w:rPr>
            <w:rStyle w:val="Hyperlink"/>
            <w:noProof/>
          </w:rPr>
          <w:t>A.</w:t>
        </w:r>
        <w:r>
          <w:rPr>
            <w:rFonts w:asciiTheme="minorHAnsi" w:eastAsiaTheme="minorEastAsia" w:hAnsiTheme="minorHAnsi" w:cstheme="minorBidi"/>
            <w:noProof/>
            <w:sz w:val="22"/>
          </w:rPr>
          <w:tab/>
        </w:r>
        <w:r w:rsidRPr="0001205D">
          <w:rPr>
            <w:rStyle w:val="Hyperlink"/>
            <w:noProof/>
          </w:rPr>
          <w:t>The body’s normal response to high heat levels: The crucial importance of the sweat response</w:t>
        </w:r>
        <w:r>
          <w:rPr>
            <w:noProof/>
            <w:webHidden/>
          </w:rPr>
          <w:tab/>
        </w:r>
        <w:r>
          <w:rPr>
            <w:noProof/>
            <w:webHidden/>
          </w:rPr>
          <w:fldChar w:fldCharType="begin"/>
        </w:r>
        <w:r>
          <w:rPr>
            <w:noProof/>
            <w:webHidden/>
          </w:rPr>
          <w:instrText xml:space="preserve"> PAGEREF _Toc517168443 \h </w:instrText>
        </w:r>
        <w:r>
          <w:rPr>
            <w:noProof/>
            <w:webHidden/>
          </w:rPr>
        </w:r>
        <w:r>
          <w:rPr>
            <w:noProof/>
            <w:webHidden/>
          </w:rPr>
          <w:fldChar w:fldCharType="separate"/>
        </w:r>
        <w:r>
          <w:rPr>
            <w:noProof/>
            <w:webHidden/>
          </w:rPr>
          <w:t>5</w:t>
        </w:r>
        <w:r>
          <w:rPr>
            <w:noProof/>
            <w:webHidden/>
          </w:rPr>
          <w:fldChar w:fldCharType="end"/>
        </w:r>
      </w:hyperlink>
    </w:p>
    <w:p w14:paraId="401F0507" w14:textId="77777777" w:rsidR="00806F98" w:rsidRDefault="00806F98">
      <w:pPr>
        <w:pStyle w:val="TOC2"/>
        <w:rPr>
          <w:rFonts w:asciiTheme="minorHAnsi" w:eastAsiaTheme="minorEastAsia" w:hAnsiTheme="minorHAnsi" w:cstheme="minorBidi"/>
          <w:noProof/>
          <w:sz w:val="22"/>
        </w:rPr>
      </w:pPr>
      <w:hyperlink w:anchor="_Toc517168444" w:history="1">
        <w:r w:rsidRPr="0001205D">
          <w:rPr>
            <w:rStyle w:val="Hyperlink"/>
            <w:noProof/>
          </w:rPr>
          <w:t>B.</w:t>
        </w:r>
        <w:r>
          <w:rPr>
            <w:rFonts w:asciiTheme="minorHAnsi" w:eastAsiaTheme="minorEastAsia" w:hAnsiTheme="minorHAnsi" w:cstheme="minorBidi"/>
            <w:noProof/>
            <w:sz w:val="22"/>
          </w:rPr>
          <w:tab/>
        </w:r>
        <w:r w:rsidRPr="0001205D">
          <w:rPr>
            <w:rStyle w:val="Hyperlink"/>
            <w:noProof/>
          </w:rPr>
          <w:t>Dehydration</w:t>
        </w:r>
        <w:r>
          <w:rPr>
            <w:noProof/>
            <w:webHidden/>
          </w:rPr>
          <w:tab/>
        </w:r>
        <w:r>
          <w:rPr>
            <w:noProof/>
            <w:webHidden/>
          </w:rPr>
          <w:fldChar w:fldCharType="begin"/>
        </w:r>
        <w:r>
          <w:rPr>
            <w:noProof/>
            <w:webHidden/>
          </w:rPr>
          <w:instrText xml:space="preserve"> PAGEREF _Toc517168444 \h </w:instrText>
        </w:r>
        <w:r>
          <w:rPr>
            <w:noProof/>
            <w:webHidden/>
          </w:rPr>
        </w:r>
        <w:r>
          <w:rPr>
            <w:noProof/>
            <w:webHidden/>
          </w:rPr>
          <w:fldChar w:fldCharType="separate"/>
        </w:r>
        <w:r>
          <w:rPr>
            <w:noProof/>
            <w:webHidden/>
          </w:rPr>
          <w:t>6</w:t>
        </w:r>
        <w:r>
          <w:rPr>
            <w:noProof/>
            <w:webHidden/>
          </w:rPr>
          <w:fldChar w:fldCharType="end"/>
        </w:r>
      </w:hyperlink>
    </w:p>
    <w:p w14:paraId="0110B49D" w14:textId="77777777" w:rsidR="00806F98" w:rsidRDefault="00806F98">
      <w:pPr>
        <w:pStyle w:val="TOC2"/>
        <w:rPr>
          <w:rFonts w:asciiTheme="minorHAnsi" w:eastAsiaTheme="minorEastAsia" w:hAnsiTheme="minorHAnsi" w:cstheme="minorBidi"/>
          <w:noProof/>
          <w:sz w:val="22"/>
        </w:rPr>
      </w:pPr>
      <w:hyperlink w:anchor="_Toc517168445" w:history="1">
        <w:r w:rsidRPr="0001205D">
          <w:rPr>
            <w:rStyle w:val="Hyperlink"/>
            <w:noProof/>
          </w:rPr>
          <w:t>C.</w:t>
        </w:r>
        <w:r>
          <w:rPr>
            <w:rFonts w:asciiTheme="minorHAnsi" w:eastAsiaTheme="minorEastAsia" w:hAnsiTheme="minorHAnsi" w:cstheme="minorBidi"/>
            <w:noProof/>
            <w:sz w:val="22"/>
          </w:rPr>
          <w:tab/>
        </w:r>
        <w:r w:rsidRPr="0001205D">
          <w:rPr>
            <w:rStyle w:val="Hyperlink"/>
            <w:noProof/>
          </w:rPr>
          <w:t>Acclimatization</w:t>
        </w:r>
        <w:r>
          <w:rPr>
            <w:noProof/>
            <w:webHidden/>
          </w:rPr>
          <w:tab/>
        </w:r>
        <w:r>
          <w:rPr>
            <w:noProof/>
            <w:webHidden/>
          </w:rPr>
          <w:fldChar w:fldCharType="begin"/>
        </w:r>
        <w:r>
          <w:rPr>
            <w:noProof/>
            <w:webHidden/>
          </w:rPr>
          <w:instrText xml:space="preserve"> PAGEREF _Toc517168445 \h </w:instrText>
        </w:r>
        <w:r>
          <w:rPr>
            <w:noProof/>
            <w:webHidden/>
          </w:rPr>
        </w:r>
        <w:r>
          <w:rPr>
            <w:noProof/>
            <w:webHidden/>
          </w:rPr>
          <w:fldChar w:fldCharType="separate"/>
        </w:r>
        <w:r>
          <w:rPr>
            <w:noProof/>
            <w:webHidden/>
          </w:rPr>
          <w:t>6</w:t>
        </w:r>
        <w:r>
          <w:rPr>
            <w:noProof/>
            <w:webHidden/>
          </w:rPr>
          <w:fldChar w:fldCharType="end"/>
        </w:r>
      </w:hyperlink>
    </w:p>
    <w:p w14:paraId="78EDA10E" w14:textId="77777777" w:rsidR="00806F98" w:rsidRDefault="00806F98">
      <w:pPr>
        <w:pStyle w:val="TOC2"/>
        <w:rPr>
          <w:rFonts w:asciiTheme="minorHAnsi" w:eastAsiaTheme="minorEastAsia" w:hAnsiTheme="minorHAnsi" w:cstheme="minorBidi"/>
          <w:noProof/>
          <w:sz w:val="22"/>
        </w:rPr>
      </w:pPr>
      <w:hyperlink w:anchor="_Toc517168446" w:history="1">
        <w:r w:rsidRPr="0001205D">
          <w:rPr>
            <w:rStyle w:val="Hyperlink"/>
            <w:rFonts w:eastAsiaTheme="minorHAnsi"/>
            <w:noProof/>
          </w:rPr>
          <w:t>D.</w:t>
        </w:r>
        <w:r>
          <w:rPr>
            <w:rFonts w:asciiTheme="minorHAnsi" w:eastAsiaTheme="minorEastAsia" w:hAnsiTheme="minorHAnsi" w:cstheme="minorBidi"/>
            <w:noProof/>
            <w:sz w:val="22"/>
          </w:rPr>
          <w:tab/>
        </w:r>
        <w:r w:rsidRPr="0001205D">
          <w:rPr>
            <w:rStyle w:val="Hyperlink"/>
            <w:rFonts w:eastAsiaTheme="minorHAnsi"/>
            <w:noProof/>
          </w:rPr>
          <w:t>Acute heat-related illnesses</w:t>
        </w:r>
        <w:r>
          <w:rPr>
            <w:noProof/>
            <w:webHidden/>
          </w:rPr>
          <w:tab/>
        </w:r>
        <w:r>
          <w:rPr>
            <w:noProof/>
            <w:webHidden/>
          </w:rPr>
          <w:fldChar w:fldCharType="begin"/>
        </w:r>
        <w:r>
          <w:rPr>
            <w:noProof/>
            <w:webHidden/>
          </w:rPr>
          <w:instrText xml:space="preserve"> PAGEREF _Toc517168446 \h </w:instrText>
        </w:r>
        <w:r>
          <w:rPr>
            <w:noProof/>
            <w:webHidden/>
          </w:rPr>
        </w:r>
        <w:r>
          <w:rPr>
            <w:noProof/>
            <w:webHidden/>
          </w:rPr>
          <w:fldChar w:fldCharType="separate"/>
        </w:r>
        <w:r>
          <w:rPr>
            <w:noProof/>
            <w:webHidden/>
          </w:rPr>
          <w:t>7</w:t>
        </w:r>
        <w:r>
          <w:rPr>
            <w:noProof/>
            <w:webHidden/>
          </w:rPr>
          <w:fldChar w:fldCharType="end"/>
        </w:r>
      </w:hyperlink>
    </w:p>
    <w:p w14:paraId="4F4894DD" w14:textId="77777777" w:rsidR="00806F98" w:rsidRDefault="00806F98">
      <w:pPr>
        <w:pStyle w:val="TOC2"/>
        <w:rPr>
          <w:rFonts w:asciiTheme="minorHAnsi" w:eastAsiaTheme="minorEastAsia" w:hAnsiTheme="minorHAnsi" w:cstheme="minorBidi"/>
          <w:noProof/>
          <w:sz w:val="22"/>
        </w:rPr>
      </w:pPr>
      <w:hyperlink w:anchor="_Toc517168447" w:history="1">
        <w:r w:rsidRPr="0001205D">
          <w:rPr>
            <w:rStyle w:val="Hyperlink"/>
            <w:rFonts w:eastAsiaTheme="minorHAnsi"/>
            <w:noProof/>
          </w:rPr>
          <w:t>E.</w:t>
        </w:r>
        <w:r>
          <w:rPr>
            <w:rFonts w:asciiTheme="minorHAnsi" w:eastAsiaTheme="minorEastAsia" w:hAnsiTheme="minorHAnsi" w:cstheme="minorBidi"/>
            <w:noProof/>
            <w:sz w:val="22"/>
          </w:rPr>
          <w:tab/>
        </w:r>
        <w:r w:rsidRPr="0001205D">
          <w:rPr>
            <w:rStyle w:val="Hyperlink"/>
            <w:rFonts w:eastAsiaTheme="minorHAnsi"/>
            <w:noProof/>
          </w:rPr>
          <w:t>Chronic heat-related illnesses</w:t>
        </w:r>
        <w:r>
          <w:rPr>
            <w:noProof/>
            <w:webHidden/>
          </w:rPr>
          <w:tab/>
        </w:r>
        <w:r>
          <w:rPr>
            <w:noProof/>
            <w:webHidden/>
          </w:rPr>
          <w:fldChar w:fldCharType="begin"/>
        </w:r>
        <w:r>
          <w:rPr>
            <w:noProof/>
            <w:webHidden/>
          </w:rPr>
          <w:instrText xml:space="preserve"> PAGEREF _Toc517168447 \h </w:instrText>
        </w:r>
        <w:r>
          <w:rPr>
            <w:noProof/>
            <w:webHidden/>
          </w:rPr>
        </w:r>
        <w:r>
          <w:rPr>
            <w:noProof/>
            <w:webHidden/>
          </w:rPr>
          <w:fldChar w:fldCharType="separate"/>
        </w:r>
        <w:r>
          <w:rPr>
            <w:noProof/>
            <w:webHidden/>
          </w:rPr>
          <w:t>8</w:t>
        </w:r>
        <w:r>
          <w:rPr>
            <w:noProof/>
            <w:webHidden/>
          </w:rPr>
          <w:fldChar w:fldCharType="end"/>
        </w:r>
      </w:hyperlink>
    </w:p>
    <w:p w14:paraId="2E83D48D" w14:textId="77777777" w:rsidR="00806F98" w:rsidRDefault="00806F98">
      <w:pPr>
        <w:pStyle w:val="TOC1"/>
        <w:rPr>
          <w:rFonts w:asciiTheme="minorHAnsi" w:eastAsiaTheme="minorEastAsia" w:hAnsiTheme="minorHAnsi" w:cstheme="minorBidi"/>
          <w:noProof/>
          <w:sz w:val="22"/>
        </w:rPr>
      </w:pPr>
      <w:hyperlink w:anchor="_Toc517168448" w:history="1">
        <w:r w:rsidRPr="0001205D">
          <w:rPr>
            <w:rStyle w:val="Hyperlink"/>
            <w:noProof/>
          </w:rPr>
          <w:t>III.</w:t>
        </w:r>
        <w:r>
          <w:rPr>
            <w:rFonts w:asciiTheme="minorHAnsi" w:eastAsiaTheme="minorEastAsia" w:hAnsiTheme="minorHAnsi" w:cstheme="minorBidi"/>
            <w:noProof/>
            <w:sz w:val="22"/>
          </w:rPr>
          <w:tab/>
        </w:r>
        <w:r w:rsidRPr="0001205D">
          <w:rPr>
            <w:rStyle w:val="Hyperlink"/>
            <w:noProof/>
          </w:rPr>
          <w:t>Reported heat stress deaths and injuries vastly understate the problem</w:t>
        </w:r>
        <w:r>
          <w:rPr>
            <w:noProof/>
            <w:webHidden/>
          </w:rPr>
          <w:tab/>
        </w:r>
        <w:r>
          <w:rPr>
            <w:noProof/>
            <w:webHidden/>
          </w:rPr>
          <w:fldChar w:fldCharType="begin"/>
        </w:r>
        <w:r>
          <w:rPr>
            <w:noProof/>
            <w:webHidden/>
          </w:rPr>
          <w:instrText xml:space="preserve"> PAGEREF _Toc517168448 \h </w:instrText>
        </w:r>
        <w:r>
          <w:rPr>
            <w:noProof/>
            <w:webHidden/>
          </w:rPr>
        </w:r>
        <w:r>
          <w:rPr>
            <w:noProof/>
            <w:webHidden/>
          </w:rPr>
          <w:fldChar w:fldCharType="separate"/>
        </w:r>
        <w:r>
          <w:rPr>
            <w:noProof/>
            <w:webHidden/>
          </w:rPr>
          <w:t>8</w:t>
        </w:r>
        <w:r>
          <w:rPr>
            <w:noProof/>
            <w:webHidden/>
          </w:rPr>
          <w:fldChar w:fldCharType="end"/>
        </w:r>
      </w:hyperlink>
    </w:p>
    <w:p w14:paraId="127DFF24" w14:textId="77777777" w:rsidR="00806F98" w:rsidRDefault="00806F98">
      <w:pPr>
        <w:pStyle w:val="TOC1"/>
        <w:rPr>
          <w:rFonts w:asciiTheme="minorHAnsi" w:eastAsiaTheme="minorEastAsia" w:hAnsiTheme="minorHAnsi" w:cstheme="minorBidi"/>
          <w:noProof/>
          <w:sz w:val="22"/>
        </w:rPr>
      </w:pPr>
      <w:hyperlink w:anchor="_Toc517168449" w:history="1">
        <w:r w:rsidRPr="0001205D">
          <w:rPr>
            <w:rStyle w:val="Hyperlink"/>
            <w:noProof/>
          </w:rPr>
          <w:t>IV.</w:t>
        </w:r>
        <w:r>
          <w:rPr>
            <w:rFonts w:asciiTheme="minorHAnsi" w:eastAsiaTheme="minorEastAsia" w:hAnsiTheme="minorHAnsi" w:cstheme="minorBidi"/>
            <w:noProof/>
            <w:sz w:val="22"/>
          </w:rPr>
          <w:tab/>
        </w:r>
        <w:r w:rsidRPr="0001205D">
          <w:rPr>
            <w:rStyle w:val="Hyperlink"/>
            <w:noProof/>
          </w:rPr>
          <w:t>Current regulatory landscape: Three states, the U.S. military, and other countries have moved ahead with heat protections</w:t>
        </w:r>
        <w:r>
          <w:rPr>
            <w:noProof/>
            <w:webHidden/>
          </w:rPr>
          <w:tab/>
        </w:r>
        <w:r>
          <w:rPr>
            <w:noProof/>
            <w:webHidden/>
          </w:rPr>
          <w:fldChar w:fldCharType="begin"/>
        </w:r>
        <w:r>
          <w:rPr>
            <w:noProof/>
            <w:webHidden/>
          </w:rPr>
          <w:instrText xml:space="preserve"> PAGEREF _Toc517168449 \h </w:instrText>
        </w:r>
        <w:r>
          <w:rPr>
            <w:noProof/>
            <w:webHidden/>
          </w:rPr>
        </w:r>
        <w:r>
          <w:rPr>
            <w:noProof/>
            <w:webHidden/>
          </w:rPr>
          <w:fldChar w:fldCharType="separate"/>
        </w:r>
        <w:r>
          <w:rPr>
            <w:noProof/>
            <w:webHidden/>
          </w:rPr>
          <w:t>14</w:t>
        </w:r>
        <w:r>
          <w:rPr>
            <w:noProof/>
            <w:webHidden/>
          </w:rPr>
          <w:fldChar w:fldCharType="end"/>
        </w:r>
      </w:hyperlink>
    </w:p>
    <w:p w14:paraId="06B1BA5C" w14:textId="77777777" w:rsidR="00806F98" w:rsidRDefault="00806F98">
      <w:pPr>
        <w:pStyle w:val="TOC2"/>
        <w:rPr>
          <w:rFonts w:asciiTheme="minorHAnsi" w:eastAsiaTheme="minorEastAsia" w:hAnsiTheme="minorHAnsi" w:cstheme="minorBidi"/>
          <w:noProof/>
          <w:sz w:val="22"/>
        </w:rPr>
      </w:pPr>
      <w:hyperlink w:anchor="_Toc517168450" w:history="1">
        <w:r w:rsidRPr="0001205D">
          <w:rPr>
            <w:rStyle w:val="Hyperlink"/>
            <w:noProof/>
          </w:rPr>
          <w:t>A.</w:t>
        </w:r>
        <w:r>
          <w:rPr>
            <w:rFonts w:asciiTheme="minorHAnsi" w:eastAsiaTheme="minorEastAsia" w:hAnsiTheme="minorHAnsi" w:cstheme="minorBidi"/>
            <w:noProof/>
            <w:sz w:val="22"/>
          </w:rPr>
          <w:tab/>
        </w:r>
        <w:r w:rsidRPr="0001205D">
          <w:rPr>
            <w:rStyle w:val="Hyperlink"/>
            <w:noProof/>
          </w:rPr>
          <w:t>State standards</w:t>
        </w:r>
        <w:r>
          <w:rPr>
            <w:noProof/>
            <w:webHidden/>
          </w:rPr>
          <w:tab/>
        </w:r>
        <w:r>
          <w:rPr>
            <w:noProof/>
            <w:webHidden/>
          </w:rPr>
          <w:fldChar w:fldCharType="begin"/>
        </w:r>
        <w:r>
          <w:rPr>
            <w:noProof/>
            <w:webHidden/>
          </w:rPr>
          <w:instrText xml:space="preserve"> PAGEREF _Toc517168450 \h </w:instrText>
        </w:r>
        <w:r>
          <w:rPr>
            <w:noProof/>
            <w:webHidden/>
          </w:rPr>
        </w:r>
        <w:r>
          <w:rPr>
            <w:noProof/>
            <w:webHidden/>
          </w:rPr>
          <w:fldChar w:fldCharType="separate"/>
        </w:r>
        <w:r>
          <w:rPr>
            <w:noProof/>
            <w:webHidden/>
          </w:rPr>
          <w:t>14</w:t>
        </w:r>
        <w:r>
          <w:rPr>
            <w:noProof/>
            <w:webHidden/>
          </w:rPr>
          <w:fldChar w:fldCharType="end"/>
        </w:r>
      </w:hyperlink>
    </w:p>
    <w:p w14:paraId="6B470A53" w14:textId="77777777" w:rsidR="00806F98" w:rsidRDefault="00806F98">
      <w:pPr>
        <w:pStyle w:val="TOC2"/>
        <w:rPr>
          <w:rFonts w:asciiTheme="minorHAnsi" w:eastAsiaTheme="minorEastAsia" w:hAnsiTheme="minorHAnsi" w:cstheme="minorBidi"/>
          <w:noProof/>
          <w:sz w:val="22"/>
        </w:rPr>
      </w:pPr>
      <w:hyperlink w:anchor="_Toc517168451" w:history="1">
        <w:r w:rsidRPr="0001205D">
          <w:rPr>
            <w:rStyle w:val="Hyperlink"/>
            <w:noProof/>
          </w:rPr>
          <w:t>B.</w:t>
        </w:r>
        <w:r>
          <w:rPr>
            <w:rFonts w:asciiTheme="minorHAnsi" w:eastAsiaTheme="minorEastAsia" w:hAnsiTheme="minorHAnsi" w:cstheme="minorBidi"/>
            <w:noProof/>
            <w:sz w:val="22"/>
          </w:rPr>
          <w:tab/>
        </w:r>
        <w:r w:rsidRPr="0001205D">
          <w:rPr>
            <w:rStyle w:val="Hyperlink"/>
            <w:noProof/>
          </w:rPr>
          <w:t>California’s enforcement demonstrates the critical importance of having a heat stress standard</w:t>
        </w:r>
        <w:r>
          <w:rPr>
            <w:noProof/>
            <w:webHidden/>
          </w:rPr>
          <w:tab/>
        </w:r>
        <w:r>
          <w:rPr>
            <w:noProof/>
            <w:webHidden/>
          </w:rPr>
          <w:fldChar w:fldCharType="begin"/>
        </w:r>
        <w:r>
          <w:rPr>
            <w:noProof/>
            <w:webHidden/>
          </w:rPr>
          <w:instrText xml:space="preserve"> PAGEREF _Toc517168451 \h </w:instrText>
        </w:r>
        <w:r>
          <w:rPr>
            <w:noProof/>
            <w:webHidden/>
          </w:rPr>
        </w:r>
        <w:r>
          <w:rPr>
            <w:noProof/>
            <w:webHidden/>
          </w:rPr>
          <w:fldChar w:fldCharType="separate"/>
        </w:r>
        <w:r>
          <w:rPr>
            <w:noProof/>
            <w:webHidden/>
          </w:rPr>
          <w:t>16</w:t>
        </w:r>
        <w:r>
          <w:rPr>
            <w:noProof/>
            <w:webHidden/>
          </w:rPr>
          <w:fldChar w:fldCharType="end"/>
        </w:r>
      </w:hyperlink>
    </w:p>
    <w:p w14:paraId="1F64071E" w14:textId="77777777" w:rsidR="00806F98" w:rsidRDefault="00806F98">
      <w:pPr>
        <w:pStyle w:val="TOC2"/>
        <w:rPr>
          <w:rFonts w:asciiTheme="minorHAnsi" w:eastAsiaTheme="minorEastAsia" w:hAnsiTheme="minorHAnsi" w:cstheme="minorBidi"/>
          <w:noProof/>
          <w:sz w:val="22"/>
        </w:rPr>
      </w:pPr>
      <w:hyperlink w:anchor="_Toc517168452" w:history="1">
        <w:r w:rsidRPr="0001205D">
          <w:rPr>
            <w:rStyle w:val="Hyperlink"/>
            <w:noProof/>
          </w:rPr>
          <w:t>C.</w:t>
        </w:r>
        <w:r>
          <w:rPr>
            <w:rFonts w:asciiTheme="minorHAnsi" w:eastAsiaTheme="minorEastAsia" w:hAnsiTheme="minorHAnsi" w:cstheme="minorBidi"/>
            <w:noProof/>
            <w:sz w:val="22"/>
          </w:rPr>
          <w:tab/>
        </w:r>
        <w:r w:rsidRPr="0001205D">
          <w:rPr>
            <w:rStyle w:val="Hyperlink"/>
            <w:noProof/>
          </w:rPr>
          <w:t>U.S. military guidelines</w:t>
        </w:r>
        <w:r>
          <w:rPr>
            <w:noProof/>
            <w:webHidden/>
          </w:rPr>
          <w:tab/>
        </w:r>
        <w:r>
          <w:rPr>
            <w:noProof/>
            <w:webHidden/>
          </w:rPr>
          <w:fldChar w:fldCharType="begin"/>
        </w:r>
        <w:r>
          <w:rPr>
            <w:noProof/>
            <w:webHidden/>
          </w:rPr>
          <w:instrText xml:space="preserve"> PAGEREF _Toc517168452 \h </w:instrText>
        </w:r>
        <w:r>
          <w:rPr>
            <w:noProof/>
            <w:webHidden/>
          </w:rPr>
        </w:r>
        <w:r>
          <w:rPr>
            <w:noProof/>
            <w:webHidden/>
          </w:rPr>
          <w:fldChar w:fldCharType="separate"/>
        </w:r>
        <w:r>
          <w:rPr>
            <w:noProof/>
            <w:webHidden/>
          </w:rPr>
          <w:t>18</w:t>
        </w:r>
        <w:r>
          <w:rPr>
            <w:noProof/>
            <w:webHidden/>
          </w:rPr>
          <w:fldChar w:fldCharType="end"/>
        </w:r>
      </w:hyperlink>
    </w:p>
    <w:p w14:paraId="5B71D234" w14:textId="77777777" w:rsidR="00806F98" w:rsidRDefault="00806F98">
      <w:pPr>
        <w:pStyle w:val="TOC2"/>
        <w:rPr>
          <w:rFonts w:asciiTheme="minorHAnsi" w:eastAsiaTheme="minorEastAsia" w:hAnsiTheme="minorHAnsi" w:cstheme="minorBidi"/>
          <w:noProof/>
          <w:sz w:val="22"/>
        </w:rPr>
      </w:pPr>
      <w:hyperlink w:anchor="_Toc517168453" w:history="1">
        <w:r w:rsidRPr="0001205D">
          <w:rPr>
            <w:rStyle w:val="Hyperlink"/>
            <w:noProof/>
          </w:rPr>
          <w:t>D.</w:t>
        </w:r>
        <w:r>
          <w:rPr>
            <w:rFonts w:asciiTheme="minorHAnsi" w:eastAsiaTheme="minorEastAsia" w:hAnsiTheme="minorHAnsi" w:cstheme="minorBidi"/>
            <w:noProof/>
            <w:sz w:val="22"/>
          </w:rPr>
          <w:tab/>
        </w:r>
        <w:r w:rsidRPr="0001205D">
          <w:rPr>
            <w:rStyle w:val="Hyperlink"/>
            <w:noProof/>
          </w:rPr>
          <w:t>Heat stress standards in other countries</w:t>
        </w:r>
        <w:r>
          <w:rPr>
            <w:noProof/>
            <w:webHidden/>
          </w:rPr>
          <w:tab/>
        </w:r>
        <w:r>
          <w:rPr>
            <w:noProof/>
            <w:webHidden/>
          </w:rPr>
          <w:fldChar w:fldCharType="begin"/>
        </w:r>
        <w:r>
          <w:rPr>
            <w:noProof/>
            <w:webHidden/>
          </w:rPr>
          <w:instrText xml:space="preserve"> PAGEREF _Toc517168453 \h </w:instrText>
        </w:r>
        <w:r>
          <w:rPr>
            <w:noProof/>
            <w:webHidden/>
          </w:rPr>
        </w:r>
        <w:r>
          <w:rPr>
            <w:noProof/>
            <w:webHidden/>
          </w:rPr>
          <w:fldChar w:fldCharType="separate"/>
        </w:r>
        <w:r>
          <w:rPr>
            <w:noProof/>
            <w:webHidden/>
          </w:rPr>
          <w:t>20</w:t>
        </w:r>
        <w:r>
          <w:rPr>
            <w:noProof/>
            <w:webHidden/>
          </w:rPr>
          <w:fldChar w:fldCharType="end"/>
        </w:r>
      </w:hyperlink>
    </w:p>
    <w:p w14:paraId="3899F998" w14:textId="77777777" w:rsidR="00806F98" w:rsidRDefault="00806F98">
      <w:pPr>
        <w:pStyle w:val="TOC1"/>
        <w:rPr>
          <w:rFonts w:asciiTheme="minorHAnsi" w:eastAsiaTheme="minorEastAsia" w:hAnsiTheme="minorHAnsi" w:cstheme="minorBidi"/>
          <w:noProof/>
          <w:sz w:val="22"/>
        </w:rPr>
      </w:pPr>
      <w:hyperlink w:anchor="_Toc517168454" w:history="1">
        <w:r w:rsidRPr="0001205D">
          <w:rPr>
            <w:rStyle w:val="Hyperlink"/>
            <w:noProof/>
          </w:rPr>
          <w:t>V.</w:t>
        </w:r>
        <w:r>
          <w:rPr>
            <w:rFonts w:asciiTheme="minorHAnsi" w:eastAsiaTheme="minorEastAsia" w:hAnsiTheme="minorHAnsi" w:cstheme="minorBidi"/>
            <w:noProof/>
            <w:sz w:val="22"/>
          </w:rPr>
          <w:tab/>
        </w:r>
        <w:r w:rsidRPr="0001205D">
          <w:rPr>
            <w:rStyle w:val="Hyperlink"/>
            <w:noProof/>
          </w:rPr>
          <w:t>NIOSH criteria for a recommended standard</w:t>
        </w:r>
        <w:r>
          <w:rPr>
            <w:noProof/>
            <w:webHidden/>
          </w:rPr>
          <w:tab/>
        </w:r>
        <w:r>
          <w:rPr>
            <w:noProof/>
            <w:webHidden/>
          </w:rPr>
          <w:fldChar w:fldCharType="begin"/>
        </w:r>
        <w:r>
          <w:rPr>
            <w:noProof/>
            <w:webHidden/>
          </w:rPr>
          <w:instrText xml:space="preserve"> PAGEREF _Toc517168454 \h </w:instrText>
        </w:r>
        <w:r>
          <w:rPr>
            <w:noProof/>
            <w:webHidden/>
          </w:rPr>
        </w:r>
        <w:r>
          <w:rPr>
            <w:noProof/>
            <w:webHidden/>
          </w:rPr>
          <w:fldChar w:fldCharType="separate"/>
        </w:r>
        <w:r>
          <w:rPr>
            <w:noProof/>
            <w:webHidden/>
          </w:rPr>
          <w:t>21</w:t>
        </w:r>
        <w:r>
          <w:rPr>
            <w:noProof/>
            <w:webHidden/>
          </w:rPr>
          <w:fldChar w:fldCharType="end"/>
        </w:r>
      </w:hyperlink>
    </w:p>
    <w:p w14:paraId="06091ADB" w14:textId="77777777" w:rsidR="00806F98" w:rsidRDefault="00806F98">
      <w:pPr>
        <w:pStyle w:val="TOC2"/>
        <w:rPr>
          <w:rFonts w:asciiTheme="minorHAnsi" w:eastAsiaTheme="minorEastAsia" w:hAnsiTheme="minorHAnsi" w:cstheme="minorBidi"/>
          <w:noProof/>
          <w:sz w:val="22"/>
        </w:rPr>
      </w:pPr>
      <w:hyperlink w:anchor="_Toc517168455" w:history="1">
        <w:r w:rsidRPr="0001205D">
          <w:rPr>
            <w:rStyle w:val="Hyperlink"/>
            <w:noProof/>
          </w:rPr>
          <w:t>A.</w:t>
        </w:r>
        <w:r>
          <w:rPr>
            <w:rFonts w:asciiTheme="minorHAnsi" w:eastAsiaTheme="minorEastAsia" w:hAnsiTheme="minorHAnsi" w:cstheme="minorBidi"/>
            <w:noProof/>
            <w:sz w:val="22"/>
          </w:rPr>
          <w:tab/>
        </w:r>
        <w:r w:rsidRPr="0001205D">
          <w:rPr>
            <w:rStyle w:val="Hyperlink"/>
            <w:noProof/>
          </w:rPr>
          <w:t>Heat stress threshold, mandatory rest breaks, shade, and Personal Protective Equipment</w:t>
        </w:r>
        <w:r>
          <w:rPr>
            <w:noProof/>
            <w:webHidden/>
          </w:rPr>
          <w:tab/>
        </w:r>
        <w:r>
          <w:rPr>
            <w:noProof/>
            <w:webHidden/>
          </w:rPr>
          <w:fldChar w:fldCharType="begin"/>
        </w:r>
        <w:r>
          <w:rPr>
            <w:noProof/>
            <w:webHidden/>
          </w:rPr>
          <w:instrText xml:space="preserve"> PAGEREF _Toc517168455 \h </w:instrText>
        </w:r>
        <w:r>
          <w:rPr>
            <w:noProof/>
            <w:webHidden/>
          </w:rPr>
        </w:r>
        <w:r>
          <w:rPr>
            <w:noProof/>
            <w:webHidden/>
          </w:rPr>
          <w:fldChar w:fldCharType="separate"/>
        </w:r>
        <w:r>
          <w:rPr>
            <w:noProof/>
            <w:webHidden/>
          </w:rPr>
          <w:t>21</w:t>
        </w:r>
        <w:r>
          <w:rPr>
            <w:noProof/>
            <w:webHidden/>
          </w:rPr>
          <w:fldChar w:fldCharType="end"/>
        </w:r>
      </w:hyperlink>
    </w:p>
    <w:p w14:paraId="265806D9" w14:textId="77777777" w:rsidR="00806F98" w:rsidRDefault="00806F98">
      <w:pPr>
        <w:pStyle w:val="TOC2"/>
        <w:rPr>
          <w:rFonts w:asciiTheme="minorHAnsi" w:eastAsiaTheme="minorEastAsia" w:hAnsiTheme="minorHAnsi" w:cstheme="minorBidi"/>
          <w:noProof/>
          <w:sz w:val="22"/>
        </w:rPr>
      </w:pPr>
      <w:hyperlink w:anchor="_Toc517168456" w:history="1">
        <w:r w:rsidRPr="0001205D">
          <w:rPr>
            <w:rStyle w:val="Hyperlink"/>
            <w:noProof/>
          </w:rPr>
          <w:t>B.</w:t>
        </w:r>
        <w:r>
          <w:rPr>
            <w:rFonts w:asciiTheme="minorHAnsi" w:eastAsiaTheme="minorEastAsia" w:hAnsiTheme="minorHAnsi" w:cstheme="minorBidi"/>
            <w:noProof/>
            <w:sz w:val="22"/>
          </w:rPr>
          <w:tab/>
        </w:r>
        <w:r w:rsidRPr="0001205D">
          <w:rPr>
            <w:rStyle w:val="Hyperlink"/>
            <w:noProof/>
          </w:rPr>
          <w:t>Hydration</w:t>
        </w:r>
        <w:r>
          <w:rPr>
            <w:noProof/>
            <w:webHidden/>
          </w:rPr>
          <w:tab/>
        </w:r>
        <w:r>
          <w:rPr>
            <w:noProof/>
            <w:webHidden/>
          </w:rPr>
          <w:fldChar w:fldCharType="begin"/>
        </w:r>
        <w:r>
          <w:rPr>
            <w:noProof/>
            <w:webHidden/>
          </w:rPr>
          <w:instrText xml:space="preserve"> PAGEREF _Toc517168456 \h </w:instrText>
        </w:r>
        <w:r>
          <w:rPr>
            <w:noProof/>
            <w:webHidden/>
          </w:rPr>
        </w:r>
        <w:r>
          <w:rPr>
            <w:noProof/>
            <w:webHidden/>
          </w:rPr>
          <w:fldChar w:fldCharType="separate"/>
        </w:r>
        <w:r>
          <w:rPr>
            <w:noProof/>
            <w:webHidden/>
          </w:rPr>
          <w:t>25</w:t>
        </w:r>
        <w:r>
          <w:rPr>
            <w:noProof/>
            <w:webHidden/>
          </w:rPr>
          <w:fldChar w:fldCharType="end"/>
        </w:r>
      </w:hyperlink>
    </w:p>
    <w:p w14:paraId="1A0B6AA8" w14:textId="77777777" w:rsidR="00806F98" w:rsidRDefault="00806F98">
      <w:pPr>
        <w:pStyle w:val="TOC2"/>
        <w:rPr>
          <w:rFonts w:asciiTheme="minorHAnsi" w:eastAsiaTheme="minorEastAsia" w:hAnsiTheme="minorHAnsi" w:cstheme="minorBidi"/>
          <w:noProof/>
          <w:sz w:val="22"/>
        </w:rPr>
      </w:pPr>
      <w:hyperlink w:anchor="_Toc517168457" w:history="1">
        <w:r w:rsidRPr="0001205D">
          <w:rPr>
            <w:rStyle w:val="Hyperlink"/>
            <w:noProof/>
          </w:rPr>
          <w:t>C.</w:t>
        </w:r>
        <w:r>
          <w:rPr>
            <w:rFonts w:asciiTheme="minorHAnsi" w:eastAsiaTheme="minorEastAsia" w:hAnsiTheme="minorHAnsi" w:cstheme="minorBidi"/>
            <w:noProof/>
            <w:sz w:val="22"/>
          </w:rPr>
          <w:tab/>
        </w:r>
        <w:r w:rsidRPr="0001205D">
          <w:rPr>
            <w:rStyle w:val="Hyperlink"/>
            <w:noProof/>
          </w:rPr>
          <w:t>Heat acclimatization plan</w:t>
        </w:r>
        <w:r>
          <w:rPr>
            <w:noProof/>
            <w:webHidden/>
          </w:rPr>
          <w:tab/>
        </w:r>
        <w:r>
          <w:rPr>
            <w:noProof/>
            <w:webHidden/>
          </w:rPr>
          <w:fldChar w:fldCharType="begin"/>
        </w:r>
        <w:r>
          <w:rPr>
            <w:noProof/>
            <w:webHidden/>
          </w:rPr>
          <w:instrText xml:space="preserve"> PAGEREF _Toc517168457 \h </w:instrText>
        </w:r>
        <w:r>
          <w:rPr>
            <w:noProof/>
            <w:webHidden/>
          </w:rPr>
        </w:r>
        <w:r>
          <w:rPr>
            <w:noProof/>
            <w:webHidden/>
          </w:rPr>
          <w:fldChar w:fldCharType="separate"/>
        </w:r>
        <w:r>
          <w:rPr>
            <w:noProof/>
            <w:webHidden/>
          </w:rPr>
          <w:t>25</w:t>
        </w:r>
        <w:r>
          <w:rPr>
            <w:noProof/>
            <w:webHidden/>
          </w:rPr>
          <w:fldChar w:fldCharType="end"/>
        </w:r>
      </w:hyperlink>
    </w:p>
    <w:p w14:paraId="43076EDF" w14:textId="77777777" w:rsidR="00806F98" w:rsidRDefault="00806F98">
      <w:pPr>
        <w:pStyle w:val="TOC2"/>
        <w:rPr>
          <w:rFonts w:asciiTheme="minorHAnsi" w:eastAsiaTheme="minorEastAsia" w:hAnsiTheme="minorHAnsi" w:cstheme="minorBidi"/>
          <w:noProof/>
          <w:sz w:val="22"/>
        </w:rPr>
      </w:pPr>
      <w:hyperlink w:anchor="_Toc517168458" w:history="1">
        <w:r w:rsidRPr="0001205D">
          <w:rPr>
            <w:rStyle w:val="Hyperlink"/>
            <w:noProof/>
          </w:rPr>
          <w:t>D.</w:t>
        </w:r>
        <w:r>
          <w:rPr>
            <w:rFonts w:asciiTheme="minorHAnsi" w:eastAsiaTheme="minorEastAsia" w:hAnsiTheme="minorHAnsi" w:cstheme="minorBidi"/>
            <w:noProof/>
            <w:sz w:val="22"/>
          </w:rPr>
          <w:tab/>
        </w:r>
        <w:r w:rsidRPr="0001205D">
          <w:rPr>
            <w:rStyle w:val="Hyperlink"/>
            <w:noProof/>
          </w:rPr>
          <w:t>Exposure monitoring</w:t>
        </w:r>
        <w:r>
          <w:rPr>
            <w:noProof/>
            <w:webHidden/>
          </w:rPr>
          <w:tab/>
        </w:r>
        <w:r>
          <w:rPr>
            <w:noProof/>
            <w:webHidden/>
          </w:rPr>
          <w:fldChar w:fldCharType="begin"/>
        </w:r>
        <w:r>
          <w:rPr>
            <w:noProof/>
            <w:webHidden/>
          </w:rPr>
          <w:instrText xml:space="preserve"> PAGEREF _Toc517168458 \h </w:instrText>
        </w:r>
        <w:r>
          <w:rPr>
            <w:noProof/>
            <w:webHidden/>
          </w:rPr>
        </w:r>
        <w:r>
          <w:rPr>
            <w:noProof/>
            <w:webHidden/>
          </w:rPr>
          <w:fldChar w:fldCharType="separate"/>
        </w:r>
        <w:r>
          <w:rPr>
            <w:noProof/>
            <w:webHidden/>
          </w:rPr>
          <w:t>26</w:t>
        </w:r>
        <w:r>
          <w:rPr>
            <w:noProof/>
            <w:webHidden/>
          </w:rPr>
          <w:fldChar w:fldCharType="end"/>
        </w:r>
      </w:hyperlink>
    </w:p>
    <w:p w14:paraId="0F353190" w14:textId="77777777" w:rsidR="00806F98" w:rsidRDefault="00806F98">
      <w:pPr>
        <w:pStyle w:val="TOC2"/>
        <w:rPr>
          <w:rFonts w:asciiTheme="minorHAnsi" w:eastAsiaTheme="minorEastAsia" w:hAnsiTheme="minorHAnsi" w:cstheme="minorBidi"/>
          <w:noProof/>
          <w:sz w:val="22"/>
        </w:rPr>
      </w:pPr>
      <w:hyperlink w:anchor="_Toc517168459" w:history="1">
        <w:r w:rsidRPr="0001205D">
          <w:rPr>
            <w:rStyle w:val="Hyperlink"/>
            <w:noProof/>
          </w:rPr>
          <w:t>E.</w:t>
        </w:r>
        <w:r>
          <w:rPr>
            <w:rFonts w:asciiTheme="minorHAnsi" w:eastAsiaTheme="minorEastAsia" w:hAnsiTheme="minorHAnsi" w:cstheme="minorBidi"/>
            <w:noProof/>
            <w:sz w:val="22"/>
          </w:rPr>
          <w:tab/>
        </w:r>
        <w:r w:rsidRPr="0001205D">
          <w:rPr>
            <w:rStyle w:val="Hyperlink"/>
            <w:noProof/>
          </w:rPr>
          <w:t>Medical monitoring</w:t>
        </w:r>
        <w:r>
          <w:rPr>
            <w:noProof/>
            <w:webHidden/>
          </w:rPr>
          <w:tab/>
        </w:r>
        <w:r>
          <w:rPr>
            <w:noProof/>
            <w:webHidden/>
          </w:rPr>
          <w:fldChar w:fldCharType="begin"/>
        </w:r>
        <w:r>
          <w:rPr>
            <w:noProof/>
            <w:webHidden/>
          </w:rPr>
          <w:instrText xml:space="preserve"> PAGEREF _Toc517168459 \h </w:instrText>
        </w:r>
        <w:r>
          <w:rPr>
            <w:noProof/>
            <w:webHidden/>
          </w:rPr>
        </w:r>
        <w:r>
          <w:rPr>
            <w:noProof/>
            <w:webHidden/>
          </w:rPr>
          <w:fldChar w:fldCharType="separate"/>
        </w:r>
        <w:r>
          <w:rPr>
            <w:noProof/>
            <w:webHidden/>
          </w:rPr>
          <w:t>26</w:t>
        </w:r>
        <w:r>
          <w:rPr>
            <w:noProof/>
            <w:webHidden/>
          </w:rPr>
          <w:fldChar w:fldCharType="end"/>
        </w:r>
      </w:hyperlink>
    </w:p>
    <w:p w14:paraId="06BB1EE8" w14:textId="77777777" w:rsidR="00806F98" w:rsidRDefault="00806F98">
      <w:pPr>
        <w:pStyle w:val="TOC2"/>
        <w:rPr>
          <w:rFonts w:asciiTheme="minorHAnsi" w:eastAsiaTheme="minorEastAsia" w:hAnsiTheme="minorHAnsi" w:cstheme="minorBidi"/>
          <w:noProof/>
          <w:sz w:val="22"/>
        </w:rPr>
      </w:pPr>
      <w:hyperlink w:anchor="_Toc517168460" w:history="1">
        <w:r w:rsidRPr="0001205D">
          <w:rPr>
            <w:rStyle w:val="Hyperlink"/>
            <w:bCs/>
            <w:noProof/>
          </w:rPr>
          <w:t>F.</w:t>
        </w:r>
        <w:r>
          <w:rPr>
            <w:rFonts w:asciiTheme="minorHAnsi" w:eastAsiaTheme="minorEastAsia" w:hAnsiTheme="minorHAnsi" w:cstheme="minorBidi"/>
            <w:noProof/>
            <w:sz w:val="22"/>
          </w:rPr>
          <w:tab/>
        </w:r>
        <w:r w:rsidRPr="0001205D">
          <w:rPr>
            <w:rStyle w:val="Hyperlink"/>
            <w:noProof/>
          </w:rPr>
          <w:t>Hazard notification</w:t>
        </w:r>
        <w:r>
          <w:rPr>
            <w:noProof/>
            <w:webHidden/>
          </w:rPr>
          <w:tab/>
        </w:r>
        <w:r>
          <w:rPr>
            <w:noProof/>
            <w:webHidden/>
          </w:rPr>
          <w:fldChar w:fldCharType="begin"/>
        </w:r>
        <w:r>
          <w:rPr>
            <w:noProof/>
            <w:webHidden/>
          </w:rPr>
          <w:instrText xml:space="preserve"> PAGEREF _Toc517168460 \h </w:instrText>
        </w:r>
        <w:r>
          <w:rPr>
            <w:noProof/>
            <w:webHidden/>
          </w:rPr>
        </w:r>
        <w:r>
          <w:rPr>
            <w:noProof/>
            <w:webHidden/>
          </w:rPr>
          <w:fldChar w:fldCharType="separate"/>
        </w:r>
        <w:r>
          <w:rPr>
            <w:noProof/>
            <w:webHidden/>
          </w:rPr>
          <w:t>26</w:t>
        </w:r>
        <w:r>
          <w:rPr>
            <w:noProof/>
            <w:webHidden/>
          </w:rPr>
          <w:fldChar w:fldCharType="end"/>
        </w:r>
      </w:hyperlink>
    </w:p>
    <w:p w14:paraId="539D6998" w14:textId="77777777" w:rsidR="00806F98" w:rsidRDefault="00806F98">
      <w:pPr>
        <w:pStyle w:val="TOC2"/>
        <w:rPr>
          <w:rFonts w:asciiTheme="minorHAnsi" w:eastAsiaTheme="minorEastAsia" w:hAnsiTheme="minorHAnsi" w:cstheme="minorBidi"/>
          <w:noProof/>
          <w:sz w:val="22"/>
        </w:rPr>
      </w:pPr>
      <w:hyperlink w:anchor="_Toc517168461" w:history="1">
        <w:r w:rsidRPr="0001205D">
          <w:rPr>
            <w:rStyle w:val="Hyperlink"/>
            <w:noProof/>
          </w:rPr>
          <w:t>G.</w:t>
        </w:r>
        <w:r>
          <w:rPr>
            <w:rFonts w:asciiTheme="minorHAnsi" w:eastAsiaTheme="minorEastAsia" w:hAnsiTheme="minorHAnsi" w:cstheme="minorBidi"/>
            <w:noProof/>
            <w:sz w:val="22"/>
          </w:rPr>
          <w:tab/>
        </w:r>
        <w:r w:rsidRPr="0001205D">
          <w:rPr>
            <w:rStyle w:val="Hyperlink"/>
            <w:noProof/>
          </w:rPr>
          <w:t>Heat Alert Program</w:t>
        </w:r>
        <w:r>
          <w:rPr>
            <w:noProof/>
            <w:webHidden/>
          </w:rPr>
          <w:tab/>
        </w:r>
        <w:r>
          <w:rPr>
            <w:noProof/>
            <w:webHidden/>
          </w:rPr>
          <w:fldChar w:fldCharType="begin"/>
        </w:r>
        <w:r>
          <w:rPr>
            <w:noProof/>
            <w:webHidden/>
          </w:rPr>
          <w:instrText xml:space="preserve"> PAGEREF _Toc517168461 \h </w:instrText>
        </w:r>
        <w:r>
          <w:rPr>
            <w:noProof/>
            <w:webHidden/>
          </w:rPr>
        </w:r>
        <w:r>
          <w:rPr>
            <w:noProof/>
            <w:webHidden/>
          </w:rPr>
          <w:fldChar w:fldCharType="separate"/>
        </w:r>
        <w:r>
          <w:rPr>
            <w:noProof/>
            <w:webHidden/>
          </w:rPr>
          <w:t>27</w:t>
        </w:r>
        <w:r>
          <w:rPr>
            <w:noProof/>
            <w:webHidden/>
          </w:rPr>
          <w:fldChar w:fldCharType="end"/>
        </w:r>
      </w:hyperlink>
    </w:p>
    <w:p w14:paraId="58E8D8B7" w14:textId="77777777" w:rsidR="00806F98" w:rsidRDefault="00806F98">
      <w:pPr>
        <w:pStyle w:val="TOC2"/>
        <w:rPr>
          <w:rFonts w:asciiTheme="minorHAnsi" w:eastAsiaTheme="minorEastAsia" w:hAnsiTheme="minorHAnsi" w:cstheme="minorBidi"/>
          <w:noProof/>
          <w:sz w:val="22"/>
        </w:rPr>
      </w:pPr>
      <w:hyperlink w:anchor="_Toc517168462" w:history="1">
        <w:r w:rsidRPr="0001205D">
          <w:rPr>
            <w:rStyle w:val="Hyperlink"/>
            <w:bCs/>
            <w:noProof/>
          </w:rPr>
          <w:t>H.</w:t>
        </w:r>
        <w:r>
          <w:rPr>
            <w:rFonts w:asciiTheme="minorHAnsi" w:eastAsiaTheme="minorEastAsia" w:hAnsiTheme="minorHAnsi" w:cstheme="minorBidi"/>
            <w:noProof/>
            <w:sz w:val="22"/>
          </w:rPr>
          <w:tab/>
        </w:r>
        <w:r w:rsidRPr="0001205D">
          <w:rPr>
            <w:rStyle w:val="Hyperlink"/>
            <w:noProof/>
          </w:rPr>
          <w:t>Worker information and training</w:t>
        </w:r>
        <w:r>
          <w:rPr>
            <w:noProof/>
            <w:webHidden/>
          </w:rPr>
          <w:tab/>
        </w:r>
        <w:r>
          <w:rPr>
            <w:noProof/>
            <w:webHidden/>
          </w:rPr>
          <w:fldChar w:fldCharType="begin"/>
        </w:r>
        <w:r>
          <w:rPr>
            <w:noProof/>
            <w:webHidden/>
          </w:rPr>
          <w:instrText xml:space="preserve"> PAGEREF _Toc517168462 \h </w:instrText>
        </w:r>
        <w:r>
          <w:rPr>
            <w:noProof/>
            <w:webHidden/>
          </w:rPr>
        </w:r>
        <w:r>
          <w:rPr>
            <w:noProof/>
            <w:webHidden/>
          </w:rPr>
          <w:fldChar w:fldCharType="separate"/>
        </w:r>
        <w:r>
          <w:rPr>
            <w:noProof/>
            <w:webHidden/>
          </w:rPr>
          <w:t>27</w:t>
        </w:r>
        <w:r>
          <w:rPr>
            <w:noProof/>
            <w:webHidden/>
          </w:rPr>
          <w:fldChar w:fldCharType="end"/>
        </w:r>
      </w:hyperlink>
    </w:p>
    <w:p w14:paraId="77CEBEEA" w14:textId="77777777" w:rsidR="00806F98" w:rsidRDefault="00806F98">
      <w:pPr>
        <w:pStyle w:val="TOC2"/>
        <w:rPr>
          <w:rFonts w:asciiTheme="minorHAnsi" w:eastAsiaTheme="minorEastAsia" w:hAnsiTheme="minorHAnsi" w:cstheme="minorBidi"/>
          <w:noProof/>
          <w:sz w:val="22"/>
        </w:rPr>
      </w:pPr>
      <w:hyperlink w:anchor="_Toc517168463" w:history="1">
        <w:r w:rsidRPr="0001205D">
          <w:rPr>
            <w:rStyle w:val="Hyperlink"/>
            <w:bCs/>
            <w:noProof/>
          </w:rPr>
          <w:t>I.</w:t>
        </w:r>
        <w:r>
          <w:rPr>
            <w:rFonts w:asciiTheme="minorHAnsi" w:eastAsiaTheme="minorEastAsia" w:hAnsiTheme="minorHAnsi" w:cstheme="minorBidi"/>
            <w:noProof/>
            <w:sz w:val="22"/>
          </w:rPr>
          <w:tab/>
        </w:r>
        <w:r w:rsidRPr="0001205D">
          <w:rPr>
            <w:rStyle w:val="Hyperlink"/>
            <w:noProof/>
          </w:rPr>
          <w:t>Heat-related surveillance and recordkeeping</w:t>
        </w:r>
        <w:r>
          <w:rPr>
            <w:noProof/>
            <w:webHidden/>
          </w:rPr>
          <w:tab/>
        </w:r>
        <w:r>
          <w:rPr>
            <w:noProof/>
            <w:webHidden/>
          </w:rPr>
          <w:fldChar w:fldCharType="begin"/>
        </w:r>
        <w:r>
          <w:rPr>
            <w:noProof/>
            <w:webHidden/>
          </w:rPr>
          <w:instrText xml:space="preserve"> PAGEREF _Toc517168463 \h </w:instrText>
        </w:r>
        <w:r>
          <w:rPr>
            <w:noProof/>
            <w:webHidden/>
          </w:rPr>
        </w:r>
        <w:r>
          <w:rPr>
            <w:noProof/>
            <w:webHidden/>
          </w:rPr>
          <w:fldChar w:fldCharType="separate"/>
        </w:r>
        <w:r>
          <w:rPr>
            <w:noProof/>
            <w:webHidden/>
          </w:rPr>
          <w:t>27</w:t>
        </w:r>
        <w:r>
          <w:rPr>
            <w:noProof/>
            <w:webHidden/>
          </w:rPr>
          <w:fldChar w:fldCharType="end"/>
        </w:r>
      </w:hyperlink>
    </w:p>
    <w:p w14:paraId="517F206D" w14:textId="77777777" w:rsidR="00806F98" w:rsidRDefault="00806F98">
      <w:pPr>
        <w:pStyle w:val="TOC1"/>
        <w:rPr>
          <w:rFonts w:asciiTheme="minorHAnsi" w:eastAsiaTheme="minorEastAsia" w:hAnsiTheme="minorHAnsi" w:cstheme="minorBidi"/>
          <w:noProof/>
          <w:sz w:val="22"/>
        </w:rPr>
      </w:pPr>
      <w:hyperlink w:anchor="_Toc517168464" w:history="1">
        <w:r w:rsidRPr="0001205D">
          <w:rPr>
            <w:rStyle w:val="Hyperlink"/>
            <w:noProof/>
          </w:rPr>
          <w:t>VI.</w:t>
        </w:r>
        <w:r>
          <w:rPr>
            <w:rFonts w:asciiTheme="minorHAnsi" w:eastAsiaTheme="minorEastAsia" w:hAnsiTheme="minorHAnsi" w:cstheme="minorBidi"/>
            <w:noProof/>
            <w:sz w:val="22"/>
          </w:rPr>
          <w:tab/>
        </w:r>
        <w:r w:rsidRPr="0001205D">
          <w:rPr>
            <w:rStyle w:val="Hyperlink"/>
            <w:noProof/>
          </w:rPr>
          <w:t>Whistleblower protections</w:t>
        </w:r>
        <w:r>
          <w:rPr>
            <w:noProof/>
            <w:webHidden/>
          </w:rPr>
          <w:tab/>
        </w:r>
        <w:r>
          <w:rPr>
            <w:noProof/>
            <w:webHidden/>
          </w:rPr>
          <w:fldChar w:fldCharType="begin"/>
        </w:r>
        <w:r>
          <w:rPr>
            <w:noProof/>
            <w:webHidden/>
          </w:rPr>
          <w:instrText xml:space="preserve"> PAGEREF _Toc517168464 \h </w:instrText>
        </w:r>
        <w:r>
          <w:rPr>
            <w:noProof/>
            <w:webHidden/>
          </w:rPr>
        </w:r>
        <w:r>
          <w:rPr>
            <w:noProof/>
            <w:webHidden/>
          </w:rPr>
          <w:fldChar w:fldCharType="separate"/>
        </w:r>
        <w:r>
          <w:rPr>
            <w:noProof/>
            <w:webHidden/>
          </w:rPr>
          <w:t>27</w:t>
        </w:r>
        <w:r>
          <w:rPr>
            <w:noProof/>
            <w:webHidden/>
          </w:rPr>
          <w:fldChar w:fldCharType="end"/>
        </w:r>
      </w:hyperlink>
    </w:p>
    <w:p w14:paraId="150BD489" w14:textId="77777777" w:rsidR="00806F98" w:rsidRDefault="00806F98">
      <w:pPr>
        <w:pStyle w:val="TOC1"/>
        <w:rPr>
          <w:rFonts w:asciiTheme="minorHAnsi" w:eastAsiaTheme="minorEastAsia" w:hAnsiTheme="minorHAnsi" w:cstheme="minorBidi"/>
          <w:noProof/>
          <w:sz w:val="22"/>
        </w:rPr>
      </w:pPr>
      <w:hyperlink w:anchor="_Toc517168465" w:history="1">
        <w:r w:rsidRPr="0001205D">
          <w:rPr>
            <w:rStyle w:val="Hyperlink"/>
            <w:noProof/>
          </w:rPr>
          <w:t>VII.</w:t>
        </w:r>
        <w:r>
          <w:rPr>
            <w:rFonts w:asciiTheme="minorHAnsi" w:eastAsiaTheme="minorEastAsia" w:hAnsiTheme="minorHAnsi" w:cstheme="minorBidi"/>
            <w:noProof/>
            <w:sz w:val="22"/>
          </w:rPr>
          <w:tab/>
        </w:r>
        <w:r w:rsidRPr="0001205D">
          <w:rPr>
            <w:rStyle w:val="Hyperlink"/>
            <w:noProof/>
          </w:rPr>
          <w:t>Petition Requests</w:t>
        </w:r>
        <w:r>
          <w:rPr>
            <w:noProof/>
            <w:webHidden/>
          </w:rPr>
          <w:tab/>
        </w:r>
        <w:r>
          <w:rPr>
            <w:noProof/>
            <w:webHidden/>
          </w:rPr>
          <w:fldChar w:fldCharType="begin"/>
        </w:r>
        <w:r>
          <w:rPr>
            <w:noProof/>
            <w:webHidden/>
          </w:rPr>
          <w:instrText xml:space="preserve"> PAGEREF _Toc517168465 \h </w:instrText>
        </w:r>
        <w:r>
          <w:rPr>
            <w:noProof/>
            <w:webHidden/>
          </w:rPr>
        </w:r>
        <w:r>
          <w:rPr>
            <w:noProof/>
            <w:webHidden/>
          </w:rPr>
          <w:fldChar w:fldCharType="separate"/>
        </w:r>
        <w:r>
          <w:rPr>
            <w:noProof/>
            <w:webHidden/>
          </w:rPr>
          <w:t>29</w:t>
        </w:r>
        <w:r>
          <w:rPr>
            <w:noProof/>
            <w:webHidden/>
          </w:rPr>
          <w:fldChar w:fldCharType="end"/>
        </w:r>
      </w:hyperlink>
    </w:p>
    <w:p w14:paraId="01E54492" w14:textId="77777777" w:rsidR="00806F98" w:rsidRDefault="00806F98">
      <w:pPr>
        <w:pStyle w:val="TOC1"/>
        <w:rPr>
          <w:rFonts w:asciiTheme="minorHAnsi" w:eastAsiaTheme="minorEastAsia" w:hAnsiTheme="minorHAnsi" w:cstheme="minorBidi"/>
          <w:noProof/>
          <w:sz w:val="22"/>
        </w:rPr>
      </w:pPr>
      <w:hyperlink w:anchor="_Toc517168466" w:history="1">
        <w:r w:rsidRPr="0001205D">
          <w:rPr>
            <w:rStyle w:val="Hyperlink"/>
            <w:noProof/>
          </w:rPr>
          <w:t>VIII.</w:t>
        </w:r>
        <w:r>
          <w:rPr>
            <w:rFonts w:asciiTheme="minorHAnsi" w:eastAsiaTheme="minorEastAsia" w:hAnsiTheme="minorHAnsi" w:cstheme="minorBidi"/>
            <w:noProof/>
            <w:sz w:val="22"/>
          </w:rPr>
          <w:tab/>
        </w:r>
        <w:r w:rsidRPr="0001205D">
          <w:rPr>
            <w:rStyle w:val="Hyperlink"/>
            <w:noProof/>
          </w:rPr>
          <w:t>Environmental impact statement</w:t>
        </w:r>
        <w:r>
          <w:rPr>
            <w:noProof/>
            <w:webHidden/>
          </w:rPr>
          <w:tab/>
        </w:r>
        <w:r>
          <w:rPr>
            <w:noProof/>
            <w:webHidden/>
          </w:rPr>
          <w:fldChar w:fldCharType="begin"/>
        </w:r>
        <w:r>
          <w:rPr>
            <w:noProof/>
            <w:webHidden/>
          </w:rPr>
          <w:instrText xml:space="preserve"> PAGEREF _Toc517168466 \h </w:instrText>
        </w:r>
        <w:r>
          <w:rPr>
            <w:noProof/>
            <w:webHidden/>
          </w:rPr>
        </w:r>
        <w:r>
          <w:rPr>
            <w:noProof/>
            <w:webHidden/>
          </w:rPr>
          <w:fldChar w:fldCharType="separate"/>
        </w:r>
        <w:r>
          <w:rPr>
            <w:noProof/>
            <w:webHidden/>
          </w:rPr>
          <w:t>31</w:t>
        </w:r>
        <w:r>
          <w:rPr>
            <w:noProof/>
            <w:webHidden/>
          </w:rPr>
          <w:fldChar w:fldCharType="end"/>
        </w:r>
      </w:hyperlink>
    </w:p>
    <w:p w14:paraId="53843C60" w14:textId="77777777" w:rsidR="00806F98" w:rsidRDefault="00806F98">
      <w:pPr>
        <w:pStyle w:val="TOC1"/>
        <w:rPr>
          <w:rFonts w:asciiTheme="minorHAnsi" w:eastAsiaTheme="minorEastAsia" w:hAnsiTheme="minorHAnsi" w:cstheme="minorBidi"/>
          <w:noProof/>
          <w:sz w:val="22"/>
        </w:rPr>
      </w:pPr>
      <w:hyperlink w:anchor="_Toc517168467" w:history="1">
        <w:r w:rsidRPr="0001205D">
          <w:rPr>
            <w:rStyle w:val="Hyperlink"/>
            <w:noProof/>
          </w:rPr>
          <w:t>IX.</w:t>
        </w:r>
        <w:r>
          <w:rPr>
            <w:rFonts w:asciiTheme="minorHAnsi" w:eastAsiaTheme="minorEastAsia" w:hAnsiTheme="minorHAnsi" w:cstheme="minorBidi"/>
            <w:noProof/>
            <w:sz w:val="22"/>
          </w:rPr>
          <w:tab/>
        </w:r>
        <w:r w:rsidRPr="0001205D">
          <w:rPr>
            <w:rStyle w:val="Hyperlink"/>
            <w:noProof/>
          </w:rPr>
          <w:t>Certification</w:t>
        </w:r>
        <w:r>
          <w:rPr>
            <w:noProof/>
            <w:webHidden/>
          </w:rPr>
          <w:tab/>
        </w:r>
        <w:r>
          <w:rPr>
            <w:noProof/>
            <w:webHidden/>
          </w:rPr>
          <w:fldChar w:fldCharType="begin"/>
        </w:r>
        <w:r>
          <w:rPr>
            <w:noProof/>
            <w:webHidden/>
          </w:rPr>
          <w:instrText xml:space="preserve"> PAGEREF _Toc517168467 \h </w:instrText>
        </w:r>
        <w:r>
          <w:rPr>
            <w:noProof/>
            <w:webHidden/>
          </w:rPr>
        </w:r>
        <w:r>
          <w:rPr>
            <w:noProof/>
            <w:webHidden/>
          </w:rPr>
          <w:fldChar w:fldCharType="separate"/>
        </w:r>
        <w:r>
          <w:rPr>
            <w:noProof/>
            <w:webHidden/>
          </w:rPr>
          <w:t>31</w:t>
        </w:r>
        <w:r>
          <w:rPr>
            <w:noProof/>
            <w:webHidden/>
          </w:rPr>
          <w:fldChar w:fldCharType="end"/>
        </w:r>
      </w:hyperlink>
    </w:p>
    <w:p w14:paraId="130D1695" w14:textId="77777777" w:rsidR="00806F98" w:rsidRDefault="00806F98">
      <w:pPr>
        <w:pStyle w:val="TOC1"/>
        <w:rPr>
          <w:rFonts w:asciiTheme="minorHAnsi" w:eastAsiaTheme="minorEastAsia" w:hAnsiTheme="minorHAnsi" w:cstheme="minorBidi"/>
          <w:noProof/>
          <w:sz w:val="22"/>
        </w:rPr>
      </w:pPr>
      <w:hyperlink w:anchor="_Toc517168468" w:history="1">
        <w:r w:rsidRPr="0001205D">
          <w:rPr>
            <w:rStyle w:val="Hyperlink"/>
            <w:noProof/>
          </w:rPr>
          <w:t>Appendix</w:t>
        </w:r>
        <w:r>
          <w:rPr>
            <w:noProof/>
            <w:webHidden/>
          </w:rPr>
          <w:tab/>
        </w:r>
        <w:r>
          <w:rPr>
            <w:noProof/>
            <w:webHidden/>
          </w:rPr>
          <w:fldChar w:fldCharType="begin"/>
        </w:r>
        <w:r>
          <w:rPr>
            <w:noProof/>
            <w:webHidden/>
          </w:rPr>
          <w:instrText xml:space="preserve"> PAGEREF _Toc517168468 \h </w:instrText>
        </w:r>
        <w:r>
          <w:rPr>
            <w:noProof/>
            <w:webHidden/>
          </w:rPr>
        </w:r>
        <w:r>
          <w:rPr>
            <w:noProof/>
            <w:webHidden/>
          </w:rPr>
          <w:fldChar w:fldCharType="separate"/>
        </w:r>
        <w:r>
          <w:rPr>
            <w:noProof/>
            <w:webHidden/>
          </w:rPr>
          <w:t>32</w:t>
        </w:r>
        <w:r>
          <w:rPr>
            <w:noProof/>
            <w:webHidden/>
          </w:rPr>
          <w:fldChar w:fldCharType="end"/>
        </w:r>
      </w:hyperlink>
    </w:p>
    <w:p w14:paraId="3E60385F" w14:textId="77777777" w:rsidR="0052632C" w:rsidRPr="002F64A6" w:rsidRDefault="00BD175B" w:rsidP="0052632C">
      <w:pPr>
        <w:pStyle w:val="L1"/>
        <w:numPr>
          <w:ilvl w:val="0"/>
          <w:numId w:val="0"/>
        </w:numPr>
        <w:ind w:left="475" w:hanging="475"/>
        <w:rPr>
          <w:bCs/>
        </w:rPr>
      </w:pPr>
      <w:r w:rsidRPr="002F64A6">
        <w:rPr>
          <w:bCs/>
        </w:rPr>
        <w:fldChar w:fldCharType="end"/>
      </w:r>
    </w:p>
    <w:p w14:paraId="3A8A730D" w14:textId="4F794B71" w:rsidR="00ED710D" w:rsidRPr="002F64A6" w:rsidRDefault="00ED710D" w:rsidP="00ED710D">
      <w:pPr>
        <w:pStyle w:val="L1"/>
        <w:rPr>
          <w:bCs/>
        </w:rPr>
      </w:pPr>
      <w:bookmarkStart w:id="0" w:name="_Toc517168441"/>
      <w:r w:rsidRPr="002F64A6">
        <w:t>Background</w:t>
      </w:r>
      <w:bookmarkEnd w:id="0"/>
    </w:p>
    <w:p w14:paraId="6C6C901D" w14:textId="7CF8A338" w:rsidR="00ED710D" w:rsidRPr="002F64A6" w:rsidRDefault="00ED710D" w:rsidP="00ED710D">
      <w:r w:rsidRPr="002F64A6">
        <w:t xml:space="preserve">Global warming is resulting in more frequent days of </w:t>
      </w:r>
      <w:r w:rsidR="00DB23CF">
        <w:t>“</w:t>
      </w:r>
      <w:r w:rsidRPr="002F64A6">
        <w:t>extreme</w:t>
      </w:r>
      <w:r w:rsidR="00DB23CF">
        <w:t>”</w:t>
      </w:r>
      <w:r w:rsidRPr="002F64A6">
        <w:t xml:space="preserve"> heat, and record-breaking summers are now becoming the norm. 2017 was the second-hottest year on record, surpassed only by 2016.</w:t>
      </w:r>
      <w:r w:rsidRPr="002F64A6">
        <w:rPr>
          <w:rStyle w:val="FootnoteReference"/>
          <w:rFonts w:asciiTheme="majorBidi" w:hAnsiTheme="majorBidi" w:cstheme="majorBidi"/>
          <w:szCs w:val="24"/>
        </w:rPr>
        <w:footnoteReference w:id="3"/>
      </w:r>
      <w:r w:rsidRPr="002F64A6">
        <w:t xml:space="preserve"> Indeed, 17 of the 18 hottest years on record have occurred since 2001.</w:t>
      </w:r>
      <w:r w:rsidRPr="002F64A6">
        <w:rPr>
          <w:rStyle w:val="FootnoteReference"/>
          <w:rFonts w:asciiTheme="majorBidi" w:hAnsiTheme="majorBidi" w:cstheme="majorBidi"/>
          <w:szCs w:val="24"/>
        </w:rPr>
        <w:footnoteReference w:id="4"/>
      </w:r>
      <w:r w:rsidRPr="002F64A6">
        <w:t xml:space="preserve"> Along with the rise in mean global temperatures, the number of dangerously hot days is rapidly increasing. During an average year from 1995 to 2005, much of the U.S. southeast did not experience any days of deadly heat</w:t>
      </w:r>
      <w:r w:rsidR="006141CD">
        <w:t>—</w:t>
      </w:r>
      <w:r w:rsidRPr="002F64A6">
        <w:t>days during which the combined heat and humidity overwhelm human thermoregulatory capacity even for people at rest</w:t>
      </w:r>
      <w:r w:rsidR="006141CD">
        <w:t>—</w:t>
      </w:r>
      <w:r w:rsidRPr="002F64A6">
        <w:t xml:space="preserve">although some regions, generally the southernmost coastal areas, ranged up to </w:t>
      </w:r>
      <w:r w:rsidR="0011526B" w:rsidRPr="002F64A6">
        <w:t xml:space="preserve">approximately </w:t>
      </w:r>
      <w:r w:rsidRPr="002F64A6">
        <w:t xml:space="preserve">50 days per year. On our current greenhouse gas emissions path, by 2100 </w:t>
      </w:r>
      <w:r w:rsidR="0031623E" w:rsidRPr="002F64A6">
        <w:t xml:space="preserve">nearly </w:t>
      </w:r>
      <w:r w:rsidRPr="002F64A6">
        <w:t>the entire southeastern U.S.</w:t>
      </w:r>
      <w:r w:rsidR="0022093A" w:rsidRPr="002F64A6">
        <w:t>, from Richmond</w:t>
      </w:r>
      <w:r w:rsidR="004F3958" w:rsidRPr="002F64A6">
        <w:t>, Virginia</w:t>
      </w:r>
      <w:r w:rsidR="0022093A" w:rsidRPr="002F64A6">
        <w:t xml:space="preserve"> to the southern tip of Texas,</w:t>
      </w:r>
      <w:r w:rsidRPr="002F64A6">
        <w:t xml:space="preserve"> will experience more than </w:t>
      </w:r>
      <w:r w:rsidR="0031623E" w:rsidRPr="002F64A6">
        <w:t>85</w:t>
      </w:r>
      <w:r w:rsidRPr="002F64A6">
        <w:t xml:space="preserve"> deadly heat days per year on average</w:t>
      </w:r>
      <w:r w:rsidR="00F45250" w:rsidRPr="002F64A6">
        <w:t>. L</w:t>
      </w:r>
      <w:r w:rsidRPr="002F64A6">
        <w:t>arge portions of the region will experience more than 150 per year.</w:t>
      </w:r>
      <w:r w:rsidRPr="002F64A6">
        <w:rPr>
          <w:rStyle w:val="FootnoteReference"/>
          <w:rFonts w:asciiTheme="majorBidi" w:hAnsiTheme="majorBidi" w:cstheme="majorBidi"/>
          <w:szCs w:val="24"/>
        </w:rPr>
        <w:footnoteReference w:id="5"/>
      </w:r>
    </w:p>
    <w:p w14:paraId="1BE192F0" w14:textId="3560BBE1" w:rsidR="00ED710D" w:rsidRPr="002F64A6" w:rsidRDefault="00ED710D" w:rsidP="00ED710D">
      <w:r w:rsidRPr="002F64A6">
        <w:t>Deaths due to heat have been reported in cities and towns across the country. Workers across industries from construction to agriculture are increasingly working full time in extreme heat, often with no precautions taken to protect them from heat exhaustion</w:t>
      </w:r>
      <w:r w:rsidR="006141CD">
        <w:t>—</w:t>
      </w:r>
      <w:r w:rsidRPr="002F64A6">
        <w:t>and little in the way of federal protection.</w:t>
      </w:r>
    </w:p>
    <w:p w14:paraId="37CEB1F7" w14:textId="30A087FF"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According to the Bureau of Labor Statistics, from 1992 through 2016, exposure to excessive environmental heat stress killed 783 U.S. workers and seriously injured 69,374 (</w:t>
      </w:r>
      <w:r w:rsidR="00CD2609" w:rsidRPr="002F64A6">
        <w:rPr>
          <w:rFonts w:asciiTheme="majorBidi" w:hAnsiTheme="majorBidi" w:cstheme="majorBidi"/>
          <w:bCs/>
          <w:szCs w:val="24"/>
        </w:rPr>
        <w:fldChar w:fldCharType="begin"/>
      </w:r>
      <w:r w:rsidR="00CD2609"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CD2609" w:rsidRPr="002F64A6">
        <w:rPr>
          <w:rFonts w:asciiTheme="majorBidi" w:hAnsiTheme="majorBidi" w:cstheme="majorBidi"/>
          <w:bCs/>
          <w:szCs w:val="24"/>
        </w:rPr>
      </w:r>
      <w:r w:rsidR="00CD2609" w:rsidRPr="002F64A6">
        <w:rPr>
          <w:rFonts w:asciiTheme="majorBidi" w:hAnsiTheme="majorBidi" w:cstheme="majorBidi"/>
          <w:bCs/>
          <w:szCs w:val="24"/>
        </w:rPr>
        <w:fldChar w:fldCharType="separate"/>
      </w:r>
      <w:r w:rsidR="00806F98" w:rsidRPr="002F64A6">
        <w:t xml:space="preserve">Figure </w:t>
      </w:r>
      <w:r w:rsidR="00806F98">
        <w:rPr>
          <w:noProof/>
        </w:rPr>
        <w:t>1</w:t>
      </w:r>
      <w:r w:rsidR="00CD2609" w:rsidRPr="002F64A6">
        <w:rPr>
          <w:rFonts w:asciiTheme="majorBidi" w:hAnsiTheme="majorBidi" w:cstheme="majorBidi"/>
          <w:bCs/>
          <w:szCs w:val="24"/>
        </w:rPr>
        <w:fldChar w:fldCharType="end"/>
      </w:r>
      <w:r w:rsidR="00AB286A" w:rsidRPr="002F64A6">
        <w:rPr>
          <w:rFonts w:asciiTheme="majorBidi" w:hAnsiTheme="majorBidi" w:cstheme="majorBidi"/>
          <w:bCs/>
          <w:szCs w:val="24"/>
        </w:rPr>
        <w:t xml:space="preserve"> and</w:t>
      </w:r>
      <w:r w:rsidR="00BC5867" w:rsidRPr="002F64A6">
        <w:rPr>
          <w:rFonts w:asciiTheme="majorBidi" w:hAnsiTheme="majorBidi" w:cstheme="majorBidi"/>
          <w:bCs/>
          <w:szCs w:val="24"/>
        </w:rPr>
        <w:t xml:space="preserve">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r w:rsidRPr="002F64A6">
        <w:rPr>
          <w:rFonts w:asciiTheme="majorBidi" w:hAnsiTheme="majorBidi" w:cstheme="majorBidi"/>
          <w:szCs w:val="24"/>
          <w:vertAlign w:val="superscript"/>
        </w:rPr>
        <w:footnoteReference w:id="6"/>
      </w:r>
      <w:r w:rsidRPr="002F64A6">
        <w:rPr>
          <w:rFonts w:asciiTheme="majorBidi" w:hAnsiTheme="majorBidi" w:cstheme="majorBidi"/>
          <w:szCs w:val="24"/>
        </w:rPr>
        <w:t xml:space="preserve"> These figures are in all likelihood vast underestimates, due to under-reporting. And with accelerating global warming, the United Nations reported in 2016 that worker injuries and deaths due to excessive heat exposure are projected to increase in the coming years.</w:t>
      </w:r>
      <w:r w:rsidRPr="002F64A6">
        <w:rPr>
          <w:rStyle w:val="FootnoteReference"/>
          <w:rFonts w:asciiTheme="majorBidi" w:hAnsiTheme="majorBidi" w:cstheme="majorBidi"/>
          <w:szCs w:val="24"/>
        </w:rPr>
        <w:footnoteReference w:id="7"/>
      </w:r>
    </w:p>
    <w:p w14:paraId="0F8E3417" w14:textId="4AABA5E6"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lastRenderedPageBreak/>
        <w:t xml:space="preserve">In addition to the acute risks of death and injury, heat stress likely poses long-term risks. For example, in recent decades an epidemic of chronic kidney disease of unknown </w:t>
      </w:r>
      <w:r w:rsidR="00562E98" w:rsidRPr="002F64A6">
        <w:rPr>
          <w:rFonts w:asciiTheme="majorBidi" w:hAnsiTheme="majorBidi" w:cstheme="majorBidi"/>
          <w:szCs w:val="24"/>
        </w:rPr>
        <w:t xml:space="preserve">etiology </w:t>
      </w:r>
      <w:r w:rsidRPr="002F64A6">
        <w:rPr>
          <w:rFonts w:asciiTheme="majorBidi" w:hAnsiTheme="majorBidi" w:cstheme="majorBidi"/>
          <w:szCs w:val="24"/>
        </w:rPr>
        <w:t xml:space="preserve">has taken hold in Central America, becoming the second-leading cause of death among men in El Salvador, and chronic heat stress is strongly suspected to be a contributing factor to the illness (see section below on </w:t>
      </w:r>
      <w:r w:rsidR="00DB23CF">
        <w:rPr>
          <w:rFonts w:asciiTheme="majorBidi" w:hAnsiTheme="majorBidi" w:cstheme="majorBidi"/>
          <w:szCs w:val="24"/>
        </w:rPr>
        <w:t>“</w:t>
      </w:r>
      <w:r w:rsidRPr="002F64A6">
        <w:rPr>
          <w:rFonts w:asciiTheme="majorBidi" w:hAnsiTheme="majorBidi" w:cstheme="majorBidi"/>
          <w:szCs w:val="24"/>
        </w:rPr>
        <w:t xml:space="preserve">chronic </w:t>
      </w:r>
      <w:r w:rsidR="000056D2">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 Such illnesses can be expected to migrate northward rapidly as temperatures rise and, indeed, there is already some evidence that rates of kidney disease may be abnormally high among migrant farm workers in California</w:t>
      </w:r>
      <w:r w:rsidR="00DB23CF">
        <w:rPr>
          <w:rFonts w:asciiTheme="majorBidi" w:hAnsiTheme="majorBidi" w:cstheme="majorBidi"/>
          <w:szCs w:val="24"/>
        </w:rPr>
        <w:t>’</w:t>
      </w:r>
      <w:r w:rsidRPr="002F64A6">
        <w:rPr>
          <w:rFonts w:asciiTheme="majorBidi" w:hAnsiTheme="majorBidi" w:cstheme="majorBidi"/>
          <w:szCs w:val="24"/>
        </w:rPr>
        <w:t>s Central Valley.</w:t>
      </w:r>
      <w:r w:rsidRPr="002F64A6">
        <w:rPr>
          <w:rStyle w:val="FootnoteReference"/>
          <w:rFonts w:asciiTheme="majorBidi" w:hAnsiTheme="majorBidi" w:cstheme="majorBidi"/>
          <w:szCs w:val="24"/>
        </w:rPr>
        <w:footnoteReference w:id="8"/>
      </w:r>
    </w:p>
    <w:p w14:paraId="5D710449" w14:textId="77777777" w:rsidR="00ED710D" w:rsidRPr="002F64A6" w:rsidRDefault="00ED710D" w:rsidP="00ED710D">
      <w:pPr>
        <w:pStyle w:val="L1"/>
      </w:pPr>
      <w:bookmarkStart w:id="1" w:name="_Toc517168442"/>
      <w:r w:rsidRPr="002F64A6">
        <w:t>Health effects of excessive heat exposure</w:t>
      </w:r>
      <w:bookmarkEnd w:id="1"/>
    </w:p>
    <w:p w14:paraId="53BE4B9F" w14:textId="2221BDF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The human body needs to maintain a core, or internal, temperature of 37 degrees Celsius (98.6 Fahrenheit) and can tolerate </w:t>
      </w:r>
      <w:r w:rsidR="00904156">
        <w:rPr>
          <w:rFonts w:asciiTheme="majorBidi" w:hAnsiTheme="majorBidi" w:cstheme="majorBidi"/>
          <w:szCs w:val="24"/>
        </w:rPr>
        <w:t xml:space="preserve">only </w:t>
      </w:r>
      <w:r w:rsidRPr="002F64A6">
        <w:rPr>
          <w:rFonts w:asciiTheme="majorBidi" w:hAnsiTheme="majorBidi" w:cstheme="majorBidi"/>
          <w:szCs w:val="24"/>
        </w:rPr>
        <w:t>small deviations from this temperature.</w:t>
      </w:r>
      <w:r w:rsidRPr="002F64A6">
        <w:rPr>
          <w:rStyle w:val="FootnoteReference"/>
          <w:rFonts w:asciiTheme="majorBidi" w:hAnsiTheme="majorBidi" w:cstheme="majorBidi"/>
          <w:szCs w:val="24"/>
        </w:rPr>
        <w:footnoteReference w:id="9"/>
      </w:r>
      <w:r w:rsidRPr="002F64A6">
        <w:rPr>
          <w:rFonts w:asciiTheme="majorBidi" w:hAnsiTheme="majorBidi" w:cstheme="majorBidi"/>
          <w:szCs w:val="24"/>
        </w:rPr>
        <w:t xml:space="preserve"> </w:t>
      </w:r>
      <w:r w:rsidR="008451B0">
        <w:rPr>
          <w:rFonts w:asciiTheme="majorBidi" w:hAnsiTheme="majorBidi" w:cstheme="majorBidi"/>
          <w:szCs w:val="24"/>
        </w:rPr>
        <w:t>T</w:t>
      </w:r>
      <w:r w:rsidRPr="002F64A6">
        <w:rPr>
          <w:rFonts w:asciiTheme="majorBidi" w:hAnsiTheme="majorBidi" w:cstheme="majorBidi"/>
          <w:szCs w:val="24"/>
        </w:rPr>
        <w:t>wo sources of heat can raise the body</w:t>
      </w:r>
      <w:r w:rsidR="00DB23CF">
        <w:rPr>
          <w:rFonts w:asciiTheme="majorBidi" w:hAnsiTheme="majorBidi" w:cstheme="majorBidi"/>
          <w:szCs w:val="24"/>
        </w:rPr>
        <w:t>’</w:t>
      </w:r>
      <w:r w:rsidRPr="002F64A6">
        <w:rPr>
          <w:rFonts w:asciiTheme="majorBidi" w:hAnsiTheme="majorBidi" w:cstheme="majorBidi"/>
          <w:szCs w:val="24"/>
        </w:rPr>
        <w:t xml:space="preserve">s temperature: </w:t>
      </w:r>
      <w:r w:rsidR="00A127CB" w:rsidRPr="002F64A6">
        <w:rPr>
          <w:rFonts w:asciiTheme="majorBidi" w:hAnsiTheme="majorBidi" w:cstheme="majorBidi"/>
          <w:szCs w:val="24"/>
        </w:rPr>
        <w:t>(</w:t>
      </w:r>
      <w:r w:rsidRPr="002F64A6">
        <w:rPr>
          <w:rFonts w:asciiTheme="majorBidi" w:hAnsiTheme="majorBidi" w:cstheme="majorBidi"/>
          <w:szCs w:val="24"/>
        </w:rPr>
        <w:t xml:space="preserve">1) environmental heat, such as that from a hot summer day, and </w:t>
      </w:r>
      <w:r w:rsidR="00A127CB" w:rsidRPr="002F64A6">
        <w:rPr>
          <w:rFonts w:asciiTheme="majorBidi" w:hAnsiTheme="majorBidi" w:cstheme="majorBidi"/>
          <w:szCs w:val="24"/>
        </w:rPr>
        <w:t>(</w:t>
      </w:r>
      <w:r w:rsidRPr="002F64A6">
        <w:rPr>
          <w:rFonts w:asciiTheme="majorBidi" w:hAnsiTheme="majorBidi" w:cstheme="majorBidi"/>
          <w:szCs w:val="24"/>
        </w:rPr>
        <w:t>2) metabolic heat, or the heat that the body generates internally, especially with physical activity.</w:t>
      </w:r>
      <w:r w:rsidRPr="002F64A6">
        <w:rPr>
          <w:rStyle w:val="FootnoteReference"/>
          <w:rFonts w:asciiTheme="majorBidi" w:hAnsiTheme="majorBidi" w:cstheme="majorBidi"/>
          <w:szCs w:val="24"/>
        </w:rPr>
        <w:footnoteReference w:id="10"/>
      </w:r>
      <w:r w:rsidRPr="002F64A6">
        <w:rPr>
          <w:rFonts w:asciiTheme="majorBidi" w:hAnsiTheme="majorBidi" w:cstheme="majorBidi"/>
          <w:szCs w:val="24"/>
        </w:rPr>
        <w:t xml:space="preserve"> Workers who perform strenuous physical labor while exposed to </w:t>
      </w:r>
      <w:r w:rsidR="00945922">
        <w:rPr>
          <w:rFonts w:asciiTheme="majorBidi" w:hAnsiTheme="majorBidi" w:cstheme="majorBidi"/>
          <w:szCs w:val="24"/>
        </w:rPr>
        <w:t xml:space="preserve">environmental </w:t>
      </w:r>
      <w:r w:rsidRPr="002F64A6">
        <w:rPr>
          <w:rFonts w:asciiTheme="majorBidi" w:hAnsiTheme="majorBidi" w:cstheme="majorBidi"/>
          <w:szCs w:val="24"/>
        </w:rPr>
        <w:t>heat will rapidly increase their body temperature through both mechanisms simultaneously, leaving them especially vulnerable to heat stress.</w:t>
      </w:r>
    </w:p>
    <w:p w14:paraId="4667EA34" w14:textId="32249714" w:rsidR="00ED710D" w:rsidRPr="002F64A6" w:rsidRDefault="00ED710D" w:rsidP="008A774C">
      <w:pPr>
        <w:pStyle w:val="L2"/>
      </w:pPr>
      <w:bookmarkStart w:id="2" w:name="_Toc517168443"/>
      <w:r w:rsidRPr="002F64A6">
        <w:t>The body</w:t>
      </w:r>
      <w:r w:rsidR="00DB23CF">
        <w:t>’</w:t>
      </w:r>
      <w:r w:rsidRPr="002F64A6">
        <w:t xml:space="preserve">s normal response to high heat levels: The </w:t>
      </w:r>
      <w:r w:rsidR="00562E98" w:rsidRPr="002F64A6">
        <w:t xml:space="preserve">crucial </w:t>
      </w:r>
      <w:r w:rsidRPr="002F64A6">
        <w:t>importance of the sweat response</w:t>
      </w:r>
      <w:bookmarkEnd w:id="2"/>
    </w:p>
    <w:p w14:paraId="1B90A5C2" w14:textId="4FFBBE3A"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Any increase in the body</w:t>
      </w:r>
      <w:r w:rsidR="00DB23CF">
        <w:rPr>
          <w:rFonts w:asciiTheme="majorBidi" w:hAnsiTheme="majorBidi" w:cstheme="majorBidi"/>
          <w:szCs w:val="24"/>
        </w:rPr>
        <w:t>’</w:t>
      </w:r>
      <w:r w:rsidRPr="002F64A6">
        <w:rPr>
          <w:rFonts w:asciiTheme="majorBidi" w:hAnsiTheme="majorBidi" w:cstheme="majorBidi"/>
          <w:szCs w:val="24"/>
        </w:rPr>
        <w:t xml:space="preserve">s core temperature induces a series of compensatory responses to emit the excess heat and cool the body. In a hot environment, </w:t>
      </w:r>
      <w:r w:rsidR="00562E98" w:rsidRPr="002F64A6">
        <w:rPr>
          <w:rFonts w:asciiTheme="majorBidi" w:hAnsiTheme="majorBidi" w:cstheme="majorBidi"/>
          <w:szCs w:val="24"/>
        </w:rPr>
        <w:t xml:space="preserve">by far </w:t>
      </w:r>
      <w:r w:rsidRPr="002F64A6">
        <w:rPr>
          <w:rFonts w:asciiTheme="majorBidi" w:hAnsiTheme="majorBidi" w:cstheme="majorBidi"/>
          <w:szCs w:val="24"/>
        </w:rPr>
        <w:t>the most important response to an increase in core temperature is sweating.</w:t>
      </w:r>
      <w:r w:rsidRPr="002F64A6">
        <w:rPr>
          <w:rStyle w:val="FootnoteReference"/>
          <w:rFonts w:asciiTheme="majorBidi" w:hAnsiTheme="majorBidi" w:cstheme="majorBidi"/>
          <w:szCs w:val="24"/>
        </w:rPr>
        <w:footnoteReference w:id="11"/>
      </w:r>
      <w:r w:rsidRPr="002F64A6">
        <w:rPr>
          <w:rFonts w:asciiTheme="majorBidi" w:hAnsiTheme="majorBidi" w:cstheme="majorBidi"/>
          <w:szCs w:val="24"/>
        </w:rPr>
        <w:t xml:space="preserve"> </w:t>
      </w:r>
      <w:r w:rsidR="00DD5E77">
        <w:rPr>
          <w:rFonts w:asciiTheme="majorBidi" w:hAnsiTheme="majorBidi" w:cstheme="majorBidi"/>
          <w:szCs w:val="24"/>
        </w:rPr>
        <w:t>T</w:t>
      </w:r>
      <w:r w:rsidRPr="002F64A6">
        <w:rPr>
          <w:rFonts w:asciiTheme="majorBidi" w:hAnsiTheme="majorBidi" w:cstheme="majorBidi"/>
          <w:szCs w:val="24"/>
        </w:rPr>
        <w:t>he evaporation of sweat from the skin, either from ambient heat or moving air (e.g., wind) removes heat from the body</w:t>
      </w:r>
      <w:r w:rsidR="00DB23CF">
        <w:rPr>
          <w:rFonts w:asciiTheme="majorBidi" w:hAnsiTheme="majorBidi" w:cstheme="majorBidi"/>
          <w:szCs w:val="24"/>
        </w:rPr>
        <w:t>’</w:t>
      </w:r>
      <w:r w:rsidRPr="002F64A6">
        <w:rPr>
          <w:rFonts w:asciiTheme="majorBidi" w:hAnsiTheme="majorBidi" w:cstheme="majorBidi"/>
          <w:szCs w:val="24"/>
        </w:rPr>
        <w:t>s surface and serves as the body</w:t>
      </w:r>
      <w:r w:rsidR="00DB23CF">
        <w:rPr>
          <w:rFonts w:asciiTheme="majorBidi" w:hAnsiTheme="majorBidi" w:cstheme="majorBidi"/>
          <w:szCs w:val="24"/>
        </w:rPr>
        <w:t>’</w:t>
      </w:r>
      <w:r w:rsidRPr="002F64A6">
        <w:rPr>
          <w:rFonts w:asciiTheme="majorBidi" w:hAnsiTheme="majorBidi" w:cstheme="majorBidi"/>
          <w:szCs w:val="24"/>
        </w:rPr>
        <w:t xml:space="preserve">s best defense against heat stress. Small arteries in the skin also dilate in response to high temperatures in order to expedite the removal of excess heat through the skin. This shunting of blood away from vital organs, such as the brain and kidneys, causes </w:t>
      </w:r>
      <w:r w:rsidR="007476AA">
        <w:rPr>
          <w:rFonts w:asciiTheme="majorBidi" w:hAnsiTheme="majorBidi" w:cstheme="majorBidi"/>
          <w:szCs w:val="24"/>
        </w:rPr>
        <w:t xml:space="preserve">an increase in </w:t>
      </w:r>
      <w:r w:rsidRPr="002F64A6">
        <w:rPr>
          <w:rFonts w:asciiTheme="majorBidi" w:hAnsiTheme="majorBidi" w:cstheme="majorBidi"/>
          <w:szCs w:val="24"/>
        </w:rPr>
        <w:t>heart rate, a key indicator of heat strain.</w:t>
      </w:r>
      <w:r w:rsidRPr="002F64A6">
        <w:rPr>
          <w:rStyle w:val="FootnoteReference"/>
          <w:rFonts w:asciiTheme="majorBidi" w:hAnsiTheme="majorBidi" w:cstheme="majorBidi"/>
          <w:szCs w:val="24"/>
        </w:rPr>
        <w:footnoteReference w:id="12"/>
      </w:r>
    </w:p>
    <w:p w14:paraId="1733C74A" w14:textId="69E2D194" w:rsidR="00ED710D" w:rsidRPr="002F64A6" w:rsidRDefault="00212609" w:rsidP="00ED710D">
      <w:pPr>
        <w:rPr>
          <w:rFonts w:asciiTheme="majorBidi" w:hAnsiTheme="majorBidi" w:cstheme="majorBidi"/>
          <w:szCs w:val="24"/>
        </w:rPr>
      </w:pPr>
      <w:r>
        <w:rPr>
          <w:rFonts w:asciiTheme="majorBidi" w:hAnsiTheme="majorBidi" w:cstheme="majorBidi"/>
          <w:szCs w:val="24"/>
        </w:rPr>
        <w:t>S</w:t>
      </w:r>
      <w:r w:rsidR="00ED710D" w:rsidRPr="002F64A6">
        <w:rPr>
          <w:rFonts w:asciiTheme="majorBidi" w:hAnsiTheme="majorBidi" w:cstheme="majorBidi"/>
          <w:szCs w:val="24"/>
        </w:rPr>
        <w:t xml:space="preserve">everal factors can impede the critical sweat response. Certain types of clothing, such as the PPE worn by many agricultural or manufacturing workers, serve as a physical barrier to the evaporation of sweat (although certain types of PPE can actually mitigate the risk of heat stress; see below for more details). Humidity in the air causes an increase in vapor pressure, which also reduces the evaporation of sweat from the skin. Humidity is such a strong influence on the </w:t>
      </w:r>
      <w:r w:rsidR="007437D1">
        <w:rPr>
          <w:rFonts w:asciiTheme="majorBidi" w:hAnsiTheme="majorBidi" w:cstheme="majorBidi"/>
          <w:szCs w:val="24"/>
        </w:rPr>
        <w:t>body</w:t>
      </w:r>
      <w:r w:rsidR="00DB23CF">
        <w:rPr>
          <w:rFonts w:asciiTheme="majorBidi" w:hAnsiTheme="majorBidi" w:cstheme="majorBidi"/>
          <w:szCs w:val="24"/>
        </w:rPr>
        <w:t>’</w:t>
      </w:r>
      <w:r w:rsidR="007437D1">
        <w:rPr>
          <w:rFonts w:asciiTheme="majorBidi" w:hAnsiTheme="majorBidi" w:cstheme="majorBidi"/>
          <w:szCs w:val="24"/>
        </w:rPr>
        <w:t xml:space="preserve">s </w:t>
      </w:r>
      <w:r w:rsidR="00ED710D" w:rsidRPr="002F64A6">
        <w:rPr>
          <w:rFonts w:asciiTheme="majorBidi" w:hAnsiTheme="majorBidi" w:cstheme="majorBidi"/>
          <w:szCs w:val="24"/>
        </w:rPr>
        <w:t xml:space="preserve">ability to cool itself that at high rates of relative humidity, heat loss from sweating </w:t>
      </w:r>
      <w:r w:rsidR="00DB23CF">
        <w:rPr>
          <w:rFonts w:asciiTheme="majorBidi" w:hAnsiTheme="majorBidi" w:cstheme="majorBidi"/>
          <w:szCs w:val="24"/>
        </w:rPr>
        <w:t>“</w:t>
      </w:r>
      <w:r w:rsidR="00ED710D" w:rsidRPr="002F64A6">
        <w:rPr>
          <w:rFonts w:asciiTheme="majorBidi" w:hAnsiTheme="majorBidi" w:cstheme="majorBidi"/>
          <w:szCs w:val="24"/>
        </w:rPr>
        <w:t>is virtually nonexistent.</w:t>
      </w:r>
      <w:r w:rsidR="00DB23CF">
        <w:rPr>
          <w:rFonts w:asciiTheme="majorBidi" w:hAnsiTheme="majorBidi" w:cstheme="majorBidi"/>
          <w:szCs w:val="24"/>
        </w:rPr>
        <w:t>”</w:t>
      </w:r>
      <w:r w:rsidR="00ED710D" w:rsidRPr="002F64A6">
        <w:rPr>
          <w:rStyle w:val="FootnoteReference"/>
          <w:rFonts w:asciiTheme="majorBidi" w:hAnsiTheme="majorBidi" w:cstheme="majorBidi"/>
          <w:szCs w:val="24"/>
        </w:rPr>
        <w:footnoteReference w:id="13"/>
      </w:r>
      <w:r w:rsidR="00ED710D" w:rsidRPr="002F64A6">
        <w:rPr>
          <w:rFonts w:asciiTheme="majorBidi" w:hAnsiTheme="majorBidi" w:cstheme="majorBidi"/>
          <w:szCs w:val="24"/>
        </w:rPr>
        <w:t xml:space="preserve"> Finally, dehydration (as explained below) depletes the body</w:t>
      </w:r>
      <w:r w:rsidR="00DB23CF">
        <w:rPr>
          <w:rFonts w:asciiTheme="majorBidi" w:hAnsiTheme="majorBidi" w:cstheme="majorBidi"/>
          <w:szCs w:val="24"/>
        </w:rPr>
        <w:t>’</w:t>
      </w:r>
      <w:r w:rsidR="00ED710D" w:rsidRPr="002F64A6">
        <w:rPr>
          <w:rFonts w:asciiTheme="majorBidi" w:hAnsiTheme="majorBidi" w:cstheme="majorBidi"/>
          <w:szCs w:val="24"/>
        </w:rPr>
        <w:t>s supply of water</w:t>
      </w:r>
      <w:r w:rsidR="00B41C90">
        <w:rPr>
          <w:rFonts w:asciiTheme="majorBidi" w:hAnsiTheme="majorBidi" w:cstheme="majorBidi"/>
          <w:szCs w:val="24"/>
        </w:rPr>
        <w:t xml:space="preserve">, which </w:t>
      </w:r>
      <w:r w:rsidR="00ED710D" w:rsidRPr="002F64A6">
        <w:rPr>
          <w:rFonts w:asciiTheme="majorBidi" w:hAnsiTheme="majorBidi" w:cstheme="majorBidi"/>
          <w:szCs w:val="24"/>
        </w:rPr>
        <w:t>is essential for sweating.</w:t>
      </w:r>
    </w:p>
    <w:p w14:paraId="3871241F" w14:textId="491B61FC" w:rsidR="00ED710D" w:rsidRPr="002F64A6" w:rsidRDefault="00ED710D" w:rsidP="00723C1C">
      <w:pPr>
        <w:pStyle w:val="L2"/>
      </w:pPr>
      <w:bookmarkStart w:id="3" w:name="_Toc517168444"/>
      <w:r w:rsidRPr="002F64A6">
        <w:lastRenderedPageBreak/>
        <w:t>Dehydration</w:t>
      </w:r>
      <w:bookmarkEnd w:id="3"/>
    </w:p>
    <w:p w14:paraId="6783829D" w14:textId="760D2411" w:rsidR="00ED710D" w:rsidRPr="002F64A6" w:rsidRDefault="00CB22AC" w:rsidP="00ED710D">
      <w:pPr>
        <w:rPr>
          <w:rFonts w:asciiTheme="majorBidi" w:hAnsiTheme="majorBidi" w:cstheme="majorBidi"/>
          <w:szCs w:val="24"/>
        </w:rPr>
      </w:pPr>
      <w:r>
        <w:rPr>
          <w:rFonts w:asciiTheme="majorBidi" w:hAnsiTheme="majorBidi" w:cstheme="majorBidi"/>
          <w:szCs w:val="24"/>
        </w:rPr>
        <w:t>E</w:t>
      </w:r>
      <w:r w:rsidRPr="002F64A6">
        <w:rPr>
          <w:rFonts w:asciiTheme="majorBidi" w:hAnsiTheme="majorBidi" w:cstheme="majorBidi"/>
          <w:szCs w:val="24"/>
        </w:rPr>
        <w:t>ven in the absence of heat exposure</w:t>
      </w:r>
      <w:r>
        <w:rPr>
          <w:rFonts w:asciiTheme="majorBidi" w:hAnsiTheme="majorBidi" w:cstheme="majorBidi"/>
          <w:szCs w:val="24"/>
        </w:rPr>
        <w:t>,</w:t>
      </w:r>
      <w:r w:rsidRPr="002F64A6">
        <w:rPr>
          <w:rFonts w:asciiTheme="majorBidi" w:hAnsiTheme="majorBidi" w:cstheme="majorBidi"/>
          <w:szCs w:val="24"/>
        </w:rPr>
        <w:t xml:space="preserve"> </w:t>
      </w:r>
      <w:r>
        <w:rPr>
          <w:rFonts w:asciiTheme="majorBidi" w:hAnsiTheme="majorBidi" w:cstheme="majorBidi"/>
          <w:szCs w:val="24"/>
        </w:rPr>
        <w:t>t</w:t>
      </w:r>
      <w:r w:rsidRPr="002F64A6">
        <w:rPr>
          <w:rFonts w:asciiTheme="majorBidi" w:hAnsiTheme="majorBidi" w:cstheme="majorBidi"/>
          <w:szCs w:val="24"/>
        </w:rPr>
        <w:t xml:space="preserve">he average person </w:t>
      </w:r>
      <w:r w:rsidR="00ED710D" w:rsidRPr="002F64A6">
        <w:rPr>
          <w:rFonts w:asciiTheme="majorBidi" w:hAnsiTheme="majorBidi" w:cstheme="majorBidi"/>
          <w:szCs w:val="24"/>
        </w:rPr>
        <w:t>requires approximately a liter of water per day to replace the amount lost through urine</w:t>
      </w:r>
      <w:r w:rsidR="005D42B7">
        <w:rPr>
          <w:rFonts w:asciiTheme="majorBidi" w:hAnsiTheme="majorBidi" w:cstheme="majorBidi"/>
          <w:szCs w:val="24"/>
        </w:rPr>
        <w:t>, insensible evaporation from the skin, and respiration</w:t>
      </w:r>
      <w:r w:rsidR="00ED710D" w:rsidRPr="002F64A6">
        <w:rPr>
          <w:rFonts w:asciiTheme="majorBidi" w:hAnsiTheme="majorBidi" w:cstheme="majorBidi"/>
          <w:szCs w:val="24"/>
        </w:rPr>
        <w:t>.</w:t>
      </w:r>
      <w:r w:rsidR="00ED710D" w:rsidRPr="002F64A6">
        <w:rPr>
          <w:rFonts w:asciiTheme="majorBidi" w:hAnsiTheme="majorBidi" w:cstheme="majorBidi"/>
          <w:szCs w:val="24"/>
          <w:vertAlign w:val="superscript"/>
        </w:rPr>
        <w:footnoteReference w:id="14"/>
      </w:r>
      <w:r w:rsidR="00ED710D" w:rsidRPr="002F64A6">
        <w:rPr>
          <w:rFonts w:asciiTheme="majorBidi" w:hAnsiTheme="majorBidi" w:cstheme="majorBidi"/>
          <w:szCs w:val="24"/>
        </w:rPr>
        <w:t xml:space="preserve"> Physical exertion and higher temperatures accelerate this water loss. Workers performing physical labor under hot conditions can lose up to 6</w:t>
      </w:r>
      <w:r w:rsidR="00C16939">
        <w:rPr>
          <w:rFonts w:asciiTheme="majorBidi" w:hAnsiTheme="majorBidi" w:cstheme="majorBidi"/>
          <w:szCs w:val="24"/>
        </w:rPr>
        <w:t xml:space="preserve"> to </w:t>
      </w:r>
      <w:r w:rsidR="00ED710D" w:rsidRPr="002F64A6">
        <w:rPr>
          <w:rFonts w:asciiTheme="majorBidi" w:hAnsiTheme="majorBidi" w:cstheme="majorBidi"/>
          <w:szCs w:val="24"/>
        </w:rPr>
        <w:t>8 liters of water through sweat throughout the workday.</w:t>
      </w:r>
      <w:r w:rsidR="00ED710D" w:rsidRPr="002F64A6">
        <w:rPr>
          <w:rFonts w:asciiTheme="majorBidi" w:hAnsiTheme="majorBidi" w:cstheme="majorBidi"/>
          <w:szCs w:val="24"/>
          <w:vertAlign w:val="superscript"/>
        </w:rPr>
        <w:footnoteReference w:id="15"/>
      </w:r>
      <w:r w:rsidR="00ED710D" w:rsidRPr="002F64A6">
        <w:rPr>
          <w:rFonts w:asciiTheme="majorBidi" w:hAnsiTheme="majorBidi" w:cstheme="majorBidi"/>
          <w:szCs w:val="24"/>
        </w:rPr>
        <w:t xml:space="preserve"> Other factors, including older age, coffee or alcohol consumption, and taking certain drugs (e.g.</w:t>
      </w:r>
      <w:r w:rsidR="002A0CBB" w:rsidRPr="002F64A6">
        <w:rPr>
          <w:rFonts w:asciiTheme="majorBidi" w:hAnsiTheme="majorBidi" w:cstheme="majorBidi"/>
          <w:szCs w:val="24"/>
        </w:rPr>
        <w:t>,</w:t>
      </w:r>
      <w:r w:rsidR="00ED710D" w:rsidRPr="002F64A6">
        <w:rPr>
          <w:rFonts w:asciiTheme="majorBidi" w:hAnsiTheme="majorBidi" w:cstheme="majorBidi"/>
          <w:szCs w:val="24"/>
        </w:rPr>
        <w:t xml:space="preserve"> diuretics) can increase the risk for dehydration.</w:t>
      </w:r>
      <w:r w:rsidR="00ED710D" w:rsidRPr="002F64A6">
        <w:rPr>
          <w:rStyle w:val="FootnoteReference"/>
          <w:rFonts w:asciiTheme="majorBidi" w:hAnsiTheme="majorBidi" w:cstheme="majorBidi"/>
          <w:szCs w:val="24"/>
        </w:rPr>
        <w:footnoteReference w:id="16"/>
      </w:r>
      <w:r w:rsidR="00ED710D" w:rsidRPr="002F64A6">
        <w:rPr>
          <w:rFonts w:asciiTheme="majorBidi" w:hAnsiTheme="majorBidi" w:cstheme="majorBidi"/>
          <w:szCs w:val="24"/>
        </w:rPr>
        <w:t xml:space="preserve"> Since merely satisfying thirst is not a sufficient mechanism to replace lost fluids, workers and others at risk for dehydration must proactively consume water or other fluids every 15 to 20 minutes.</w:t>
      </w:r>
      <w:r w:rsidR="00ED710D" w:rsidRPr="002F64A6">
        <w:rPr>
          <w:rStyle w:val="FootnoteReference"/>
          <w:rFonts w:asciiTheme="majorBidi" w:hAnsiTheme="majorBidi" w:cstheme="majorBidi"/>
          <w:szCs w:val="24"/>
        </w:rPr>
        <w:footnoteReference w:id="17"/>
      </w:r>
    </w:p>
    <w:p w14:paraId="3B36BA92" w14:textId="79612EFE"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Dehydration can have a number of serious effects on the body, including dangerously low blood pressure, heart attacks in those with cardiovascular disease, kidney failure, and severe neurological effects, such as fainting or convulsions. Dehydration also affects the body</w:t>
      </w:r>
      <w:r w:rsidR="00DB23CF">
        <w:rPr>
          <w:rFonts w:asciiTheme="majorBidi" w:hAnsiTheme="majorBidi" w:cstheme="majorBidi"/>
          <w:szCs w:val="24"/>
        </w:rPr>
        <w:t>’</w:t>
      </w:r>
      <w:r w:rsidRPr="002F64A6">
        <w:rPr>
          <w:rFonts w:asciiTheme="majorBidi" w:hAnsiTheme="majorBidi" w:cstheme="majorBidi"/>
          <w:szCs w:val="24"/>
        </w:rPr>
        <w:t xml:space="preserve">s ability to deal with heat stress. As water stores are depleted, dehydrated workers gradually lose the ability to sweat, resulting in a faster increase in core temperature and further dehydration, in a dangerous cycle. Chronic, periodic dehydration that can </w:t>
      </w:r>
      <w:r w:rsidR="00AC735C">
        <w:rPr>
          <w:rFonts w:asciiTheme="majorBidi" w:hAnsiTheme="majorBidi" w:cstheme="majorBidi"/>
          <w:szCs w:val="24"/>
        </w:rPr>
        <w:t xml:space="preserve">result from </w:t>
      </w:r>
      <w:r w:rsidRPr="002F64A6">
        <w:rPr>
          <w:rFonts w:asciiTheme="majorBidi" w:hAnsiTheme="majorBidi" w:cstheme="majorBidi"/>
          <w:szCs w:val="24"/>
        </w:rPr>
        <w:t xml:space="preserve">long-term outdoor physical labor also can damage the kidneys, potentially contributing to chronic kidney disease (see section below on </w:t>
      </w:r>
      <w:r w:rsidR="00DB23CF">
        <w:rPr>
          <w:rFonts w:asciiTheme="majorBidi" w:hAnsiTheme="majorBidi" w:cstheme="majorBidi"/>
          <w:szCs w:val="24"/>
        </w:rPr>
        <w:t>“</w:t>
      </w:r>
      <w:r w:rsidR="005638E9">
        <w:rPr>
          <w:rFonts w:asciiTheme="majorBidi" w:hAnsiTheme="majorBidi" w:cstheme="majorBidi"/>
          <w:szCs w:val="24"/>
        </w:rPr>
        <w:t>c</w:t>
      </w:r>
      <w:r w:rsidR="005638E9" w:rsidRPr="002F64A6">
        <w:rPr>
          <w:rFonts w:asciiTheme="majorBidi" w:hAnsiTheme="majorBidi" w:cstheme="majorBidi"/>
          <w:szCs w:val="24"/>
        </w:rPr>
        <w:t xml:space="preserve">hronic </w:t>
      </w:r>
      <w:r w:rsidR="005638E9">
        <w:rPr>
          <w:rFonts w:asciiTheme="majorBidi" w:hAnsiTheme="majorBidi" w:cstheme="majorBidi"/>
          <w:szCs w:val="24"/>
        </w:rPr>
        <w:t>heat-related illness</w:t>
      </w:r>
      <w:r w:rsidR="00DB23CF">
        <w:rPr>
          <w:rFonts w:asciiTheme="majorBidi" w:hAnsiTheme="majorBidi" w:cstheme="majorBidi"/>
          <w:szCs w:val="24"/>
        </w:rPr>
        <w:t>”</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18"/>
      </w:r>
    </w:p>
    <w:p w14:paraId="3DA03E58" w14:textId="66E01759" w:rsidR="00ED710D" w:rsidRPr="002F64A6" w:rsidRDefault="00ED710D" w:rsidP="00E325F1">
      <w:pPr>
        <w:pStyle w:val="L2"/>
      </w:pPr>
      <w:bookmarkStart w:id="4" w:name="_Toc517168445"/>
      <w:r w:rsidRPr="002F64A6">
        <w:t>Acclimatization</w:t>
      </w:r>
      <w:bookmarkEnd w:id="4"/>
    </w:p>
    <w:p w14:paraId="47847E80" w14:textId="7B3840C1"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Acclimatization refers to the body</w:t>
      </w:r>
      <w:r w:rsidR="00DB23CF">
        <w:rPr>
          <w:rFonts w:asciiTheme="majorBidi" w:hAnsiTheme="majorBidi" w:cstheme="majorBidi"/>
          <w:szCs w:val="24"/>
        </w:rPr>
        <w:t>’</w:t>
      </w:r>
      <w:r w:rsidRPr="002F64A6">
        <w:rPr>
          <w:rFonts w:asciiTheme="majorBidi" w:hAnsiTheme="majorBidi" w:cstheme="majorBidi"/>
          <w:szCs w:val="24"/>
        </w:rPr>
        <w:t xml:space="preserve">s ability to gradually and partially adapt over time to high </w:t>
      </w:r>
      <w:r w:rsidR="00E4190F" w:rsidRPr="002F64A6">
        <w:rPr>
          <w:rFonts w:asciiTheme="majorBidi" w:hAnsiTheme="majorBidi" w:cstheme="majorBidi"/>
          <w:szCs w:val="24"/>
        </w:rPr>
        <w:t xml:space="preserve">environmental </w:t>
      </w:r>
      <w:r w:rsidRPr="002F64A6">
        <w:rPr>
          <w:rFonts w:asciiTheme="majorBidi" w:hAnsiTheme="majorBidi" w:cstheme="majorBidi"/>
          <w:szCs w:val="24"/>
        </w:rPr>
        <w:t xml:space="preserve">heat </w:t>
      </w:r>
      <w:r w:rsidR="002A0CBB" w:rsidRPr="002F64A6">
        <w:rPr>
          <w:rFonts w:asciiTheme="majorBidi" w:hAnsiTheme="majorBidi" w:cstheme="majorBidi"/>
          <w:szCs w:val="24"/>
        </w:rPr>
        <w:t>exposure</w:t>
      </w:r>
      <w:r w:rsidRPr="002F64A6">
        <w:rPr>
          <w:rFonts w:asciiTheme="majorBidi" w:hAnsiTheme="majorBidi" w:cstheme="majorBidi"/>
          <w:szCs w:val="24"/>
        </w:rPr>
        <w:t>. When a person is exposed to heat levels higher than he or she is accustomed to, the body gradually adapts, primarily by developing a more robust sweat response, among other physiological adjustments, to emit excess heat</w:t>
      </w:r>
      <w:r w:rsidR="004279A1">
        <w:rPr>
          <w:rFonts w:asciiTheme="majorBidi" w:hAnsiTheme="majorBidi" w:cstheme="majorBidi"/>
          <w:szCs w:val="24"/>
        </w:rPr>
        <w:t xml:space="preserve"> </w:t>
      </w:r>
      <w:r w:rsidR="004279A1" w:rsidRPr="002F64A6">
        <w:rPr>
          <w:rFonts w:asciiTheme="majorBidi" w:hAnsiTheme="majorBidi" w:cstheme="majorBidi"/>
          <w:szCs w:val="24"/>
        </w:rPr>
        <w:t>more optimally</w:t>
      </w:r>
      <w:r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19"/>
      </w:r>
      <w:r w:rsidRPr="002F64A6">
        <w:rPr>
          <w:rFonts w:asciiTheme="majorBidi" w:hAnsiTheme="majorBidi" w:cstheme="majorBidi"/>
          <w:szCs w:val="24"/>
        </w:rPr>
        <w:t xml:space="preserve"> This process requires exposure to the hot conditions for at least two hours per day</w:t>
      </w:r>
      <w:r w:rsidRPr="002F64A6">
        <w:rPr>
          <w:rStyle w:val="FootnoteReference"/>
          <w:rFonts w:asciiTheme="majorBidi" w:hAnsiTheme="majorBidi" w:cstheme="majorBidi"/>
          <w:szCs w:val="24"/>
        </w:rPr>
        <w:footnoteReference w:id="20"/>
      </w:r>
      <w:r w:rsidRPr="002F64A6">
        <w:rPr>
          <w:rFonts w:asciiTheme="majorBidi" w:hAnsiTheme="majorBidi" w:cstheme="majorBidi"/>
          <w:szCs w:val="24"/>
        </w:rPr>
        <w:t xml:space="preserve"> over a period of seven to 14 days, with a phased increase in work rate each day.</w:t>
      </w:r>
      <w:r w:rsidRPr="002F64A6">
        <w:rPr>
          <w:rStyle w:val="FootnoteReference"/>
          <w:rFonts w:asciiTheme="majorBidi" w:hAnsiTheme="majorBidi" w:cstheme="majorBidi"/>
          <w:szCs w:val="24"/>
        </w:rPr>
        <w:footnoteReference w:id="21"/>
      </w:r>
      <w:r w:rsidRPr="002F64A6">
        <w:rPr>
          <w:rFonts w:asciiTheme="majorBidi" w:hAnsiTheme="majorBidi" w:cstheme="majorBidi"/>
          <w:szCs w:val="24"/>
          <w:vertAlign w:val="superscript"/>
        </w:rPr>
        <w:t>,</w:t>
      </w:r>
      <w:r w:rsidRPr="002F64A6">
        <w:rPr>
          <w:rStyle w:val="FootnoteReference"/>
          <w:rFonts w:asciiTheme="majorBidi" w:hAnsiTheme="majorBidi" w:cstheme="majorBidi"/>
          <w:szCs w:val="24"/>
        </w:rPr>
        <w:footnoteReference w:id="22"/>
      </w:r>
      <w:r w:rsidR="008505FD">
        <w:rPr>
          <w:rFonts w:asciiTheme="majorBidi" w:hAnsiTheme="majorBidi" w:cstheme="majorBidi"/>
          <w:szCs w:val="24"/>
        </w:rPr>
        <w:t xml:space="preserve"> </w:t>
      </w:r>
      <w:r w:rsidRPr="002F64A6">
        <w:rPr>
          <w:rFonts w:asciiTheme="majorBidi" w:hAnsiTheme="majorBidi" w:cstheme="majorBidi"/>
          <w:szCs w:val="24"/>
        </w:rPr>
        <w:t>Workers must be adequately hydrated and given adequate rest breaks in air-conditioned surroundings throughout the acclimatization process.</w:t>
      </w:r>
      <w:r w:rsidRPr="002F64A6">
        <w:rPr>
          <w:rStyle w:val="FootnoteReference"/>
          <w:rFonts w:asciiTheme="majorBidi" w:hAnsiTheme="majorBidi" w:cstheme="majorBidi"/>
          <w:szCs w:val="24"/>
        </w:rPr>
        <w:footnoteReference w:id="23"/>
      </w:r>
      <w:r w:rsidRPr="002F64A6">
        <w:rPr>
          <w:rFonts w:asciiTheme="majorBidi" w:hAnsiTheme="majorBidi" w:cstheme="majorBidi"/>
          <w:szCs w:val="24"/>
        </w:rPr>
        <w:t xml:space="preserve"> Re-acclimatization to higher heat exposure is necessary for any sudden increases in the </w:t>
      </w:r>
      <w:r w:rsidRPr="002F64A6">
        <w:rPr>
          <w:rFonts w:asciiTheme="majorBidi" w:hAnsiTheme="majorBidi" w:cstheme="majorBidi"/>
          <w:szCs w:val="24"/>
        </w:rPr>
        <w:lastRenderedPageBreak/>
        <w:t>environmental heat level.</w:t>
      </w:r>
      <w:r w:rsidRPr="002F64A6">
        <w:rPr>
          <w:rStyle w:val="FootnoteReference"/>
          <w:rFonts w:asciiTheme="majorBidi" w:hAnsiTheme="majorBidi" w:cstheme="majorBidi"/>
          <w:szCs w:val="24"/>
        </w:rPr>
        <w:footnoteReference w:id="24"/>
      </w:r>
      <w:r w:rsidRPr="002F64A6">
        <w:rPr>
          <w:rFonts w:asciiTheme="majorBidi" w:hAnsiTheme="majorBidi" w:cstheme="majorBidi"/>
          <w:szCs w:val="24"/>
        </w:rPr>
        <w:t xml:space="preserve"> Acclimatization is recognized as an absolutely necessary preventive measure against heat stress and strain.</w:t>
      </w:r>
    </w:p>
    <w:p w14:paraId="40F5C7BF" w14:textId="3C6C460E" w:rsidR="00ED710D" w:rsidRPr="002F64A6" w:rsidRDefault="00ED710D" w:rsidP="00E325F1">
      <w:pPr>
        <w:pStyle w:val="L2"/>
        <w:rPr>
          <w:rFonts w:eastAsiaTheme="minorHAnsi"/>
        </w:rPr>
      </w:pPr>
      <w:bookmarkStart w:id="5" w:name="_Toc517168446"/>
      <w:r w:rsidRPr="002F64A6">
        <w:rPr>
          <w:rFonts w:eastAsiaTheme="minorHAnsi"/>
        </w:rPr>
        <w:t>Acute heat-related illnesses</w:t>
      </w:r>
      <w:r w:rsidRPr="002F64A6">
        <w:rPr>
          <w:rFonts w:eastAsiaTheme="minorHAnsi"/>
          <w:vertAlign w:val="superscript"/>
        </w:rPr>
        <w:footnoteReference w:id="25"/>
      </w:r>
      <w:bookmarkEnd w:id="5"/>
    </w:p>
    <w:p w14:paraId="5C655F69" w14:textId="77777777" w:rsidR="00BA2448" w:rsidRPr="002F64A6" w:rsidRDefault="00ED710D" w:rsidP="00BA2448">
      <w:r w:rsidRPr="002F64A6">
        <w:t>Heat syncope is dizziness, light-headedness, or fainting that results from prolonged standing or sudden rising from a sitting or lying position within a hot environment.</w:t>
      </w:r>
      <w:r w:rsidRPr="002F64A6">
        <w:rPr>
          <w:vertAlign w:val="superscript"/>
        </w:rPr>
        <w:footnoteReference w:id="26"/>
      </w:r>
      <w:r w:rsidRPr="002F64A6">
        <w:t xml:space="preserve"> It is more likely to occur when a person is dehydrated, not acclimatized to hot weather, or both. Heat syncope is treated by sitting or lying in a cool place and slowly drinking fluids.</w:t>
      </w:r>
    </w:p>
    <w:p w14:paraId="77E2FC67" w14:textId="77777777" w:rsidR="00BA2448" w:rsidRPr="002F64A6" w:rsidRDefault="00ED710D" w:rsidP="00BA2448">
      <w:r w:rsidRPr="002F64A6">
        <w:t>Heat rash involves skin irritation, which can appear as pimples or small blisters on the neck, chest, groin, among other places.</w:t>
      </w:r>
      <w:r w:rsidRPr="002F64A6">
        <w:rPr>
          <w:vertAlign w:val="superscript"/>
        </w:rPr>
        <w:footnoteReference w:id="27"/>
      </w:r>
      <w:r w:rsidRPr="002F64A6">
        <w:t xml:space="preserve"> It is treated by getting away from hot and humid areas, keeping the rash dry, and applying powder to the affected area.</w:t>
      </w:r>
    </w:p>
    <w:p w14:paraId="665952F4" w14:textId="7C1531E1" w:rsidR="00BA2448" w:rsidRPr="002F64A6" w:rsidRDefault="00ED710D" w:rsidP="00BA2448">
      <w:r w:rsidRPr="002F64A6">
        <w:t>Prolonged physical exertion in hot weather can lead to muscle cramps</w:t>
      </w:r>
      <w:r w:rsidRPr="002F64A6">
        <w:rPr>
          <w:vertAlign w:val="superscript"/>
        </w:rPr>
        <w:footnoteReference w:id="28"/>
      </w:r>
      <w:r w:rsidRPr="002F64A6">
        <w:t xml:space="preserve"> and, in severe cases, a life-threatening condition known as rhabdomyolysis, which involves rapid breakdown and death of muscle tissue</w:t>
      </w:r>
      <w:r w:rsidR="00E4190F" w:rsidRPr="002F64A6">
        <w:t xml:space="preserve"> and can lead to acute kidney injury</w:t>
      </w:r>
      <w:r w:rsidRPr="002F64A6">
        <w:t>.</w:t>
      </w:r>
      <w:r w:rsidRPr="002F64A6">
        <w:rPr>
          <w:vertAlign w:val="superscript"/>
        </w:rPr>
        <w:footnoteReference w:id="29"/>
      </w:r>
      <w:r w:rsidRPr="002F64A6">
        <w:t xml:space="preserve"> Symptoms of rhabdomyolysis include severe muscle cramps or pain, dark (tea or co</w:t>
      </w:r>
      <w:bookmarkStart w:id="6" w:name="_GoBack"/>
      <w:bookmarkEnd w:id="6"/>
      <w:r w:rsidRPr="002F64A6">
        <w:t xml:space="preserve">la-colored) urine, and weakness. </w:t>
      </w:r>
      <w:r w:rsidR="00276A09">
        <w:t>I</w:t>
      </w:r>
      <w:r w:rsidR="00276A09" w:rsidRPr="002F64A6">
        <w:t>f such symptoms occur</w:t>
      </w:r>
      <w:r w:rsidR="00276A09">
        <w:t xml:space="preserve">, it is essential to stop </w:t>
      </w:r>
      <w:r w:rsidR="00276A09" w:rsidRPr="002F64A6">
        <w:t>physical activity, drink</w:t>
      </w:r>
      <w:r w:rsidR="00276A09">
        <w:t xml:space="preserve"> </w:t>
      </w:r>
      <w:r w:rsidR="00276A09" w:rsidRPr="002F64A6">
        <w:t>fluids, and see</w:t>
      </w:r>
      <w:r w:rsidR="00276A09">
        <w:t xml:space="preserve"> </w:t>
      </w:r>
      <w:r w:rsidR="00276A09" w:rsidRPr="002F64A6">
        <w:t>a medical professional immediately</w:t>
      </w:r>
      <w:r w:rsidRPr="002F64A6">
        <w:t>.</w:t>
      </w:r>
    </w:p>
    <w:p w14:paraId="528A8A07" w14:textId="77777777" w:rsidR="00BA2448" w:rsidRPr="002F64A6" w:rsidRDefault="00ED710D" w:rsidP="00BA2448">
      <w:r w:rsidRPr="002F64A6">
        <w:t>Heat exhaustion results from prolonged exposure to heat and a loss of body fluids and salt, usually through excessive sweating.</w:t>
      </w:r>
      <w:r w:rsidRPr="002F64A6">
        <w:rPr>
          <w:vertAlign w:val="superscript"/>
        </w:rPr>
        <w:footnoteReference w:id="30"/>
      </w:r>
      <w:r w:rsidRPr="002F64A6">
        <w:t xml:space="preserve"> The symptoms of heat exhaustion are headache, nausea, dizziness, weakness, irritability, thirst, heavy sweating, elevated body temperature, or decreased urination. Heat exhaustion is treated by lying down away from the heat, removing unnecessary clothing, cooling down with cold compresses, washing the head, face, and neck with cold water, and slowly drinking cool fluids.</w:t>
      </w:r>
    </w:p>
    <w:p w14:paraId="04ADDEA8" w14:textId="3A1EE1A7" w:rsidR="00ED710D" w:rsidRPr="002F64A6" w:rsidRDefault="00ED710D" w:rsidP="00BA2448">
      <w:r w:rsidRPr="002F64A6">
        <w:t>If heat exhaustion is severe and not adequately treated, then heat stroke, a life-threatening medical emergency, can occur. Heat stroke occurs when the body rapidly loses the ability to control its temperature and is no longer able to sweat.</w:t>
      </w:r>
      <w:r w:rsidRPr="002F64A6">
        <w:rPr>
          <w:vertAlign w:val="superscript"/>
        </w:rPr>
        <w:footnoteReference w:id="31"/>
      </w:r>
      <w:r w:rsidRPr="002F64A6">
        <w:t xml:space="preserve"> The body</w:t>
      </w:r>
      <w:r w:rsidR="00DB23CF">
        <w:t>’</w:t>
      </w:r>
      <w:r w:rsidRPr="002F64A6">
        <w:t xml:space="preserve">s temperature can rise to 106°F or higher within 10 to 15 minutes. Symptoms of heat stroke include confusion, slurred speech, hot and dry skin or profuse sweating, seizures, or loss of consciousness (coma). Immediate medical attention must be sought by calling 911, </w:t>
      </w:r>
      <w:r w:rsidR="00A9793D">
        <w:t xml:space="preserve">while in the meantime giving </w:t>
      </w:r>
      <w:r w:rsidR="00A9793D" w:rsidRPr="002F64A6">
        <w:t xml:space="preserve">treatment </w:t>
      </w:r>
      <w:r w:rsidR="00A9793D">
        <w:t xml:space="preserve">similar </w:t>
      </w:r>
      <w:r w:rsidR="00A9793D" w:rsidRPr="002F64A6">
        <w:t>to that recommended for heat exhaustion</w:t>
      </w:r>
      <w:r w:rsidRPr="002F64A6">
        <w:t>.</w:t>
      </w:r>
    </w:p>
    <w:p w14:paraId="1D4382D7" w14:textId="512DB58E" w:rsidR="00ED710D" w:rsidRPr="002F64A6" w:rsidRDefault="00ED710D" w:rsidP="00E325F1">
      <w:pPr>
        <w:pStyle w:val="L2"/>
        <w:rPr>
          <w:rFonts w:eastAsiaTheme="minorHAnsi"/>
        </w:rPr>
      </w:pPr>
      <w:bookmarkStart w:id="7" w:name="_Toc517168447"/>
      <w:r w:rsidRPr="002F64A6">
        <w:rPr>
          <w:rFonts w:eastAsiaTheme="minorHAnsi"/>
        </w:rPr>
        <w:lastRenderedPageBreak/>
        <w:t>Chronic heat-related illnesses</w:t>
      </w:r>
      <w:bookmarkEnd w:id="7"/>
    </w:p>
    <w:p w14:paraId="7563EC71" w14:textId="28F6386F" w:rsidR="00ED710D" w:rsidRPr="002F64A6" w:rsidRDefault="00ED710D" w:rsidP="00ED710D">
      <w:pPr>
        <w:spacing w:after="0"/>
        <w:rPr>
          <w:rFonts w:asciiTheme="majorBidi" w:eastAsiaTheme="minorHAnsi" w:hAnsiTheme="majorBidi" w:cstheme="majorBidi"/>
          <w:szCs w:val="24"/>
        </w:rPr>
      </w:pPr>
      <w:r w:rsidRPr="002F64A6">
        <w:rPr>
          <w:rFonts w:asciiTheme="majorBidi" w:eastAsiaTheme="minorHAnsi" w:hAnsiTheme="majorBidi" w:cstheme="majorBidi"/>
          <w:szCs w:val="24"/>
        </w:rPr>
        <w:t xml:space="preserve">Chronic kidney disease of unknown </w:t>
      </w:r>
      <w:r w:rsidR="00550725">
        <w:rPr>
          <w:rFonts w:asciiTheme="majorBidi" w:eastAsiaTheme="minorHAnsi" w:hAnsiTheme="majorBidi" w:cstheme="majorBidi"/>
          <w:szCs w:val="24"/>
        </w:rPr>
        <w:t>etiology</w:t>
      </w:r>
      <w:r w:rsidR="00550725" w:rsidRPr="002F64A6">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(CKD-U) is a devastating condition afflicting mainly young male agricultural workers in Central America, certain parts of Asia, and other tropical regions of the world.</w:t>
      </w:r>
      <w:r w:rsidRPr="002F64A6">
        <w:rPr>
          <w:rStyle w:val="FootnoteReference"/>
          <w:rFonts w:asciiTheme="majorBidi" w:eastAsiaTheme="minorHAnsi" w:hAnsiTheme="majorBidi" w:cstheme="majorBidi"/>
          <w:szCs w:val="24"/>
        </w:rPr>
        <w:footnoteReference w:id="32"/>
      </w:r>
      <w:r w:rsidRPr="002F64A6">
        <w:rPr>
          <w:rFonts w:asciiTheme="majorBidi" w:eastAsiaTheme="minorHAnsi" w:hAnsiTheme="majorBidi" w:cstheme="majorBidi"/>
          <w:szCs w:val="24"/>
        </w:rPr>
        <w:t xml:space="preserve"> Its detection has been fairly recent, over the past two decades, but the disease has risen to startling levels in Nicaragua and El Salvador</w:t>
      </w:r>
      <w:r w:rsidR="008826E3">
        <w:rPr>
          <w:rFonts w:asciiTheme="majorBidi" w:eastAsiaTheme="minorHAnsi" w:hAnsiTheme="majorBidi" w:cstheme="majorBidi"/>
          <w:szCs w:val="24"/>
        </w:rPr>
        <w:t>. I</w:t>
      </w:r>
      <w:r w:rsidR="008826E3" w:rsidRPr="002F64A6">
        <w:rPr>
          <w:rFonts w:asciiTheme="majorBidi" w:eastAsiaTheme="minorHAnsi" w:hAnsiTheme="majorBidi" w:cstheme="majorBidi"/>
          <w:szCs w:val="24"/>
        </w:rPr>
        <w:t>n the latter</w:t>
      </w:r>
      <w:r w:rsidRPr="002F64A6">
        <w:rPr>
          <w:rFonts w:asciiTheme="majorBidi" w:eastAsiaTheme="minorHAnsi" w:hAnsiTheme="majorBidi" w:cstheme="majorBidi"/>
          <w:szCs w:val="24"/>
        </w:rPr>
        <w:t>, CKD has become the second most common cause of death in men, with males affected three times as frequently as females.</w:t>
      </w:r>
      <w:r w:rsidRPr="002F64A6">
        <w:rPr>
          <w:rStyle w:val="FootnoteReference"/>
          <w:rFonts w:asciiTheme="majorBidi" w:eastAsiaTheme="minorHAnsi" w:hAnsiTheme="majorBidi" w:cstheme="majorBidi"/>
          <w:szCs w:val="24"/>
        </w:rPr>
        <w:footnoteReference w:id="33"/>
      </w:r>
      <w:r w:rsidRPr="002F64A6">
        <w:rPr>
          <w:rFonts w:asciiTheme="majorBidi" w:eastAsiaTheme="minorHAnsi" w:hAnsiTheme="majorBidi" w:cstheme="majorBidi"/>
          <w:szCs w:val="24"/>
        </w:rPr>
        <w:t xml:space="preserve"> The precise causes</w:t>
      </w:r>
      <w:r w:rsidR="00CD238E" w:rsidRPr="00CD238E">
        <w:rPr>
          <w:rFonts w:asciiTheme="majorBidi" w:eastAsiaTheme="minorHAnsi" w:hAnsiTheme="majorBidi" w:cstheme="majorBidi"/>
          <w:szCs w:val="24"/>
        </w:rPr>
        <w:t xml:space="preserve"> </w:t>
      </w:r>
      <w:r w:rsidR="00CD238E">
        <w:rPr>
          <w:rFonts w:asciiTheme="majorBidi" w:eastAsiaTheme="minorHAnsi" w:hAnsiTheme="majorBidi" w:cstheme="majorBidi"/>
          <w:szCs w:val="24"/>
        </w:rPr>
        <w:t>are not yet fully understood</w:t>
      </w:r>
      <w:r w:rsidRPr="002F64A6">
        <w:rPr>
          <w:rFonts w:asciiTheme="majorBidi" w:eastAsiaTheme="minorHAnsi" w:hAnsiTheme="majorBidi" w:cstheme="majorBidi"/>
          <w:szCs w:val="24"/>
        </w:rPr>
        <w:t>, as the affected patients do not have the traditional risk factors for CKD, such as diabetes or hypertension.</w:t>
      </w:r>
      <w:r w:rsidRPr="002F64A6">
        <w:rPr>
          <w:rStyle w:val="FootnoteReference"/>
          <w:rFonts w:asciiTheme="majorBidi" w:eastAsiaTheme="minorHAnsi" w:hAnsiTheme="majorBidi" w:cstheme="majorBidi"/>
          <w:szCs w:val="24"/>
        </w:rPr>
        <w:footnoteReference w:id="34"/>
      </w:r>
      <w:r w:rsidRPr="002F64A6">
        <w:rPr>
          <w:rFonts w:asciiTheme="majorBidi" w:eastAsiaTheme="minorHAnsi" w:hAnsiTheme="majorBidi" w:cstheme="majorBidi"/>
          <w:szCs w:val="24"/>
        </w:rPr>
        <w:t xml:space="preserve"> </w:t>
      </w:r>
      <w:r w:rsidR="00BA2153">
        <w:rPr>
          <w:rFonts w:asciiTheme="majorBidi" w:eastAsiaTheme="minorHAnsi" w:hAnsiTheme="majorBidi" w:cstheme="majorBidi"/>
          <w:szCs w:val="24"/>
        </w:rPr>
        <w:t>I</w:t>
      </w:r>
      <w:r w:rsidRPr="002F64A6">
        <w:rPr>
          <w:rFonts w:asciiTheme="majorBidi" w:eastAsiaTheme="minorHAnsi" w:hAnsiTheme="majorBidi" w:cstheme="majorBidi"/>
          <w:szCs w:val="24"/>
        </w:rPr>
        <w:t>t is likely multifactorial, and chronic heat stress</w:t>
      </w:r>
      <w:r w:rsidR="00431F0C">
        <w:rPr>
          <w:rFonts w:asciiTheme="majorBidi" w:eastAsiaTheme="minorHAnsi" w:hAnsiTheme="majorBidi" w:cstheme="majorBidi"/>
          <w:szCs w:val="24"/>
        </w:rPr>
        <w:t xml:space="preserve"> and </w:t>
      </w:r>
      <w:r w:rsidR="00431F0C" w:rsidRPr="002F64A6">
        <w:rPr>
          <w:rFonts w:asciiTheme="majorBidi" w:eastAsiaTheme="minorHAnsi" w:hAnsiTheme="majorBidi" w:cstheme="majorBidi"/>
          <w:szCs w:val="24"/>
        </w:rPr>
        <w:t xml:space="preserve">recurrent dehydration </w:t>
      </w:r>
      <w:r w:rsidR="00431F0C">
        <w:rPr>
          <w:rFonts w:asciiTheme="majorBidi" w:eastAsiaTheme="minorHAnsi" w:hAnsiTheme="majorBidi" w:cstheme="majorBidi"/>
          <w:szCs w:val="24"/>
        </w:rPr>
        <w:t>from</w:t>
      </w:r>
      <w:r w:rsidR="00BA2153">
        <w:rPr>
          <w:rFonts w:asciiTheme="majorBidi" w:eastAsiaTheme="minorHAnsi" w:hAnsiTheme="majorBidi" w:cstheme="majorBidi"/>
          <w:szCs w:val="24"/>
        </w:rPr>
        <w:t xml:space="preserve"> </w:t>
      </w:r>
      <w:r w:rsidRPr="002F64A6">
        <w:rPr>
          <w:rFonts w:asciiTheme="majorBidi" w:eastAsiaTheme="minorHAnsi" w:hAnsiTheme="majorBidi" w:cstheme="majorBidi"/>
          <w:szCs w:val="24"/>
        </w:rPr>
        <w:t>long periods of intensive farm labor are strongly suspected to be contributing factors.</w:t>
      </w:r>
      <w:r w:rsidRPr="002F64A6">
        <w:rPr>
          <w:rStyle w:val="FootnoteReference"/>
          <w:rFonts w:asciiTheme="majorBidi" w:eastAsiaTheme="minorHAnsi" w:hAnsiTheme="majorBidi" w:cstheme="majorBidi"/>
          <w:szCs w:val="24"/>
        </w:rPr>
        <w:footnoteReference w:id="35"/>
      </w:r>
      <w:r w:rsidRPr="002F64A6">
        <w:rPr>
          <w:rFonts w:asciiTheme="majorBidi" w:eastAsiaTheme="minorHAnsi" w:hAnsiTheme="majorBidi" w:cstheme="majorBidi"/>
          <w:szCs w:val="24"/>
          <w:vertAlign w:val="superscript"/>
        </w:rPr>
        <w:t>,</w:t>
      </w:r>
      <w:r w:rsidRPr="002F64A6">
        <w:rPr>
          <w:rStyle w:val="FootnoteReference"/>
          <w:rFonts w:asciiTheme="majorBidi" w:eastAsiaTheme="minorHAnsi" w:hAnsiTheme="majorBidi" w:cstheme="majorBidi"/>
          <w:szCs w:val="24"/>
        </w:rPr>
        <w:footnoteReference w:id="36"/>
      </w:r>
    </w:p>
    <w:p w14:paraId="6968E238" w14:textId="4F0DBF41" w:rsidR="00ED710D" w:rsidRPr="002F64A6" w:rsidRDefault="00ED710D" w:rsidP="00E325F1">
      <w:pPr>
        <w:pStyle w:val="L1"/>
      </w:pPr>
      <w:bookmarkStart w:id="8" w:name="_Toc517168448"/>
      <w:r w:rsidRPr="002F64A6">
        <w:t xml:space="preserve">Reported heat stress deaths and injuries </w:t>
      </w:r>
      <w:r w:rsidR="001556FB" w:rsidRPr="002F64A6">
        <w:t>vastly understate the problem</w:t>
      </w:r>
      <w:bookmarkEnd w:id="8"/>
    </w:p>
    <w:p w14:paraId="77BB7660" w14:textId="086084B4"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According to </w:t>
      </w:r>
      <w:r w:rsidR="004C2574" w:rsidRPr="002F64A6">
        <w:rPr>
          <w:rFonts w:asciiTheme="majorBidi" w:hAnsiTheme="majorBidi" w:cstheme="majorBidi"/>
          <w:szCs w:val="24"/>
        </w:rPr>
        <w:t xml:space="preserve">data </w:t>
      </w:r>
      <w:r w:rsidRPr="002F64A6">
        <w:rPr>
          <w:rFonts w:asciiTheme="majorBidi" w:hAnsiTheme="majorBidi" w:cstheme="majorBidi"/>
          <w:szCs w:val="24"/>
        </w:rPr>
        <w:t xml:space="preserve">compiled from </w:t>
      </w:r>
      <w:r w:rsidR="004C2574">
        <w:rPr>
          <w:rFonts w:asciiTheme="majorBidi" w:hAnsiTheme="majorBidi" w:cstheme="majorBidi"/>
          <w:szCs w:val="24"/>
        </w:rPr>
        <w:t xml:space="preserve">the </w:t>
      </w:r>
      <w:r w:rsidR="004C2574" w:rsidRPr="002F64A6">
        <w:rPr>
          <w:rFonts w:asciiTheme="majorBidi" w:hAnsiTheme="majorBidi" w:cstheme="majorBidi"/>
          <w:szCs w:val="24"/>
        </w:rPr>
        <w:t xml:space="preserve">Bureau of Labor Statistics (BLS) </w:t>
      </w:r>
      <w:r w:rsidRPr="002F64A6">
        <w:rPr>
          <w:rFonts w:asciiTheme="majorBidi" w:hAnsiTheme="majorBidi" w:cstheme="majorBidi"/>
          <w:szCs w:val="24"/>
        </w:rPr>
        <w:t xml:space="preserve">annual Survey of Occupational Injuries and Illnesses (SOII), exposure to excessive environmental heat stress killed 783 U.S. workers and seriously injured 69,374 workers </w:t>
      </w:r>
      <w:r w:rsidR="0062313D" w:rsidRPr="002F64A6">
        <w:rPr>
          <w:rFonts w:asciiTheme="majorBidi" w:hAnsiTheme="majorBidi" w:cstheme="majorBidi"/>
          <w:szCs w:val="24"/>
        </w:rPr>
        <w:t xml:space="preserve">from 1992 through 2016 </w:t>
      </w:r>
      <w:r w:rsidRPr="002F64A6">
        <w:rPr>
          <w:rFonts w:asciiTheme="majorBidi" w:hAnsiTheme="majorBidi" w:cstheme="majorBidi"/>
          <w:szCs w:val="24"/>
        </w:rPr>
        <w:t>(</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_Ref514585299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1</w:t>
      </w:r>
      <w:r w:rsidR="008C5081"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_Ref514585314 \h </w:instrText>
      </w:r>
      <w:r w:rsidR="00942E83" w:rsidRPr="002F64A6">
        <w:rPr>
          <w:rFonts w:asciiTheme="majorBidi" w:hAnsiTheme="majorBidi" w:cstheme="majorBidi"/>
          <w:bCs/>
          <w:szCs w:val="24"/>
        </w:rPr>
        <w:instrText xml:space="preserve">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2F64A6">
        <w:t xml:space="preserve">Figure </w:t>
      </w:r>
      <w:r w:rsidR="00806F98">
        <w:rPr>
          <w:noProof/>
        </w:rPr>
        <w:t>2</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bookmarkStart w:id="9" w:name="_Ref514765625"/>
      <w:r w:rsidRPr="002F64A6">
        <w:rPr>
          <w:rStyle w:val="FootnoteReference"/>
          <w:rFonts w:asciiTheme="majorBidi" w:hAnsiTheme="majorBidi" w:cstheme="majorBidi"/>
          <w:szCs w:val="24"/>
        </w:rPr>
        <w:footnoteReference w:id="37"/>
      </w:r>
      <w:bookmarkEnd w:id="9"/>
    </w:p>
    <w:p w14:paraId="4123A299" w14:textId="2644DE0A" w:rsidR="001027F5" w:rsidRPr="002F64A6" w:rsidRDefault="001027F5" w:rsidP="001027F5">
      <w:pPr>
        <w:pStyle w:val="Caption"/>
      </w:pPr>
      <w:bookmarkStart w:id="10" w:name="_Ref514585299"/>
      <w:r w:rsidRPr="002F64A6">
        <w:lastRenderedPageBreak/>
        <w:t xml:space="preserve">Figure </w:t>
      </w:r>
      <w:r w:rsidR="00E221DB">
        <w:fldChar w:fldCharType="begin"/>
      </w:r>
      <w:r w:rsidR="00E221DB">
        <w:instrText xml:space="preserve"> SEQ Figure \* ARABIC </w:instrText>
      </w:r>
      <w:r w:rsidR="00E221DB">
        <w:fldChar w:fldCharType="separate"/>
      </w:r>
      <w:r w:rsidR="00806F98">
        <w:rPr>
          <w:noProof/>
        </w:rPr>
        <w:t>1</w:t>
      </w:r>
      <w:r w:rsidR="00E221DB">
        <w:rPr>
          <w:noProof/>
        </w:rPr>
        <w:fldChar w:fldCharType="end"/>
      </w:r>
      <w:bookmarkEnd w:id="10"/>
      <w:r w:rsidRPr="002F64A6">
        <w:t xml:space="preserve">. Reports of </w:t>
      </w:r>
      <w:r w:rsidR="0015115A" w:rsidRPr="002F64A6">
        <w:t xml:space="preserve">U.S. </w:t>
      </w:r>
      <w:r w:rsidR="00616CB3">
        <w:t>w</w:t>
      </w:r>
      <w:r w:rsidRPr="002F64A6">
        <w:t xml:space="preserve">orkers </w:t>
      </w:r>
      <w:r w:rsidR="00616CB3">
        <w:t>k</w:t>
      </w:r>
      <w:r w:rsidRPr="002F64A6">
        <w:t xml:space="preserve">illed by </w:t>
      </w:r>
      <w:r w:rsidR="00616CB3">
        <w:t>h</w:t>
      </w:r>
      <w:r w:rsidRPr="002F64A6">
        <w:t xml:space="preserve">eat </w:t>
      </w:r>
      <w:r w:rsidR="00616CB3">
        <w:t>s</w:t>
      </w:r>
      <w:r w:rsidRPr="002F64A6">
        <w:t>tress</w:t>
      </w:r>
    </w:p>
    <w:p w14:paraId="7600F153" w14:textId="6FF6E66E" w:rsidR="00E13571" w:rsidRPr="002F64A6" w:rsidRDefault="00A14109" w:rsidP="00A14109">
      <w:pPr>
        <w:pStyle w:val="Caption"/>
        <w:rPr>
          <w:rFonts w:asciiTheme="majorBidi" w:hAnsiTheme="majorBidi" w:cstheme="majorBidi"/>
          <w:szCs w:val="24"/>
        </w:rPr>
      </w:pPr>
      <w:r w:rsidRPr="002F64A6">
        <w:rPr>
          <w:noProof/>
        </w:rPr>
        <w:drawing>
          <wp:inline distT="0" distB="0" distL="0" distR="0" wp14:anchorId="6DF30404" wp14:editId="457CF62E">
            <wp:extent cx="5029200" cy="301752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065E47" w14:textId="1BE47E1C" w:rsidR="0015115A" w:rsidRPr="002F64A6" w:rsidRDefault="0015115A" w:rsidP="00455568">
      <w:pPr>
        <w:pStyle w:val="Asterisks1"/>
      </w:pPr>
      <w:r w:rsidRPr="002F64A6">
        <w:t>Source: Bureau of Labor Statistics</w:t>
      </w:r>
      <w:r w:rsidR="00B10968" w:rsidRPr="002F64A6">
        <w:t xml:space="preserve"> (BLS)</w:t>
      </w:r>
      <w:r w:rsidRPr="002F64A6">
        <w:t>. Includes private sector and state and local government workers.</w:t>
      </w:r>
    </w:p>
    <w:p w14:paraId="28C18336" w14:textId="27244FC1" w:rsidR="00E13571" w:rsidRPr="002F64A6" w:rsidRDefault="00E13571" w:rsidP="00E13571">
      <w:pPr>
        <w:pStyle w:val="Caption"/>
      </w:pPr>
      <w:bookmarkStart w:id="11" w:name="_Ref514585314"/>
      <w:r w:rsidRPr="002F64A6">
        <w:t xml:space="preserve">Figure </w:t>
      </w:r>
      <w:r w:rsidR="00E221DB">
        <w:fldChar w:fldCharType="begin"/>
      </w:r>
      <w:r w:rsidR="00E221DB">
        <w:instrText xml:space="preserve"> SEQ Figure \* ARABIC </w:instrText>
      </w:r>
      <w:r w:rsidR="00E221DB">
        <w:fldChar w:fldCharType="separate"/>
      </w:r>
      <w:r w:rsidR="00806F98">
        <w:rPr>
          <w:noProof/>
        </w:rPr>
        <w:t>2</w:t>
      </w:r>
      <w:r w:rsidR="00E221DB">
        <w:rPr>
          <w:noProof/>
        </w:rPr>
        <w:fldChar w:fldCharType="end"/>
      </w:r>
      <w:bookmarkEnd w:id="11"/>
      <w:r w:rsidRPr="002F64A6">
        <w:t xml:space="preserve">. Reports of </w:t>
      </w:r>
      <w:r w:rsidR="00616CB3">
        <w:t>s</w:t>
      </w:r>
      <w:r w:rsidRPr="002F64A6">
        <w:t xml:space="preserve">erious </w:t>
      </w:r>
      <w:r w:rsidR="00616CB3">
        <w:t>i</w:t>
      </w:r>
      <w:r w:rsidRPr="002F64A6">
        <w:t xml:space="preserve">njuries to </w:t>
      </w:r>
      <w:r w:rsidR="0015115A" w:rsidRPr="002F64A6">
        <w:t xml:space="preserve">U.S. </w:t>
      </w:r>
      <w:r w:rsidR="00616CB3">
        <w:t>w</w:t>
      </w:r>
      <w:r w:rsidRPr="002F64A6">
        <w:t xml:space="preserve">orkers from </w:t>
      </w:r>
      <w:r w:rsidR="00616CB3">
        <w:t>h</w:t>
      </w:r>
      <w:r w:rsidRPr="002F64A6">
        <w:t xml:space="preserve">eat </w:t>
      </w:r>
      <w:r w:rsidR="00616CB3">
        <w:t>s</w:t>
      </w:r>
      <w:r w:rsidRPr="002F64A6">
        <w:t>tress</w:t>
      </w:r>
    </w:p>
    <w:p w14:paraId="1D370201" w14:textId="2ECF3A57" w:rsidR="00E13571" w:rsidRPr="00A04011" w:rsidRDefault="00FE3EF9" w:rsidP="00A04011">
      <w:pPr>
        <w:pStyle w:val="Caption"/>
      </w:pPr>
      <w:r w:rsidRPr="002F64A6">
        <w:rPr>
          <w:noProof/>
        </w:rPr>
        <w:drawing>
          <wp:inline distT="0" distB="0" distL="0" distR="0" wp14:anchorId="5EFDD599" wp14:editId="095B2910">
            <wp:extent cx="5029200" cy="301752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8323B0" w14:textId="170DDBA4" w:rsidR="00B5617B" w:rsidRPr="002F64A6" w:rsidRDefault="00B5617B" w:rsidP="009A4015">
      <w:pPr>
        <w:pStyle w:val="Asterisks"/>
        <w:ind w:left="1080" w:right="810"/>
      </w:pPr>
      <w:r w:rsidRPr="002F64A6">
        <w:t xml:space="preserve">Source: </w:t>
      </w:r>
      <w:r w:rsidR="00B10968" w:rsidRPr="002F64A6">
        <w:t>BLS</w:t>
      </w:r>
      <w:r w:rsidR="00302612" w:rsidRPr="002F64A6">
        <w:t xml:space="preserve"> database of in</w:t>
      </w:r>
      <w:r w:rsidRPr="002F64A6">
        <w:t>juries resulting in at least one day away from work. The BLS database does not have any injury data for state and local government workers prior to 2009.</w:t>
      </w:r>
    </w:p>
    <w:p w14:paraId="1D9CCE2E" w14:textId="411D85D6" w:rsidR="00ED710D" w:rsidRPr="002F64A6" w:rsidRDefault="00E31358" w:rsidP="00ED710D">
      <w:pPr>
        <w:rPr>
          <w:rFonts w:asciiTheme="majorBidi" w:hAnsiTheme="majorBidi" w:cstheme="majorBidi"/>
          <w:szCs w:val="24"/>
        </w:rPr>
      </w:pPr>
      <w:r>
        <w:rPr>
          <w:rFonts w:asciiTheme="majorBidi" w:hAnsiTheme="majorBidi" w:cstheme="majorBidi"/>
          <w:szCs w:val="24"/>
        </w:rPr>
        <w:t>But t</w:t>
      </w:r>
      <w:r w:rsidRPr="002F64A6">
        <w:rPr>
          <w:rFonts w:asciiTheme="majorBidi" w:hAnsiTheme="majorBidi" w:cstheme="majorBidi"/>
          <w:szCs w:val="24"/>
        </w:rPr>
        <w:t>he BLS data vast</w:t>
      </w:r>
      <w:r>
        <w:rPr>
          <w:rFonts w:asciiTheme="majorBidi" w:hAnsiTheme="majorBidi" w:cstheme="majorBidi"/>
          <w:szCs w:val="24"/>
        </w:rPr>
        <w:t>ly</w:t>
      </w:r>
      <w:r w:rsidRPr="002F64A6">
        <w:rPr>
          <w:rFonts w:asciiTheme="majorBidi" w:hAnsiTheme="majorBidi" w:cstheme="majorBidi"/>
          <w:szCs w:val="24"/>
        </w:rPr>
        <w:t xml:space="preserve"> </w:t>
      </w:r>
      <w:r>
        <w:rPr>
          <w:rFonts w:asciiTheme="majorBidi" w:hAnsiTheme="majorBidi" w:cstheme="majorBidi"/>
          <w:szCs w:val="24"/>
        </w:rPr>
        <w:t>understate the number of injuries and fatalities</w:t>
      </w:r>
      <w:r w:rsidR="00ED710D" w:rsidRPr="002F64A6">
        <w:rPr>
          <w:rFonts w:asciiTheme="majorBidi" w:hAnsiTheme="majorBidi" w:cstheme="majorBidi"/>
          <w:szCs w:val="24"/>
        </w:rPr>
        <w:t xml:space="preserve">, for several reasons. </w:t>
      </w:r>
      <w:r w:rsidR="00DD54B8">
        <w:rPr>
          <w:rFonts w:asciiTheme="majorBidi" w:hAnsiTheme="majorBidi" w:cstheme="majorBidi"/>
          <w:szCs w:val="24"/>
        </w:rPr>
        <w:t xml:space="preserve">Some </w:t>
      </w:r>
      <w:r w:rsidR="009178FC">
        <w:rPr>
          <w:rFonts w:asciiTheme="majorBidi" w:hAnsiTheme="majorBidi" w:cstheme="majorBidi"/>
          <w:szCs w:val="24"/>
        </w:rPr>
        <w:t xml:space="preserve">of the shortcomings stem from the fact that BLS </w:t>
      </w:r>
      <w:r w:rsidR="00ED710D" w:rsidRPr="002F64A6">
        <w:rPr>
          <w:rFonts w:asciiTheme="majorBidi" w:hAnsiTheme="majorBidi" w:cstheme="majorBidi"/>
          <w:szCs w:val="24"/>
        </w:rPr>
        <w:t>relies on employer logs of worker injuries and deaths</w:t>
      </w:r>
      <w:r w:rsidR="00C522D4">
        <w:rPr>
          <w:rFonts w:asciiTheme="majorBidi" w:hAnsiTheme="majorBidi" w:cstheme="majorBidi"/>
          <w:szCs w:val="24"/>
        </w:rPr>
        <w:t xml:space="preserve">, which </w:t>
      </w:r>
      <w:r w:rsidR="00952B57">
        <w:rPr>
          <w:rFonts w:asciiTheme="majorBidi" w:hAnsiTheme="majorBidi" w:cstheme="majorBidi"/>
          <w:szCs w:val="24"/>
        </w:rPr>
        <w:t xml:space="preserve">BLS </w:t>
      </w:r>
      <w:r w:rsidR="00C522D4">
        <w:rPr>
          <w:rFonts w:asciiTheme="majorBidi" w:hAnsiTheme="majorBidi" w:cstheme="majorBidi"/>
          <w:szCs w:val="24"/>
        </w:rPr>
        <w:t xml:space="preserve">obtains </w:t>
      </w:r>
      <w:r w:rsidR="00ED710D" w:rsidRPr="002F64A6">
        <w:rPr>
          <w:rFonts w:asciiTheme="majorBidi" w:hAnsiTheme="majorBidi" w:cstheme="majorBidi"/>
          <w:szCs w:val="24"/>
        </w:rPr>
        <w:t>from OSHA.</w:t>
      </w:r>
      <w:r w:rsidR="00ED710D" w:rsidRPr="002F64A6">
        <w:rPr>
          <w:rFonts w:asciiTheme="majorBidi" w:hAnsiTheme="majorBidi" w:cstheme="majorBidi"/>
          <w:szCs w:val="24"/>
          <w:vertAlign w:val="superscript"/>
        </w:rPr>
        <w:footnoteReference w:id="38"/>
      </w:r>
      <w:r w:rsidR="00ED710D" w:rsidRPr="002F64A6">
        <w:rPr>
          <w:rFonts w:asciiTheme="majorBidi" w:hAnsiTheme="majorBidi" w:cstheme="majorBidi"/>
          <w:szCs w:val="24"/>
        </w:rPr>
        <w:t xml:space="preserve"> The </w:t>
      </w:r>
      <w:r w:rsidR="00E4190F" w:rsidRPr="002F64A6">
        <w:rPr>
          <w:rFonts w:asciiTheme="majorBidi" w:hAnsiTheme="majorBidi" w:cstheme="majorBidi"/>
          <w:szCs w:val="24"/>
        </w:rPr>
        <w:t>O</w:t>
      </w:r>
      <w:r w:rsidR="00E4190F" w:rsidRPr="002F64A6">
        <w:rPr>
          <w:rFonts w:asciiTheme="majorBidi" w:hAnsiTheme="majorBidi" w:cstheme="majorBidi"/>
          <w:bCs/>
          <w:szCs w:val="24"/>
        </w:rPr>
        <w:t>ccupational Safety and Health</w:t>
      </w:r>
      <w:r w:rsidR="00E4190F" w:rsidRPr="002F64A6">
        <w:rPr>
          <w:rFonts w:asciiTheme="majorBidi" w:hAnsiTheme="majorBidi" w:cstheme="majorBidi"/>
          <w:b/>
          <w:bCs/>
          <w:szCs w:val="24"/>
        </w:rPr>
        <w:t xml:space="preserve"> </w:t>
      </w:r>
      <w:r w:rsidR="00CE7BED" w:rsidRPr="002F64A6">
        <w:rPr>
          <w:rFonts w:asciiTheme="majorBidi" w:hAnsiTheme="majorBidi" w:cstheme="majorBidi"/>
          <w:b/>
          <w:bCs/>
          <w:szCs w:val="24"/>
        </w:rPr>
        <w:t>(</w:t>
      </w:r>
      <w:r w:rsidR="00ED710D" w:rsidRPr="002F64A6">
        <w:rPr>
          <w:rFonts w:asciiTheme="majorBidi" w:hAnsiTheme="majorBidi" w:cstheme="majorBidi"/>
          <w:szCs w:val="24"/>
        </w:rPr>
        <w:t>OSH</w:t>
      </w:r>
      <w:r w:rsidR="00CE7BED" w:rsidRPr="002F64A6">
        <w:rPr>
          <w:rFonts w:asciiTheme="majorBidi" w:hAnsiTheme="majorBidi" w:cstheme="majorBidi"/>
          <w:szCs w:val="24"/>
        </w:rPr>
        <w:t>)</w:t>
      </w:r>
      <w:r w:rsidR="00ED710D" w:rsidRPr="002F64A6">
        <w:rPr>
          <w:rFonts w:asciiTheme="majorBidi" w:hAnsiTheme="majorBidi" w:cstheme="majorBidi"/>
          <w:szCs w:val="24"/>
        </w:rPr>
        <w:t xml:space="preserve"> Act of </w:t>
      </w:r>
      <w:r w:rsidR="00ED710D" w:rsidRPr="002F64A6">
        <w:rPr>
          <w:rFonts w:asciiTheme="majorBidi" w:hAnsiTheme="majorBidi" w:cstheme="majorBidi"/>
          <w:szCs w:val="24"/>
        </w:rPr>
        <w:lastRenderedPageBreak/>
        <w:t>1970 requires most employers to make available to OSHA complete records of injuries and illnesses sustained by their workers on a form known as the Form 300 Log of Injury (or 300 log).</w:t>
      </w:r>
      <w:r w:rsidR="00ED710D" w:rsidRPr="002F64A6">
        <w:rPr>
          <w:rFonts w:asciiTheme="majorBidi" w:hAnsiTheme="majorBidi" w:cstheme="majorBidi"/>
          <w:szCs w:val="24"/>
          <w:vertAlign w:val="superscript"/>
        </w:rPr>
        <w:footnoteReference w:id="39"/>
      </w:r>
      <w:r w:rsidR="00ED710D" w:rsidRPr="002F64A6">
        <w:rPr>
          <w:rFonts w:asciiTheme="majorBidi" w:hAnsiTheme="majorBidi" w:cstheme="majorBidi"/>
          <w:szCs w:val="24"/>
        </w:rPr>
        <w:t xml:space="preserve"> </w:t>
      </w:r>
      <w:r w:rsidR="003C2A6D">
        <w:rPr>
          <w:rFonts w:asciiTheme="majorBidi" w:hAnsiTheme="majorBidi" w:cstheme="majorBidi"/>
          <w:szCs w:val="24"/>
        </w:rPr>
        <w:t>But t</w:t>
      </w:r>
      <w:r w:rsidR="00ED710D" w:rsidRPr="002F64A6">
        <w:rPr>
          <w:rFonts w:asciiTheme="majorBidi" w:hAnsiTheme="majorBidi" w:cstheme="majorBidi"/>
          <w:szCs w:val="24"/>
        </w:rPr>
        <w:t>he OSH Act, and therefore the</w:t>
      </w:r>
      <w:r w:rsidR="00CE7BED" w:rsidRPr="002F64A6">
        <w:rPr>
          <w:rFonts w:asciiTheme="majorBidi" w:hAnsiTheme="majorBidi" w:cstheme="majorBidi"/>
          <w:szCs w:val="24"/>
        </w:rPr>
        <w:t xml:space="preserve"> requirements regarding 300</w:t>
      </w:r>
      <w:r w:rsidR="00ED710D" w:rsidRPr="002F64A6">
        <w:rPr>
          <w:rFonts w:asciiTheme="majorBidi" w:hAnsiTheme="majorBidi" w:cstheme="majorBidi"/>
          <w:szCs w:val="24"/>
        </w:rPr>
        <w:t xml:space="preserve"> logs, do not apply to federal government agencies, self-employed persons, and household workers.</w:t>
      </w:r>
      <w:r w:rsidR="00ED710D" w:rsidRPr="002F64A6">
        <w:rPr>
          <w:rFonts w:asciiTheme="majorBidi" w:hAnsiTheme="majorBidi" w:cstheme="majorBidi"/>
          <w:szCs w:val="24"/>
          <w:vertAlign w:val="superscript"/>
        </w:rPr>
        <w:footnoteReference w:id="40"/>
      </w:r>
      <w:r w:rsidR="00ED710D" w:rsidRPr="002F64A6">
        <w:rPr>
          <w:rFonts w:asciiTheme="majorBidi" w:hAnsiTheme="majorBidi" w:cstheme="majorBidi"/>
          <w:szCs w:val="24"/>
        </w:rPr>
        <w:t xml:space="preserve"> Most critically, small farms with fewer than 11 workers also </w:t>
      </w:r>
      <w:r w:rsidR="00CE7BED" w:rsidRPr="002F64A6">
        <w:rPr>
          <w:rFonts w:asciiTheme="majorBidi" w:hAnsiTheme="majorBidi" w:cstheme="majorBidi"/>
          <w:szCs w:val="24"/>
        </w:rPr>
        <w:t>are exempted</w:t>
      </w:r>
      <w:r w:rsidR="00ED710D" w:rsidRPr="002F64A6">
        <w:rPr>
          <w:rFonts w:asciiTheme="majorBidi" w:hAnsiTheme="majorBidi" w:cstheme="majorBidi"/>
          <w:szCs w:val="24"/>
        </w:rPr>
        <w:t xml:space="preserve">, and so the BLS data do not capture heat-related events </w:t>
      </w:r>
      <w:r w:rsidR="00A97EED">
        <w:rPr>
          <w:rFonts w:asciiTheme="majorBidi" w:hAnsiTheme="majorBidi" w:cstheme="majorBidi"/>
          <w:szCs w:val="24"/>
        </w:rPr>
        <w:t>for</w:t>
      </w:r>
      <w:r w:rsidR="00A97EED" w:rsidRPr="002F64A6">
        <w:rPr>
          <w:rFonts w:asciiTheme="majorBidi" w:hAnsiTheme="majorBidi" w:cstheme="majorBidi"/>
          <w:szCs w:val="24"/>
        </w:rPr>
        <w:t xml:space="preserve"> </w:t>
      </w:r>
      <w:r w:rsidR="00ED710D" w:rsidRPr="002F64A6">
        <w:rPr>
          <w:rFonts w:asciiTheme="majorBidi" w:hAnsiTheme="majorBidi" w:cstheme="majorBidi"/>
          <w:szCs w:val="24"/>
        </w:rPr>
        <w:t xml:space="preserve">a significant number of agricultural workers who </w:t>
      </w:r>
      <w:r w:rsidR="00BD5024" w:rsidRPr="002F64A6">
        <w:rPr>
          <w:rFonts w:asciiTheme="majorBidi" w:hAnsiTheme="majorBidi" w:cstheme="majorBidi"/>
          <w:szCs w:val="24"/>
        </w:rPr>
        <w:t xml:space="preserve">are at </w:t>
      </w:r>
      <w:r w:rsidR="00ED710D" w:rsidRPr="002F64A6">
        <w:rPr>
          <w:rFonts w:asciiTheme="majorBidi" w:hAnsiTheme="majorBidi" w:cstheme="majorBidi"/>
          <w:szCs w:val="24"/>
        </w:rPr>
        <w:t xml:space="preserve">highest risk of heat stress injuries and deaths. </w:t>
      </w:r>
      <w:r w:rsidR="00ED3A10" w:rsidRPr="002F64A6">
        <w:rPr>
          <w:rFonts w:asciiTheme="majorBidi" w:hAnsiTheme="majorBidi" w:cstheme="majorBidi"/>
          <w:szCs w:val="24"/>
        </w:rPr>
        <w:t xml:space="preserve">Moreover, OSHA does not require that an injury be reported if it does not lead to one or more of the following: </w:t>
      </w:r>
      <w:r w:rsidR="00ED710D" w:rsidRPr="002F64A6">
        <w:rPr>
          <w:rFonts w:asciiTheme="majorBidi" w:hAnsiTheme="majorBidi" w:cstheme="majorBidi"/>
          <w:szCs w:val="24"/>
        </w:rPr>
        <w:t>death</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days away from work</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restricted work or transfer to another job</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medical treatment beyond first aid</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loss of consciousness</w:t>
      </w:r>
      <w:r w:rsidR="003D45BD" w:rsidRPr="002F64A6">
        <w:rPr>
          <w:rFonts w:asciiTheme="majorBidi" w:hAnsiTheme="majorBidi" w:cstheme="majorBidi"/>
          <w:szCs w:val="24"/>
        </w:rPr>
        <w:t>;</w:t>
      </w:r>
      <w:r w:rsidR="00ED710D" w:rsidRPr="002F64A6">
        <w:rPr>
          <w:rFonts w:asciiTheme="majorBidi" w:hAnsiTheme="majorBidi" w:cstheme="majorBidi"/>
          <w:szCs w:val="24"/>
        </w:rPr>
        <w:t xml:space="preserve"> or a diagnosis of significant injury by a health care professional.</w:t>
      </w:r>
      <w:r w:rsidR="00ED710D" w:rsidRPr="002F64A6">
        <w:rPr>
          <w:rFonts w:asciiTheme="majorBidi" w:hAnsiTheme="majorBidi" w:cstheme="majorBidi"/>
          <w:szCs w:val="24"/>
          <w:vertAlign w:val="superscript"/>
        </w:rPr>
        <w:footnoteReference w:id="41"/>
      </w:r>
    </w:p>
    <w:p w14:paraId="0A73ED1D" w14:textId="66196367" w:rsidR="006D2076" w:rsidRDefault="00ED710D" w:rsidP="00ED710D">
      <w:pPr>
        <w:rPr>
          <w:rFonts w:asciiTheme="majorBidi" w:hAnsiTheme="majorBidi" w:cstheme="majorBidi"/>
          <w:szCs w:val="24"/>
        </w:rPr>
      </w:pPr>
      <w:r w:rsidRPr="002F64A6">
        <w:rPr>
          <w:rFonts w:asciiTheme="majorBidi" w:hAnsiTheme="majorBidi" w:cstheme="majorBidi"/>
          <w:szCs w:val="24"/>
        </w:rPr>
        <w:t xml:space="preserve">Even for employers covered by the OSH Act, the data </w:t>
      </w:r>
      <w:r w:rsidR="00362929">
        <w:rPr>
          <w:rFonts w:asciiTheme="majorBidi" w:hAnsiTheme="majorBidi" w:cstheme="majorBidi"/>
          <w:szCs w:val="24"/>
        </w:rPr>
        <w:t xml:space="preserve">still </w:t>
      </w:r>
      <w:r w:rsidR="00D279B4">
        <w:rPr>
          <w:rFonts w:asciiTheme="majorBidi" w:hAnsiTheme="majorBidi" w:cstheme="majorBidi"/>
          <w:szCs w:val="24"/>
        </w:rPr>
        <w:t xml:space="preserve">fall far short </w:t>
      </w:r>
      <w:r w:rsidRPr="002F64A6">
        <w:rPr>
          <w:rFonts w:asciiTheme="majorBidi" w:hAnsiTheme="majorBidi" w:cstheme="majorBidi"/>
          <w:szCs w:val="24"/>
        </w:rPr>
        <w:t>for several reasons, as outlined in a 2009 Government Accountability Office (GAO) review of OSHA</w:t>
      </w:r>
      <w:r w:rsidR="00E8461C">
        <w:rPr>
          <w:rFonts w:asciiTheme="majorBidi" w:hAnsiTheme="majorBidi" w:cstheme="majorBidi"/>
          <w:szCs w:val="24"/>
        </w:rPr>
        <w:t xml:space="preserve"> and </w:t>
      </w:r>
      <w:r w:rsidRPr="002F64A6">
        <w:rPr>
          <w:rFonts w:asciiTheme="majorBidi" w:hAnsiTheme="majorBidi" w:cstheme="majorBidi"/>
          <w:szCs w:val="24"/>
        </w:rPr>
        <w:t>BLS injury data.</w:t>
      </w:r>
      <w:r w:rsidRPr="002F64A6">
        <w:rPr>
          <w:rFonts w:asciiTheme="majorBidi" w:hAnsiTheme="majorBidi" w:cstheme="majorBidi"/>
          <w:szCs w:val="24"/>
          <w:vertAlign w:val="superscript"/>
        </w:rPr>
        <w:footnoteReference w:id="42"/>
      </w:r>
      <w:r w:rsidRPr="002F64A6">
        <w:rPr>
          <w:rFonts w:asciiTheme="majorBidi" w:hAnsiTheme="majorBidi" w:cstheme="majorBidi"/>
          <w:szCs w:val="24"/>
        </w:rPr>
        <w:t xml:space="preserve"> First, the Form 300 logs rely on self-reports by employers, employees, and company doctors. As GAO noted, employers are likely to underreport because they do not want to increase their workers</w:t>
      </w:r>
      <w:r w:rsidR="00DB23CF">
        <w:rPr>
          <w:rFonts w:asciiTheme="majorBidi" w:hAnsiTheme="majorBidi" w:cstheme="majorBidi"/>
          <w:szCs w:val="24"/>
        </w:rPr>
        <w:t>’</w:t>
      </w:r>
      <w:r w:rsidRPr="002F64A6">
        <w:rPr>
          <w:rFonts w:asciiTheme="majorBidi" w:hAnsiTheme="majorBidi" w:cstheme="majorBidi"/>
          <w:szCs w:val="24"/>
        </w:rPr>
        <w:t xml:space="preserve"> compensation costs or jeopardize their standing as safe workplaces for potential contracts.</w:t>
      </w:r>
      <w:r w:rsidRPr="002F64A6">
        <w:rPr>
          <w:rStyle w:val="FootnoteReference"/>
          <w:rFonts w:asciiTheme="majorBidi" w:hAnsiTheme="majorBidi" w:cstheme="majorBidi"/>
          <w:szCs w:val="24"/>
        </w:rPr>
        <w:footnoteReference w:id="43"/>
      </w:r>
      <w:r w:rsidRPr="002F64A6">
        <w:rPr>
          <w:rFonts w:asciiTheme="majorBidi" w:hAnsiTheme="majorBidi" w:cstheme="majorBidi"/>
          <w:szCs w:val="24"/>
        </w:rPr>
        <w:t xml:space="preserve"> </w:t>
      </w:r>
      <w:r w:rsidR="00DC7889">
        <w:rPr>
          <w:rFonts w:asciiTheme="majorBidi" w:hAnsiTheme="majorBidi" w:cstheme="majorBidi"/>
          <w:szCs w:val="24"/>
        </w:rPr>
        <w:t xml:space="preserve">In addition, </w:t>
      </w:r>
      <w:r w:rsidR="004F0C00">
        <w:rPr>
          <w:rFonts w:asciiTheme="majorBidi" w:hAnsiTheme="majorBidi" w:cstheme="majorBidi"/>
          <w:szCs w:val="24"/>
        </w:rPr>
        <w:t xml:space="preserve">some </w:t>
      </w:r>
      <w:r w:rsidR="00DC7889">
        <w:rPr>
          <w:rFonts w:asciiTheme="majorBidi" w:hAnsiTheme="majorBidi" w:cstheme="majorBidi"/>
          <w:szCs w:val="24"/>
        </w:rPr>
        <w:t xml:space="preserve">employers </w:t>
      </w:r>
      <w:r w:rsidR="004F0C00">
        <w:rPr>
          <w:rFonts w:asciiTheme="majorBidi" w:hAnsiTheme="majorBidi" w:cstheme="majorBidi"/>
          <w:szCs w:val="24"/>
        </w:rPr>
        <w:t>hire independent contractors to avoid reporting requirements.</w:t>
      </w:r>
      <w:r w:rsidR="004F0C00">
        <w:rPr>
          <w:rStyle w:val="FootnoteReference"/>
          <w:rFonts w:asciiTheme="majorBidi" w:hAnsiTheme="majorBidi" w:cstheme="majorBidi"/>
          <w:szCs w:val="24"/>
        </w:rPr>
        <w:footnoteReference w:id="44"/>
      </w:r>
    </w:p>
    <w:p w14:paraId="0FC1E085" w14:textId="6FD3AC22" w:rsidR="00DF6FAD" w:rsidRDefault="00ED710D" w:rsidP="00ED710D">
      <w:pPr>
        <w:rPr>
          <w:rFonts w:asciiTheme="majorBidi" w:hAnsiTheme="majorBidi" w:cstheme="majorBidi"/>
          <w:szCs w:val="24"/>
        </w:rPr>
      </w:pPr>
      <w:r w:rsidRPr="002F64A6">
        <w:rPr>
          <w:rFonts w:asciiTheme="majorBidi" w:hAnsiTheme="majorBidi" w:cstheme="majorBidi"/>
          <w:szCs w:val="24"/>
        </w:rPr>
        <w:t xml:space="preserve">For their part, </w:t>
      </w:r>
      <w:r w:rsidR="006D2076">
        <w:rPr>
          <w:rFonts w:asciiTheme="majorBidi" w:hAnsiTheme="majorBidi" w:cstheme="majorBidi"/>
          <w:szCs w:val="24"/>
        </w:rPr>
        <w:t xml:space="preserve">many </w:t>
      </w:r>
      <w:r w:rsidRPr="002F64A6">
        <w:rPr>
          <w:rFonts w:asciiTheme="majorBidi" w:hAnsiTheme="majorBidi" w:cstheme="majorBidi"/>
          <w:szCs w:val="24"/>
        </w:rPr>
        <w:t>employees do not report injuries due to fear of retaliation, including the potential to lose their jobs</w:t>
      </w:r>
      <w:r w:rsidR="00D641BF">
        <w:rPr>
          <w:rFonts w:asciiTheme="majorBidi" w:hAnsiTheme="majorBidi" w:cstheme="majorBidi"/>
          <w:szCs w:val="24"/>
        </w:rPr>
        <w:t>.</w:t>
      </w:r>
      <w:r w:rsidR="006D2076">
        <w:rPr>
          <w:rFonts w:asciiTheme="majorBidi" w:hAnsiTheme="majorBidi" w:cstheme="majorBidi"/>
          <w:szCs w:val="24"/>
        </w:rPr>
        <w:t xml:space="preserve"> </w:t>
      </w:r>
      <w:r w:rsidR="000C6A8B">
        <w:rPr>
          <w:rFonts w:asciiTheme="majorBidi" w:hAnsiTheme="majorBidi" w:cstheme="majorBidi"/>
          <w:szCs w:val="24"/>
        </w:rPr>
        <w:t>Sixty-seven</w:t>
      </w:r>
      <w:r w:rsidR="006D2076">
        <w:rPr>
          <w:rFonts w:asciiTheme="majorBidi" w:hAnsiTheme="majorBidi" w:cstheme="majorBidi"/>
          <w:szCs w:val="24"/>
        </w:rPr>
        <w:t xml:space="preserve"> percent of </w:t>
      </w:r>
      <w:r w:rsidR="00E82F3C">
        <w:rPr>
          <w:rFonts w:asciiTheme="majorBidi" w:hAnsiTheme="majorBidi" w:cstheme="majorBidi"/>
          <w:szCs w:val="24"/>
        </w:rPr>
        <w:t xml:space="preserve">occupational </w:t>
      </w:r>
      <w:r w:rsidR="006D2076">
        <w:rPr>
          <w:rFonts w:asciiTheme="majorBidi" w:hAnsiTheme="majorBidi" w:cstheme="majorBidi"/>
          <w:szCs w:val="24"/>
        </w:rPr>
        <w:t xml:space="preserve">health practitioners </w:t>
      </w:r>
      <w:r w:rsidR="000C6A8B">
        <w:rPr>
          <w:rFonts w:asciiTheme="majorBidi" w:hAnsiTheme="majorBidi" w:cstheme="majorBidi"/>
          <w:szCs w:val="24"/>
        </w:rPr>
        <w:t xml:space="preserve">surveyed by the GAO </w:t>
      </w:r>
      <w:r w:rsidR="006D2076">
        <w:rPr>
          <w:rFonts w:asciiTheme="majorBidi" w:hAnsiTheme="majorBidi" w:cstheme="majorBidi"/>
          <w:szCs w:val="24"/>
        </w:rPr>
        <w:t xml:space="preserve">reported observing worker fear of disciplinary action for reporting an injury or illness, and 46 percent </w:t>
      </w:r>
      <w:r w:rsidR="000C6A8B">
        <w:rPr>
          <w:rFonts w:asciiTheme="majorBidi" w:hAnsiTheme="majorBidi" w:cstheme="majorBidi"/>
          <w:szCs w:val="24"/>
        </w:rPr>
        <w:t xml:space="preserve">said </w:t>
      </w:r>
      <w:r w:rsidR="006D2076">
        <w:rPr>
          <w:rFonts w:asciiTheme="majorBidi" w:hAnsiTheme="majorBidi" w:cstheme="majorBidi"/>
          <w:szCs w:val="24"/>
        </w:rPr>
        <w:t>workers</w:t>
      </w:r>
      <w:r w:rsidR="00DB23CF">
        <w:rPr>
          <w:rFonts w:asciiTheme="majorBidi" w:hAnsiTheme="majorBidi" w:cstheme="majorBidi"/>
          <w:szCs w:val="24"/>
        </w:rPr>
        <w:t>’</w:t>
      </w:r>
      <w:r w:rsidR="006D2076">
        <w:rPr>
          <w:rFonts w:asciiTheme="majorBidi" w:hAnsiTheme="majorBidi" w:cstheme="majorBidi"/>
          <w:szCs w:val="24"/>
        </w:rPr>
        <w:t xml:space="preserve"> fear had at least a minor impact on injury and illness records.</w:t>
      </w:r>
      <w:r w:rsidRPr="002F64A6">
        <w:rPr>
          <w:rStyle w:val="FootnoteReference"/>
          <w:rFonts w:asciiTheme="majorBidi" w:hAnsiTheme="majorBidi" w:cstheme="majorBidi"/>
          <w:szCs w:val="24"/>
        </w:rPr>
        <w:footnoteReference w:id="45"/>
      </w:r>
      <w:r w:rsidRPr="002F64A6">
        <w:rPr>
          <w:rFonts w:asciiTheme="majorBidi" w:hAnsiTheme="majorBidi" w:cstheme="majorBidi"/>
          <w:szCs w:val="24"/>
        </w:rPr>
        <w:t xml:space="preserve"> </w:t>
      </w:r>
      <w:r w:rsidR="00DF6FAD">
        <w:rPr>
          <w:rFonts w:asciiTheme="majorBidi" w:hAnsiTheme="majorBidi" w:cstheme="majorBidi"/>
          <w:szCs w:val="24"/>
        </w:rPr>
        <w:t xml:space="preserve">In addition, </w:t>
      </w:r>
      <w:r w:rsidR="00A8106F">
        <w:rPr>
          <w:rFonts w:asciiTheme="majorBidi" w:hAnsiTheme="majorBidi" w:cstheme="majorBidi"/>
          <w:szCs w:val="24"/>
        </w:rPr>
        <w:t xml:space="preserve">many </w:t>
      </w:r>
      <w:r w:rsidR="00DF6FAD">
        <w:rPr>
          <w:rFonts w:asciiTheme="majorBidi" w:hAnsiTheme="majorBidi" w:cstheme="majorBidi"/>
          <w:szCs w:val="24"/>
        </w:rPr>
        <w:t xml:space="preserve">employers </w:t>
      </w:r>
      <w:r w:rsidR="00A8106F">
        <w:rPr>
          <w:rFonts w:asciiTheme="majorBidi" w:hAnsiTheme="majorBidi" w:cstheme="majorBidi"/>
          <w:szCs w:val="24"/>
        </w:rPr>
        <w:t xml:space="preserve">have adopted </w:t>
      </w:r>
      <w:r w:rsidR="00DF6FAD">
        <w:rPr>
          <w:rFonts w:asciiTheme="majorBidi" w:hAnsiTheme="majorBidi" w:cstheme="majorBidi"/>
          <w:szCs w:val="24"/>
        </w:rPr>
        <w:t>incentive programs that reward workers when there are few recordable injuries and illnesses</w:t>
      </w:r>
      <w:r w:rsidR="001954E7">
        <w:rPr>
          <w:rFonts w:asciiTheme="majorBidi" w:hAnsiTheme="majorBidi" w:cstheme="majorBidi"/>
          <w:szCs w:val="24"/>
        </w:rPr>
        <w:t xml:space="preserve"> in the workplace</w:t>
      </w:r>
      <w:r w:rsidR="00DF6FAD">
        <w:rPr>
          <w:rFonts w:asciiTheme="majorBidi" w:hAnsiTheme="majorBidi" w:cstheme="majorBidi"/>
          <w:szCs w:val="24"/>
        </w:rPr>
        <w:t>. In addition to encouraging safe practices, these programs discourage reporting. Over 75 percent of health practitioners said they believe</w:t>
      </w:r>
      <w:r w:rsidR="00F52913">
        <w:rPr>
          <w:rFonts w:asciiTheme="majorBidi" w:hAnsiTheme="majorBidi" w:cstheme="majorBidi"/>
          <w:szCs w:val="24"/>
        </w:rPr>
        <w:t>d</w:t>
      </w:r>
      <w:r w:rsidR="00DF6FAD">
        <w:rPr>
          <w:rFonts w:asciiTheme="majorBidi" w:hAnsiTheme="majorBidi" w:cstheme="majorBidi"/>
          <w:szCs w:val="24"/>
        </w:rPr>
        <w:t xml:space="preserve"> workers sometimes avoid reporting </w:t>
      </w:r>
      <w:r w:rsidR="00F52913">
        <w:rPr>
          <w:rFonts w:asciiTheme="majorBidi" w:hAnsiTheme="majorBidi" w:cstheme="majorBidi"/>
          <w:szCs w:val="24"/>
        </w:rPr>
        <w:t xml:space="preserve">injuries and illnesses </w:t>
      </w:r>
      <w:r w:rsidR="00DF6FAD">
        <w:rPr>
          <w:rFonts w:asciiTheme="majorBidi" w:hAnsiTheme="majorBidi" w:cstheme="majorBidi"/>
          <w:szCs w:val="24"/>
        </w:rPr>
        <w:t xml:space="preserve">because of </w:t>
      </w:r>
      <w:r w:rsidR="00DD3A5D">
        <w:rPr>
          <w:rFonts w:asciiTheme="majorBidi" w:hAnsiTheme="majorBidi" w:cstheme="majorBidi"/>
          <w:szCs w:val="24"/>
        </w:rPr>
        <w:t xml:space="preserve">incentive </w:t>
      </w:r>
      <w:r w:rsidR="00DF6FAD">
        <w:rPr>
          <w:rFonts w:asciiTheme="majorBidi" w:hAnsiTheme="majorBidi" w:cstheme="majorBidi"/>
          <w:szCs w:val="24"/>
        </w:rPr>
        <w:t>programs.</w:t>
      </w:r>
      <w:r w:rsidR="00DF6FAD">
        <w:rPr>
          <w:rStyle w:val="FootnoteReference"/>
          <w:rFonts w:asciiTheme="majorBidi" w:hAnsiTheme="majorBidi" w:cstheme="majorBidi"/>
          <w:szCs w:val="24"/>
        </w:rPr>
        <w:footnoteReference w:id="46"/>
      </w:r>
    </w:p>
    <w:p w14:paraId="239E899D" w14:textId="363928AA" w:rsidR="00ED710D" w:rsidRPr="002F64A6" w:rsidRDefault="00D0311C" w:rsidP="00ED710D">
      <w:pPr>
        <w:rPr>
          <w:rFonts w:asciiTheme="majorBidi" w:hAnsiTheme="majorBidi" w:cstheme="majorBidi"/>
          <w:szCs w:val="24"/>
        </w:rPr>
      </w:pPr>
      <w:r>
        <w:rPr>
          <w:rFonts w:asciiTheme="majorBidi" w:hAnsiTheme="majorBidi" w:cstheme="majorBidi"/>
          <w:szCs w:val="24"/>
        </w:rPr>
        <w:t xml:space="preserve">The desire </w:t>
      </w:r>
      <w:r w:rsidR="00F57B26">
        <w:rPr>
          <w:rFonts w:asciiTheme="majorBidi" w:hAnsiTheme="majorBidi" w:cstheme="majorBidi"/>
          <w:szCs w:val="24"/>
        </w:rPr>
        <w:t xml:space="preserve">among employers and workers </w:t>
      </w:r>
      <w:r>
        <w:rPr>
          <w:rFonts w:asciiTheme="majorBidi" w:hAnsiTheme="majorBidi" w:cstheme="majorBidi"/>
          <w:szCs w:val="24"/>
        </w:rPr>
        <w:t xml:space="preserve">to avoid </w:t>
      </w:r>
      <w:r w:rsidR="001E5BF2">
        <w:rPr>
          <w:rFonts w:asciiTheme="majorBidi" w:hAnsiTheme="majorBidi" w:cstheme="majorBidi"/>
          <w:szCs w:val="24"/>
        </w:rPr>
        <w:t>recording injuries and illnesses</w:t>
      </w:r>
      <w:r>
        <w:rPr>
          <w:rFonts w:asciiTheme="majorBidi" w:hAnsiTheme="majorBidi" w:cstheme="majorBidi"/>
          <w:szCs w:val="24"/>
        </w:rPr>
        <w:t xml:space="preserve"> </w:t>
      </w:r>
      <w:r w:rsidR="001C5AF0">
        <w:rPr>
          <w:rFonts w:asciiTheme="majorBidi" w:hAnsiTheme="majorBidi" w:cstheme="majorBidi"/>
          <w:szCs w:val="24"/>
        </w:rPr>
        <w:t xml:space="preserve">also results in </w:t>
      </w:r>
      <w:r>
        <w:rPr>
          <w:rFonts w:asciiTheme="majorBidi" w:hAnsiTheme="majorBidi" w:cstheme="majorBidi"/>
          <w:szCs w:val="24"/>
        </w:rPr>
        <w:t>pressure on health practitioners to facilitate non-reporting. O</w:t>
      </w:r>
      <w:r w:rsidR="00ED710D" w:rsidRPr="002F64A6">
        <w:rPr>
          <w:rFonts w:asciiTheme="majorBidi" w:hAnsiTheme="majorBidi" w:cstheme="majorBidi"/>
          <w:szCs w:val="24"/>
        </w:rPr>
        <w:t xml:space="preserve">ver one-third of practitioners said they had been asked to provide </w:t>
      </w:r>
      <w:r w:rsidR="000D69C4">
        <w:t xml:space="preserve">limited treatment that would bring an injury or illness </w:t>
      </w:r>
      <w:r w:rsidR="00ED710D" w:rsidRPr="002F64A6">
        <w:rPr>
          <w:rFonts w:asciiTheme="majorBidi" w:hAnsiTheme="majorBidi" w:cstheme="majorBidi"/>
          <w:szCs w:val="24"/>
        </w:rPr>
        <w:t>below the threshold for recording, but</w:t>
      </w:r>
      <w:r w:rsidR="007A2E48">
        <w:rPr>
          <w:rFonts w:asciiTheme="majorBidi" w:hAnsiTheme="majorBidi" w:cstheme="majorBidi"/>
          <w:szCs w:val="24"/>
        </w:rPr>
        <w:t xml:space="preserve"> </w:t>
      </w:r>
      <w:r w:rsidR="00ED710D" w:rsidRPr="002F64A6">
        <w:rPr>
          <w:rFonts w:asciiTheme="majorBidi" w:hAnsiTheme="majorBidi" w:cstheme="majorBidi"/>
          <w:szCs w:val="24"/>
        </w:rPr>
        <w:t>was not sufficient to properly treat the injury or illness.</w:t>
      </w:r>
      <w:r w:rsidR="00395C46">
        <w:rPr>
          <w:rFonts w:asciiTheme="majorBidi" w:hAnsiTheme="majorBidi" w:cstheme="majorBidi"/>
          <w:szCs w:val="24"/>
        </w:rPr>
        <w:t xml:space="preserve"> Forty-four percent of providers said that this pressure had at least a minor impact on records, and 15 percent said it had a major impact.</w:t>
      </w:r>
      <w:r w:rsidR="00ED710D" w:rsidRPr="002F64A6">
        <w:rPr>
          <w:rFonts w:asciiTheme="majorBidi" w:hAnsiTheme="majorBidi" w:cstheme="majorBidi"/>
          <w:szCs w:val="24"/>
          <w:vertAlign w:val="superscript"/>
        </w:rPr>
        <w:footnoteReference w:id="47"/>
      </w:r>
    </w:p>
    <w:p w14:paraId="141209C7" w14:textId="48EDB3A5" w:rsidR="00ED710D" w:rsidRPr="002F64A6" w:rsidRDefault="00ED710D" w:rsidP="00382C40">
      <w:pPr>
        <w:rPr>
          <w:rFonts w:asciiTheme="majorBidi" w:hAnsiTheme="majorBidi" w:cstheme="majorBidi"/>
          <w:szCs w:val="24"/>
        </w:rPr>
      </w:pPr>
      <w:r w:rsidRPr="002F64A6">
        <w:rPr>
          <w:rFonts w:asciiTheme="majorBidi" w:hAnsiTheme="majorBidi" w:cstheme="majorBidi"/>
          <w:szCs w:val="24"/>
        </w:rPr>
        <w:lastRenderedPageBreak/>
        <w:t xml:space="preserve">Heat stress injuries are likely prone to even higher rates of under-reporting than injuries generally. </w:t>
      </w:r>
      <w:r w:rsidR="00052B09">
        <w:rPr>
          <w:rFonts w:asciiTheme="majorBidi" w:hAnsiTheme="majorBidi" w:cstheme="majorBidi"/>
          <w:szCs w:val="24"/>
        </w:rPr>
        <w:t>First, t</w:t>
      </w:r>
      <w:r w:rsidRPr="002F64A6">
        <w:rPr>
          <w:rFonts w:asciiTheme="majorBidi" w:hAnsiTheme="majorBidi" w:cstheme="majorBidi"/>
          <w:szCs w:val="24"/>
        </w:rPr>
        <w:t xml:space="preserve">he industries at highest risk of heat stress injuries and deaths are agriculture and construction, both of which rely heavily on undocumented and otherwise vulnerable workers, who are more likely to </w:t>
      </w:r>
      <w:r w:rsidR="005D6050">
        <w:rPr>
          <w:rFonts w:asciiTheme="majorBidi" w:hAnsiTheme="majorBidi" w:cstheme="majorBidi"/>
          <w:szCs w:val="24"/>
        </w:rPr>
        <w:t xml:space="preserve">avoid </w:t>
      </w:r>
      <w:r w:rsidRPr="002F64A6">
        <w:rPr>
          <w:rFonts w:asciiTheme="majorBidi" w:hAnsiTheme="majorBidi" w:cstheme="majorBidi"/>
          <w:szCs w:val="24"/>
        </w:rPr>
        <w:t>report</w:t>
      </w:r>
      <w:r w:rsidR="005D6050">
        <w:rPr>
          <w:rFonts w:asciiTheme="majorBidi" w:hAnsiTheme="majorBidi" w:cstheme="majorBidi"/>
          <w:szCs w:val="24"/>
        </w:rPr>
        <w:t>ing</w:t>
      </w:r>
      <w:r w:rsidRPr="002F64A6">
        <w:rPr>
          <w:rFonts w:asciiTheme="majorBidi" w:hAnsiTheme="majorBidi" w:cstheme="majorBidi"/>
          <w:szCs w:val="24"/>
        </w:rPr>
        <w:t xml:space="preserve"> injuries </w:t>
      </w:r>
      <w:r w:rsidR="00D908B8">
        <w:rPr>
          <w:rFonts w:asciiTheme="majorBidi" w:hAnsiTheme="majorBidi" w:cstheme="majorBidi"/>
          <w:szCs w:val="24"/>
        </w:rPr>
        <w:t xml:space="preserve">themselves </w:t>
      </w:r>
      <w:r w:rsidRPr="002F64A6">
        <w:rPr>
          <w:rFonts w:asciiTheme="majorBidi" w:hAnsiTheme="majorBidi" w:cstheme="majorBidi"/>
          <w:szCs w:val="24"/>
        </w:rPr>
        <w:t>or have their injuries or deaths reported by their employers.</w:t>
      </w:r>
      <w:r w:rsidRPr="002F64A6">
        <w:rPr>
          <w:rStyle w:val="FootnoteReference"/>
          <w:rFonts w:asciiTheme="majorBidi" w:hAnsiTheme="majorBidi" w:cstheme="majorBidi"/>
          <w:szCs w:val="24"/>
        </w:rPr>
        <w:footnoteReference w:id="48"/>
      </w:r>
      <w:r w:rsidRPr="002F64A6">
        <w:rPr>
          <w:rFonts w:asciiTheme="majorBidi" w:hAnsiTheme="majorBidi" w:cstheme="majorBidi"/>
          <w:szCs w:val="24"/>
        </w:rPr>
        <w:t xml:space="preserve"> In addition, heat stress is not always recognized as a cause of heat-induced injuries or deaths</w:t>
      </w:r>
      <w:r w:rsidR="00E10DDF">
        <w:rPr>
          <w:rFonts w:asciiTheme="majorBidi" w:hAnsiTheme="majorBidi" w:cstheme="majorBidi"/>
          <w:szCs w:val="24"/>
        </w:rPr>
        <w:t xml:space="preserve"> because many of </w:t>
      </w:r>
      <w:r w:rsidR="00370F7E">
        <w:rPr>
          <w:rFonts w:asciiTheme="majorBidi" w:hAnsiTheme="majorBidi" w:cstheme="majorBidi"/>
          <w:szCs w:val="24"/>
        </w:rPr>
        <w:t xml:space="preserve">the </w:t>
      </w:r>
      <w:r w:rsidR="002924F1">
        <w:rPr>
          <w:rFonts w:asciiTheme="majorBidi" w:hAnsiTheme="majorBidi" w:cstheme="majorBidi"/>
          <w:szCs w:val="24"/>
        </w:rPr>
        <w:t>symptoms</w:t>
      </w:r>
      <w:r w:rsidR="00E10DDF">
        <w:rPr>
          <w:rFonts w:asciiTheme="majorBidi" w:hAnsiTheme="majorBidi" w:cstheme="majorBidi"/>
          <w:szCs w:val="24"/>
        </w:rPr>
        <w:t xml:space="preserve">, </w:t>
      </w:r>
      <w:r w:rsidRPr="002F64A6">
        <w:rPr>
          <w:rFonts w:asciiTheme="majorBidi" w:hAnsiTheme="majorBidi" w:cstheme="majorBidi"/>
          <w:szCs w:val="24"/>
        </w:rPr>
        <w:t xml:space="preserve">such as rash, sweating, headache, and fatigue, </w:t>
      </w:r>
      <w:r w:rsidR="00E10DDF">
        <w:rPr>
          <w:rFonts w:asciiTheme="majorBidi" w:hAnsiTheme="majorBidi" w:cstheme="majorBidi"/>
          <w:szCs w:val="24"/>
        </w:rPr>
        <w:t xml:space="preserve">are </w:t>
      </w:r>
      <w:r w:rsidR="00E10DDF" w:rsidRPr="002F64A6">
        <w:rPr>
          <w:rFonts w:asciiTheme="majorBidi" w:hAnsiTheme="majorBidi" w:cstheme="majorBidi"/>
          <w:szCs w:val="24"/>
        </w:rPr>
        <w:t xml:space="preserve">non-specific </w:t>
      </w:r>
      <w:r w:rsidR="00E10DDF">
        <w:rPr>
          <w:rFonts w:asciiTheme="majorBidi" w:hAnsiTheme="majorBidi" w:cstheme="majorBidi"/>
          <w:szCs w:val="24"/>
        </w:rPr>
        <w:t xml:space="preserve">and </w:t>
      </w:r>
      <w:r w:rsidRPr="002F64A6">
        <w:rPr>
          <w:rFonts w:asciiTheme="majorBidi" w:hAnsiTheme="majorBidi" w:cstheme="majorBidi"/>
          <w:szCs w:val="24"/>
        </w:rPr>
        <w:t>overlap with other, more common diseases.</w:t>
      </w:r>
      <w:r w:rsidR="008862FB">
        <w:rPr>
          <w:rFonts w:asciiTheme="majorBidi" w:hAnsiTheme="majorBidi" w:cstheme="majorBidi"/>
          <w:szCs w:val="24"/>
        </w:rPr>
        <w:t xml:space="preserve"> </w:t>
      </w:r>
      <w:r w:rsidR="00D36620">
        <w:rPr>
          <w:rFonts w:asciiTheme="majorBidi" w:hAnsiTheme="majorBidi" w:cstheme="majorBidi"/>
          <w:szCs w:val="24"/>
        </w:rPr>
        <w:t xml:space="preserve">Indeed, one recent study of OSHA heat enforcement actions in 2012 and 2013 found that, in five of the 23 cases </w:t>
      </w:r>
      <w:r w:rsidR="00176BE7">
        <w:rPr>
          <w:rFonts w:asciiTheme="majorBidi" w:hAnsiTheme="majorBidi" w:cstheme="majorBidi"/>
          <w:szCs w:val="24"/>
        </w:rPr>
        <w:t>(21.7</w:t>
      </w:r>
      <w:r w:rsidR="00477A38">
        <w:rPr>
          <w:rFonts w:asciiTheme="majorBidi" w:hAnsiTheme="majorBidi" w:cstheme="majorBidi"/>
          <w:szCs w:val="24"/>
        </w:rPr>
        <w:t xml:space="preserve"> percent) </w:t>
      </w:r>
      <w:r w:rsidR="00D36620">
        <w:rPr>
          <w:rFonts w:asciiTheme="majorBidi" w:hAnsiTheme="majorBidi" w:cstheme="majorBidi"/>
          <w:szCs w:val="24"/>
        </w:rPr>
        <w:t>in which there was a fatality, medical examiners attributed the cause to a cardiac event without considering whether heat triggered or contributed to the event.</w:t>
      </w:r>
      <w:r w:rsidR="00D36620">
        <w:rPr>
          <w:rStyle w:val="FootnoteReference"/>
          <w:rFonts w:asciiTheme="majorBidi" w:hAnsiTheme="majorBidi" w:cstheme="majorBidi"/>
          <w:szCs w:val="24"/>
        </w:rPr>
        <w:footnoteReference w:id="49"/>
      </w:r>
      <w:r w:rsidR="00D36620">
        <w:rPr>
          <w:rFonts w:asciiTheme="majorBidi" w:hAnsiTheme="majorBidi" w:cstheme="majorBidi"/>
          <w:szCs w:val="24"/>
        </w:rPr>
        <w:t xml:space="preserve"> </w:t>
      </w:r>
      <w:r w:rsidRPr="002F64A6">
        <w:rPr>
          <w:rFonts w:asciiTheme="majorBidi" w:hAnsiTheme="majorBidi" w:cstheme="majorBidi"/>
          <w:szCs w:val="24"/>
        </w:rPr>
        <w:t xml:space="preserve">This </w:t>
      </w:r>
      <w:r w:rsidR="00D36620">
        <w:rPr>
          <w:rFonts w:asciiTheme="majorBidi" w:hAnsiTheme="majorBidi" w:cstheme="majorBidi"/>
          <w:szCs w:val="24"/>
        </w:rPr>
        <w:t xml:space="preserve">problem </w:t>
      </w:r>
      <w:r w:rsidRPr="002F64A6">
        <w:rPr>
          <w:rFonts w:asciiTheme="majorBidi" w:hAnsiTheme="majorBidi" w:cstheme="majorBidi"/>
          <w:szCs w:val="24"/>
        </w:rPr>
        <w:t xml:space="preserve">is especially </w:t>
      </w:r>
      <w:r w:rsidR="00CE51EF">
        <w:rPr>
          <w:rFonts w:asciiTheme="majorBidi" w:hAnsiTheme="majorBidi" w:cstheme="majorBidi"/>
          <w:szCs w:val="24"/>
        </w:rPr>
        <w:t xml:space="preserve">acute </w:t>
      </w:r>
      <w:r w:rsidRPr="002F64A6">
        <w:rPr>
          <w:rFonts w:asciiTheme="majorBidi" w:hAnsiTheme="majorBidi" w:cstheme="majorBidi"/>
          <w:szCs w:val="24"/>
        </w:rPr>
        <w:t>in agriculture, where signs of heat stress can be confused with similar symptoms encountered with exposure to pesticides.</w:t>
      </w:r>
      <w:r w:rsidRPr="002F64A6">
        <w:rPr>
          <w:rFonts w:asciiTheme="majorBidi" w:hAnsiTheme="majorBidi" w:cstheme="majorBidi"/>
          <w:szCs w:val="24"/>
          <w:vertAlign w:val="superscript"/>
        </w:rPr>
        <w:footnoteReference w:id="50"/>
      </w:r>
      <w:r w:rsidRPr="002F64A6">
        <w:rPr>
          <w:rFonts w:asciiTheme="majorBidi" w:hAnsiTheme="majorBidi" w:cstheme="majorBidi"/>
          <w:szCs w:val="24"/>
        </w:rPr>
        <w:t xml:space="preserve"> </w:t>
      </w:r>
      <w:r w:rsidR="001E041D">
        <w:rPr>
          <w:rFonts w:asciiTheme="majorBidi" w:hAnsiTheme="majorBidi" w:cstheme="majorBidi"/>
          <w:szCs w:val="24"/>
        </w:rPr>
        <w:t>Heat stress also diminishes performance and makes other accidents and injuries more likely,</w:t>
      </w:r>
      <w:r w:rsidR="001E041D">
        <w:rPr>
          <w:rStyle w:val="FootnoteReference"/>
          <w:rFonts w:asciiTheme="majorBidi" w:hAnsiTheme="majorBidi" w:cstheme="majorBidi"/>
          <w:szCs w:val="24"/>
        </w:rPr>
        <w:footnoteReference w:id="51"/>
      </w:r>
      <w:r w:rsidR="001E041D">
        <w:rPr>
          <w:rFonts w:asciiTheme="majorBidi" w:hAnsiTheme="majorBidi" w:cstheme="majorBidi"/>
          <w:szCs w:val="24"/>
        </w:rPr>
        <w:t xml:space="preserve"> leading to the possibility that it is the root cause of an</w:t>
      </w:r>
      <w:r w:rsidR="00F27205">
        <w:rPr>
          <w:rFonts w:asciiTheme="majorBidi" w:hAnsiTheme="majorBidi" w:cstheme="majorBidi"/>
          <w:szCs w:val="24"/>
        </w:rPr>
        <w:t xml:space="preserve"> additional, untold </w:t>
      </w:r>
      <w:r w:rsidR="001E041D">
        <w:rPr>
          <w:rFonts w:asciiTheme="majorBidi" w:hAnsiTheme="majorBidi" w:cstheme="majorBidi"/>
          <w:szCs w:val="24"/>
        </w:rPr>
        <w:t>number of fatalities or serious injuries that are not recorded as having anything to do with heat.</w:t>
      </w:r>
    </w:p>
    <w:p w14:paraId="130DE48C" w14:textId="3E8B31C4"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Accurate injury reporting </w:t>
      </w:r>
      <w:r w:rsidR="00AB6C2B">
        <w:rPr>
          <w:rFonts w:asciiTheme="majorBidi" w:hAnsiTheme="majorBidi" w:cstheme="majorBidi"/>
          <w:szCs w:val="24"/>
        </w:rPr>
        <w:t>among farm wo</w:t>
      </w:r>
      <w:r w:rsidR="003C79D9">
        <w:rPr>
          <w:rFonts w:asciiTheme="majorBidi" w:hAnsiTheme="majorBidi" w:cstheme="majorBidi"/>
          <w:szCs w:val="24"/>
        </w:rPr>
        <w:t>r</w:t>
      </w:r>
      <w:r w:rsidR="00AB6C2B">
        <w:rPr>
          <w:rFonts w:asciiTheme="majorBidi" w:hAnsiTheme="majorBidi" w:cstheme="majorBidi"/>
          <w:szCs w:val="24"/>
        </w:rPr>
        <w:t>kers</w:t>
      </w:r>
      <w:r w:rsidR="00795FCF">
        <w:rPr>
          <w:rFonts w:asciiTheme="majorBidi" w:hAnsiTheme="majorBidi" w:cstheme="majorBidi"/>
          <w:szCs w:val="24"/>
        </w:rPr>
        <w:t xml:space="preserve"> </w:t>
      </w:r>
      <w:r w:rsidRPr="002F64A6">
        <w:rPr>
          <w:rFonts w:asciiTheme="majorBidi" w:hAnsiTheme="majorBidi" w:cstheme="majorBidi"/>
          <w:szCs w:val="24"/>
        </w:rPr>
        <w:t>also is hindered by unique features of the agricultural workforce and workplace, including the migrant and seasonal nature of the workforce; poor English skills and educational attainment of workers; and economic and social factors that prevent workers from speaking out about workplace conditions.</w:t>
      </w:r>
      <w:r w:rsidRPr="002F64A6">
        <w:rPr>
          <w:rFonts w:asciiTheme="majorBidi" w:hAnsiTheme="majorBidi" w:cstheme="majorBidi"/>
          <w:szCs w:val="24"/>
          <w:vertAlign w:val="superscript"/>
        </w:rPr>
        <w:footnoteReference w:id="52"/>
      </w:r>
      <w:r w:rsidRPr="002F64A6">
        <w:rPr>
          <w:rFonts w:asciiTheme="majorBidi" w:hAnsiTheme="majorBidi" w:cstheme="majorBidi"/>
          <w:szCs w:val="24"/>
        </w:rPr>
        <w:t xml:space="preserve"> </w:t>
      </w:r>
      <w:r w:rsidR="00382C40" w:rsidRPr="002F64A6">
        <w:rPr>
          <w:rFonts w:asciiTheme="majorBidi" w:hAnsiTheme="majorBidi" w:cstheme="majorBidi"/>
          <w:szCs w:val="24"/>
        </w:rPr>
        <w:t>Many agricultural workers with heat-related illness short of severe exhaustion are likely to self-treat, do not report illness, and do not (or are not able to) take time off to recuperate.</w:t>
      </w:r>
      <w:r w:rsidR="00382C40" w:rsidRPr="002F64A6">
        <w:rPr>
          <w:rFonts w:asciiTheme="majorBidi" w:hAnsiTheme="majorBidi" w:cstheme="majorBidi"/>
          <w:szCs w:val="24"/>
          <w:vertAlign w:val="superscript"/>
        </w:rPr>
        <w:footnoteReference w:id="53"/>
      </w:r>
      <w:r w:rsidR="00382C40">
        <w:rPr>
          <w:rFonts w:asciiTheme="majorBidi" w:hAnsiTheme="majorBidi" w:cstheme="majorBidi"/>
          <w:szCs w:val="24"/>
        </w:rPr>
        <w:t xml:space="preserve"> </w:t>
      </w:r>
      <w:r w:rsidRPr="002F64A6">
        <w:rPr>
          <w:rFonts w:asciiTheme="majorBidi" w:hAnsiTheme="majorBidi" w:cstheme="majorBidi"/>
          <w:szCs w:val="24"/>
        </w:rPr>
        <w:t>Many farmworkers are poor, can ill afford to stop working to treat or recover from injuries, fear losing their jobs if they take time off, lack awareness of employment rights, and may perceive that reporting injuries would be construed by employers as complaints and thus result in reprisal. Many are immigrants, often lacking proper work permits and fearful of deportation if they raise concerns about</w:t>
      </w:r>
      <w:r w:rsidR="0052231C">
        <w:rPr>
          <w:rFonts w:asciiTheme="majorBidi" w:hAnsiTheme="majorBidi" w:cstheme="majorBidi"/>
          <w:szCs w:val="24"/>
        </w:rPr>
        <w:t xml:space="preserve"> heat stress</w:t>
      </w:r>
      <w:r w:rsidRPr="002F64A6">
        <w:rPr>
          <w:rFonts w:asciiTheme="majorBidi" w:hAnsiTheme="majorBidi" w:cstheme="majorBidi"/>
          <w:szCs w:val="24"/>
        </w:rPr>
        <w:t xml:space="preserve"> or request the most basic protections from</w:t>
      </w:r>
      <w:r w:rsidR="0052231C">
        <w:rPr>
          <w:rFonts w:asciiTheme="majorBidi" w:hAnsiTheme="majorBidi" w:cstheme="majorBidi"/>
          <w:szCs w:val="24"/>
        </w:rPr>
        <w:t xml:space="preserve"> it</w:t>
      </w:r>
      <w:r w:rsidRPr="002F64A6">
        <w:rPr>
          <w:rFonts w:asciiTheme="majorBidi" w:hAnsiTheme="majorBidi" w:cstheme="majorBidi"/>
          <w:szCs w:val="24"/>
        </w:rPr>
        <w:t>.</w:t>
      </w:r>
    </w:p>
    <w:p w14:paraId="17058CC1" w14:textId="049E7DED"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This underreporting virtually guarantees that the BLS</w:t>
      </w:r>
      <w:r w:rsidR="00DB23CF">
        <w:rPr>
          <w:rFonts w:asciiTheme="majorBidi" w:hAnsiTheme="majorBidi" w:cstheme="majorBidi"/>
          <w:szCs w:val="24"/>
        </w:rPr>
        <w:t>’</w:t>
      </w:r>
      <w:r w:rsidRPr="002F64A6">
        <w:rPr>
          <w:rFonts w:asciiTheme="majorBidi" w:hAnsiTheme="majorBidi" w:cstheme="majorBidi"/>
          <w:szCs w:val="24"/>
        </w:rPr>
        <w:t>s injury and fatality data greatly underestimate the devastating effects of extreme heat exposure in workers.</w:t>
      </w:r>
    </w:p>
    <w:p w14:paraId="52E665B5" w14:textId="69CB6FED" w:rsidR="003560F5" w:rsidRPr="002F64A6" w:rsidRDefault="00DC567B" w:rsidP="00E910F2">
      <w:pPr>
        <w:rPr>
          <w:rFonts w:asciiTheme="majorBidi" w:hAnsiTheme="majorBidi" w:cstheme="majorBidi"/>
          <w:szCs w:val="24"/>
        </w:rPr>
      </w:pPr>
      <w:r w:rsidRPr="002F64A6">
        <w:rPr>
          <w:rFonts w:asciiTheme="majorBidi" w:hAnsiTheme="majorBidi" w:cstheme="majorBidi"/>
          <w:szCs w:val="24"/>
        </w:rPr>
        <w:lastRenderedPageBreak/>
        <w:t xml:space="preserve">Indeed, a few data points suggest that the BLS numbers may fall short by multiple orders of magnitude. </w:t>
      </w:r>
      <w:r w:rsidR="00433B3C" w:rsidRPr="002F64A6">
        <w:rPr>
          <w:rFonts w:asciiTheme="majorBidi" w:hAnsiTheme="majorBidi" w:cstheme="majorBidi"/>
          <w:szCs w:val="24"/>
        </w:rPr>
        <w:t>According to NIOSH, i</w:t>
      </w:r>
      <w:r w:rsidRPr="002F64A6">
        <w:rPr>
          <w:rFonts w:asciiTheme="majorBidi" w:hAnsiTheme="majorBidi" w:cstheme="majorBidi"/>
          <w:szCs w:val="24"/>
        </w:rPr>
        <w:t xml:space="preserve">t is generally estimated that 2 in 1,000 </w:t>
      </w:r>
      <w:r w:rsidR="00312843">
        <w:rPr>
          <w:rFonts w:asciiTheme="majorBidi" w:hAnsiTheme="majorBidi" w:cstheme="majorBidi"/>
          <w:szCs w:val="24"/>
        </w:rPr>
        <w:t xml:space="preserve">of all </w:t>
      </w:r>
      <w:r w:rsidRPr="002F64A6">
        <w:rPr>
          <w:rFonts w:asciiTheme="majorBidi" w:hAnsiTheme="majorBidi" w:cstheme="majorBidi"/>
          <w:szCs w:val="24"/>
        </w:rPr>
        <w:t xml:space="preserve">workers are at risk for heat stress, and that those in certain occupations (firefighting, agriculture, construction, forestry, mining, </w:t>
      </w:r>
      <w:r w:rsidR="00433B3C" w:rsidRPr="002F64A6">
        <w:rPr>
          <w:rFonts w:asciiTheme="majorBidi" w:hAnsiTheme="majorBidi" w:cstheme="majorBidi"/>
          <w:szCs w:val="24"/>
        </w:rPr>
        <w:t xml:space="preserve">and </w:t>
      </w:r>
      <w:r w:rsidRPr="002F64A6">
        <w:rPr>
          <w:rFonts w:asciiTheme="majorBidi" w:hAnsiTheme="majorBidi" w:cstheme="majorBidi"/>
          <w:szCs w:val="24"/>
        </w:rPr>
        <w:t>manufacturing) are at greater risk.</w:t>
      </w:r>
      <w:r w:rsidRPr="002F64A6">
        <w:rPr>
          <w:rStyle w:val="FootnoteReference"/>
        </w:rPr>
        <w:footnoteReference w:id="54"/>
      </w:r>
      <w:r w:rsidRPr="002F64A6">
        <w:rPr>
          <w:rFonts w:asciiTheme="majorBidi" w:hAnsiTheme="majorBidi" w:cstheme="majorBidi"/>
          <w:szCs w:val="24"/>
        </w:rPr>
        <w:t xml:space="preserve"> There are roughly 155.2 million Americans employed at present.</w:t>
      </w:r>
      <w:r w:rsidRPr="002F64A6">
        <w:rPr>
          <w:rStyle w:val="FootnoteReference"/>
          <w:rFonts w:asciiTheme="majorBidi" w:hAnsiTheme="majorBidi" w:cstheme="majorBidi"/>
          <w:szCs w:val="24"/>
        </w:rPr>
        <w:footnoteReference w:id="55"/>
      </w:r>
      <w:r w:rsidRPr="002F64A6">
        <w:rPr>
          <w:rFonts w:asciiTheme="majorBidi" w:hAnsiTheme="majorBidi" w:cstheme="majorBidi"/>
          <w:szCs w:val="24"/>
        </w:rPr>
        <w:t xml:space="preserve"> If 2 in 1,000 are at risk, then that gives a figure of more than 300,000 American workers. Of those, more than 260,000 reside in states with no heat stress standard.</w:t>
      </w:r>
      <w:r w:rsidRPr="002F64A6">
        <w:rPr>
          <w:rStyle w:val="FootnoteReference"/>
          <w:rFonts w:asciiTheme="majorBidi" w:hAnsiTheme="majorBidi" w:cstheme="majorBidi"/>
          <w:szCs w:val="24"/>
        </w:rPr>
        <w:footnoteReference w:id="56"/>
      </w:r>
    </w:p>
    <w:p w14:paraId="1A90B706" w14:textId="6BD8A858" w:rsidR="00442A6E" w:rsidRPr="002F64A6" w:rsidRDefault="00DC567B" w:rsidP="00E910F2">
      <w:pPr>
        <w:rPr>
          <w:rFonts w:asciiTheme="majorBidi" w:hAnsiTheme="majorBidi" w:cstheme="majorBidi"/>
          <w:szCs w:val="24"/>
        </w:rPr>
      </w:pPr>
      <w:r w:rsidRPr="002F64A6">
        <w:rPr>
          <w:rFonts w:asciiTheme="majorBidi" w:hAnsiTheme="majorBidi" w:cstheme="majorBidi"/>
          <w:szCs w:val="24"/>
        </w:rPr>
        <w:t>Another point for rough comparison is heat stress in the U.S. military</w:t>
      </w:r>
      <w:r w:rsidR="00697A71" w:rsidRPr="002F64A6">
        <w:rPr>
          <w:rFonts w:asciiTheme="majorBidi" w:hAnsiTheme="majorBidi" w:cstheme="majorBidi"/>
          <w:szCs w:val="24"/>
        </w:rPr>
        <w:t xml:space="preserve">. </w:t>
      </w:r>
      <w:r w:rsidR="006C1F41" w:rsidRPr="002F64A6">
        <w:rPr>
          <w:rFonts w:asciiTheme="majorBidi" w:hAnsiTheme="majorBidi" w:cstheme="majorBidi"/>
          <w:szCs w:val="24"/>
        </w:rPr>
        <w:t xml:space="preserve">In 2017, </w:t>
      </w:r>
      <w:r w:rsidR="00F93989" w:rsidRPr="002F64A6">
        <w:rPr>
          <w:rFonts w:asciiTheme="majorBidi" w:hAnsiTheme="majorBidi" w:cstheme="majorBidi"/>
          <w:szCs w:val="24"/>
        </w:rPr>
        <w:t xml:space="preserve">there were </w:t>
      </w:r>
      <w:r w:rsidR="00442A6E" w:rsidRPr="002F64A6">
        <w:rPr>
          <w:rFonts w:asciiTheme="majorBidi" w:hAnsiTheme="majorBidi" w:cstheme="majorBidi"/>
          <w:szCs w:val="24"/>
        </w:rPr>
        <w:t>2,136 cases of heat stroke or heat exhaustion</w:t>
      </w:r>
      <w:r w:rsidR="00BF3288" w:rsidRPr="002F64A6">
        <w:rPr>
          <w:rFonts w:asciiTheme="majorBidi" w:hAnsiTheme="majorBidi" w:cstheme="majorBidi"/>
          <w:szCs w:val="24"/>
        </w:rPr>
        <w:t xml:space="preserve"> among active military service members</w:t>
      </w:r>
      <w:r w:rsidR="00442A6E" w:rsidRPr="002F64A6">
        <w:rPr>
          <w:rFonts w:asciiTheme="majorBidi" w:hAnsiTheme="majorBidi" w:cstheme="majorBidi"/>
          <w:szCs w:val="24"/>
        </w:rPr>
        <w:t xml:space="preserve">, </w:t>
      </w:r>
      <w:r w:rsidR="006D2A43" w:rsidRPr="002F64A6">
        <w:rPr>
          <w:rFonts w:asciiTheme="majorBidi" w:hAnsiTheme="majorBidi" w:cstheme="majorBidi"/>
          <w:szCs w:val="24"/>
        </w:rPr>
        <w:t xml:space="preserve">or </w:t>
      </w:r>
      <w:r w:rsidR="00BF3288" w:rsidRPr="002F64A6">
        <w:rPr>
          <w:rFonts w:asciiTheme="majorBidi" w:hAnsiTheme="majorBidi" w:cstheme="majorBidi"/>
          <w:szCs w:val="24"/>
        </w:rPr>
        <w:t xml:space="preserve">a rate of </w:t>
      </w:r>
      <w:r w:rsidR="00442A6E" w:rsidRPr="002F64A6">
        <w:rPr>
          <w:rFonts w:asciiTheme="majorBidi" w:hAnsiTheme="majorBidi" w:cstheme="majorBidi"/>
          <w:szCs w:val="24"/>
        </w:rPr>
        <w:t>1.79</w:t>
      </w:r>
      <w:r w:rsidR="00DF5877" w:rsidRPr="002F64A6">
        <w:rPr>
          <w:rFonts w:asciiTheme="majorBidi" w:hAnsiTheme="majorBidi" w:cstheme="majorBidi"/>
          <w:szCs w:val="24"/>
        </w:rPr>
        <w:t xml:space="preserve"> </w:t>
      </w:r>
      <w:r w:rsidR="00510740" w:rsidRPr="002F64A6">
        <w:rPr>
          <w:rFonts w:asciiTheme="majorBidi" w:hAnsiTheme="majorBidi" w:cstheme="majorBidi"/>
          <w:szCs w:val="24"/>
        </w:rPr>
        <w:t xml:space="preserve">per </w:t>
      </w:r>
      <w:r w:rsidR="00157948" w:rsidRPr="002F64A6">
        <w:rPr>
          <w:rFonts w:asciiTheme="majorBidi" w:hAnsiTheme="majorBidi" w:cstheme="majorBidi"/>
          <w:szCs w:val="24"/>
        </w:rPr>
        <w:t xml:space="preserve">1000 </w:t>
      </w:r>
      <w:r w:rsidR="00510740" w:rsidRPr="002F64A6">
        <w:rPr>
          <w:rFonts w:asciiTheme="majorBidi" w:hAnsiTheme="majorBidi" w:cstheme="majorBidi"/>
          <w:szCs w:val="24"/>
        </w:rPr>
        <w:t>person-year</w:t>
      </w:r>
      <w:r w:rsidR="00157948" w:rsidRPr="002F64A6">
        <w:rPr>
          <w:rFonts w:asciiTheme="majorBidi" w:hAnsiTheme="majorBidi" w:cstheme="majorBidi"/>
          <w:szCs w:val="24"/>
        </w:rPr>
        <w:t>s</w:t>
      </w:r>
      <w:r w:rsidR="00442A6E" w:rsidRPr="002F64A6">
        <w:rPr>
          <w:rFonts w:asciiTheme="majorBidi" w:hAnsiTheme="majorBidi" w:cstheme="majorBidi"/>
          <w:szCs w:val="24"/>
        </w:rPr>
        <w:t>.</w:t>
      </w:r>
      <w:r w:rsidR="00ED5BB9" w:rsidRPr="002F64A6">
        <w:rPr>
          <w:rStyle w:val="FootnoteReference"/>
          <w:rFonts w:asciiTheme="majorBidi" w:hAnsiTheme="majorBidi" w:cstheme="majorBidi"/>
          <w:szCs w:val="24"/>
        </w:rPr>
        <w:footnoteReference w:id="57"/>
      </w:r>
    </w:p>
    <w:p w14:paraId="04C3AA4A" w14:textId="67D0FDD1" w:rsidR="00A1232E" w:rsidRPr="002F64A6" w:rsidRDefault="00CC0479" w:rsidP="00A1232E">
      <w:pPr>
        <w:rPr>
          <w:rFonts w:asciiTheme="majorBidi" w:hAnsiTheme="majorBidi" w:cstheme="majorBidi"/>
          <w:szCs w:val="24"/>
        </w:rPr>
      </w:pPr>
      <w:bookmarkStart w:id="12" w:name="_Ref514765264"/>
      <w:r w:rsidRPr="002F64A6">
        <w:rPr>
          <w:rFonts w:asciiTheme="majorBidi" w:hAnsiTheme="majorBidi" w:cstheme="majorBidi"/>
          <w:szCs w:val="24"/>
        </w:rPr>
        <w:t xml:space="preserve">Critically, even the limited BLS data </w:t>
      </w:r>
      <w:r w:rsidR="00D622C0" w:rsidRPr="002F64A6">
        <w:rPr>
          <w:rFonts w:asciiTheme="majorBidi" w:hAnsiTheme="majorBidi" w:cstheme="majorBidi"/>
          <w:szCs w:val="24"/>
        </w:rPr>
        <w:t>suggest</w:t>
      </w:r>
      <w:r w:rsidRPr="002F64A6">
        <w:rPr>
          <w:rFonts w:asciiTheme="majorBidi" w:hAnsiTheme="majorBidi" w:cstheme="majorBidi"/>
          <w:szCs w:val="24"/>
        </w:rPr>
        <w:t xml:space="preserve"> that the rate of heat stress fatalities has been rising since 1992, </w:t>
      </w:r>
      <w:r w:rsidR="009E5E2C" w:rsidRPr="002F64A6">
        <w:rPr>
          <w:rFonts w:asciiTheme="majorBidi" w:hAnsiTheme="majorBidi" w:cstheme="majorBidi"/>
          <w:szCs w:val="24"/>
        </w:rPr>
        <w:t>the first year for which numbers are available</w:t>
      </w:r>
      <w:r w:rsidRPr="002F64A6">
        <w:rPr>
          <w:rFonts w:asciiTheme="majorBidi" w:hAnsiTheme="majorBidi" w:cstheme="majorBidi"/>
          <w:szCs w:val="24"/>
        </w:rPr>
        <w:t>. The rise appears to be correlated with the increase in average annual temperature, as shown in</w:t>
      </w:r>
      <w:r w:rsidR="00653D6E">
        <w:rPr>
          <w:rFonts w:asciiTheme="majorBidi" w:hAnsiTheme="majorBidi" w:cstheme="majorBidi"/>
          <w:szCs w:val="24"/>
        </w:rPr>
        <w:t xml:space="preserve"> </w:t>
      </w:r>
      <w:r w:rsidR="00653D6E">
        <w:rPr>
          <w:rFonts w:asciiTheme="majorBidi" w:hAnsiTheme="majorBidi" w:cstheme="majorBidi"/>
          <w:szCs w:val="24"/>
        </w:rPr>
        <w:fldChar w:fldCharType="begin"/>
      </w:r>
      <w:r w:rsidR="00653D6E">
        <w:rPr>
          <w:rFonts w:asciiTheme="majorBidi" w:hAnsiTheme="majorBidi" w:cstheme="majorBidi"/>
          <w:szCs w:val="24"/>
        </w:rPr>
        <w:instrText xml:space="preserve"> REF _Ref515971307 \h </w:instrText>
      </w:r>
      <w:r w:rsidR="00653D6E">
        <w:rPr>
          <w:rFonts w:asciiTheme="majorBidi" w:hAnsiTheme="majorBidi" w:cstheme="majorBidi"/>
          <w:szCs w:val="24"/>
        </w:rPr>
      </w:r>
      <w:r w:rsidR="00653D6E">
        <w:rPr>
          <w:rFonts w:asciiTheme="majorBidi" w:hAnsiTheme="majorBidi" w:cstheme="majorBidi"/>
          <w:szCs w:val="24"/>
        </w:rPr>
        <w:fldChar w:fldCharType="separate"/>
      </w:r>
      <w:r w:rsidR="00806F98" w:rsidRPr="002F64A6">
        <w:t xml:space="preserve">Figure </w:t>
      </w:r>
      <w:r w:rsidR="00806F98">
        <w:rPr>
          <w:noProof/>
        </w:rPr>
        <w:t>3</w:t>
      </w:r>
      <w:r w:rsidR="00653D6E">
        <w:rPr>
          <w:rFonts w:asciiTheme="majorBidi" w:hAnsiTheme="majorBidi" w:cstheme="majorBidi"/>
          <w:szCs w:val="24"/>
        </w:rPr>
        <w:fldChar w:fldCharType="end"/>
      </w:r>
      <w:r w:rsidRPr="002F64A6">
        <w:rPr>
          <w:rFonts w:asciiTheme="majorBidi" w:hAnsiTheme="majorBidi" w:cstheme="majorBidi"/>
          <w:szCs w:val="24"/>
        </w:rPr>
        <w:t>.</w:t>
      </w:r>
      <w:r w:rsidR="00A1232E" w:rsidRPr="002F64A6">
        <w:rPr>
          <w:rFonts w:asciiTheme="majorBidi" w:hAnsiTheme="majorBidi" w:cstheme="majorBidi"/>
          <w:szCs w:val="24"/>
        </w:rPr>
        <w:t xml:space="preserve"> </w:t>
      </w:r>
      <w:r w:rsidR="007660C2" w:rsidRPr="002F64A6">
        <w:rPr>
          <w:rFonts w:asciiTheme="majorBidi" w:hAnsiTheme="majorBidi" w:cstheme="majorBidi"/>
          <w:szCs w:val="24"/>
        </w:rPr>
        <w:t>(</w:t>
      </w:r>
      <w:r w:rsidR="00A1232E" w:rsidRPr="002F64A6">
        <w:rPr>
          <w:rFonts w:asciiTheme="majorBidi" w:hAnsiTheme="majorBidi" w:cstheme="majorBidi"/>
          <w:szCs w:val="24"/>
        </w:rPr>
        <w:t xml:space="preserve">It is not possible to </w:t>
      </w:r>
      <w:r w:rsidR="00497EF2" w:rsidRPr="002F64A6">
        <w:rPr>
          <w:rFonts w:asciiTheme="majorBidi" w:hAnsiTheme="majorBidi" w:cstheme="majorBidi"/>
          <w:szCs w:val="24"/>
        </w:rPr>
        <w:t xml:space="preserve">consider the same question </w:t>
      </w:r>
      <w:r w:rsidR="007763F0"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non-fatal injuries, as the BLS </w:t>
      </w:r>
      <w:r w:rsidR="00E7573A" w:rsidRPr="002F64A6">
        <w:rPr>
          <w:rFonts w:asciiTheme="majorBidi" w:hAnsiTheme="majorBidi" w:cstheme="majorBidi"/>
          <w:szCs w:val="24"/>
        </w:rPr>
        <w:t xml:space="preserve">lacks </w:t>
      </w:r>
      <w:r w:rsidR="00DA1C4C" w:rsidRPr="002F64A6">
        <w:rPr>
          <w:rFonts w:asciiTheme="majorBidi" w:hAnsiTheme="majorBidi" w:cstheme="majorBidi"/>
          <w:szCs w:val="24"/>
        </w:rPr>
        <w:t xml:space="preserve">injury </w:t>
      </w:r>
      <w:r w:rsidR="00716508" w:rsidRPr="002F64A6">
        <w:rPr>
          <w:rFonts w:asciiTheme="majorBidi" w:hAnsiTheme="majorBidi" w:cstheme="majorBidi"/>
          <w:szCs w:val="24"/>
        </w:rPr>
        <w:t xml:space="preserve">data </w:t>
      </w:r>
      <w:r w:rsidR="0077044A" w:rsidRPr="002F64A6">
        <w:rPr>
          <w:rFonts w:asciiTheme="majorBidi" w:hAnsiTheme="majorBidi" w:cstheme="majorBidi"/>
          <w:szCs w:val="24"/>
        </w:rPr>
        <w:t xml:space="preserve">for </w:t>
      </w:r>
      <w:r w:rsidR="00A1232E" w:rsidRPr="002F64A6">
        <w:rPr>
          <w:rFonts w:asciiTheme="majorBidi" w:hAnsiTheme="majorBidi" w:cstheme="majorBidi"/>
          <w:szCs w:val="24"/>
        </w:rPr>
        <w:t xml:space="preserve">state and local government </w:t>
      </w:r>
      <w:r w:rsidR="0077044A" w:rsidRPr="002F64A6">
        <w:rPr>
          <w:rFonts w:asciiTheme="majorBidi" w:hAnsiTheme="majorBidi" w:cstheme="majorBidi"/>
          <w:szCs w:val="24"/>
        </w:rPr>
        <w:t xml:space="preserve">workers before </w:t>
      </w:r>
      <w:r w:rsidR="00A1232E" w:rsidRPr="002F64A6">
        <w:rPr>
          <w:rFonts w:asciiTheme="majorBidi" w:hAnsiTheme="majorBidi" w:cstheme="majorBidi"/>
          <w:szCs w:val="24"/>
        </w:rPr>
        <w:t>2009.</w:t>
      </w:r>
      <w:r w:rsidR="007660C2" w:rsidRPr="002F64A6">
        <w:rPr>
          <w:rFonts w:asciiTheme="majorBidi" w:hAnsiTheme="majorBidi" w:cstheme="majorBidi"/>
          <w:szCs w:val="24"/>
        </w:rPr>
        <w:t>)</w:t>
      </w:r>
    </w:p>
    <w:p w14:paraId="63AC3CD5" w14:textId="016EED1C" w:rsidR="00C27A1D" w:rsidRPr="002F64A6" w:rsidRDefault="00C27A1D" w:rsidP="00233F0E">
      <w:pPr>
        <w:pStyle w:val="Caption"/>
      </w:pPr>
      <w:bookmarkStart w:id="13" w:name="_Ref515971307"/>
      <w:r w:rsidRPr="002F64A6">
        <w:t xml:space="preserve">Figure </w:t>
      </w:r>
      <w:r w:rsidR="00E221DB">
        <w:fldChar w:fldCharType="begin"/>
      </w:r>
      <w:r w:rsidR="00E221DB">
        <w:instrText xml:space="preserve"> SEQ Figure \* ARABIC </w:instrText>
      </w:r>
      <w:r w:rsidR="00E221DB">
        <w:fldChar w:fldCharType="separate"/>
      </w:r>
      <w:r w:rsidR="00806F98">
        <w:rPr>
          <w:noProof/>
        </w:rPr>
        <w:t>3</w:t>
      </w:r>
      <w:r w:rsidR="00E221DB">
        <w:rPr>
          <w:noProof/>
        </w:rPr>
        <w:fldChar w:fldCharType="end"/>
      </w:r>
      <w:bookmarkEnd w:id="12"/>
      <w:bookmarkEnd w:id="13"/>
      <w:r w:rsidRPr="002F64A6">
        <w:t xml:space="preserve">. Average </w:t>
      </w:r>
      <w:r w:rsidR="00964699">
        <w:t>a</w:t>
      </w:r>
      <w:r w:rsidRPr="002F64A6">
        <w:t xml:space="preserve">nnual </w:t>
      </w:r>
      <w:r w:rsidR="00964699">
        <w:t>t</w:t>
      </w:r>
      <w:r w:rsidRPr="002F64A6">
        <w:t>emperature (°F) and</w:t>
      </w:r>
      <w:r w:rsidRPr="002F64A6">
        <w:br/>
      </w:r>
      <w:r w:rsidR="00964699">
        <w:t>r</w:t>
      </w:r>
      <w:r w:rsidR="00530D28" w:rsidRPr="002F64A6">
        <w:t xml:space="preserve">ate of </w:t>
      </w:r>
      <w:r w:rsidR="00964699">
        <w:t>r</w:t>
      </w:r>
      <w:r w:rsidR="00530D28" w:rsidRPr="002F64A6">
        <w:t xml:space="preserve">eported </w:t>
      </w:r>
      <w:r w:rsidR="00964699">
        <w:t>w</w:t>
      </w:r>
      <w:r w:rsidRPr="002F64A6">
        <w:t xml:space="preserve">orker </w:t>
      </w:r>
      <w:r w:rsidR="00964699">
        <w:t>f</w:t>
      </w:r>
      <w:r w:rsidRPr="002F64A6">
        <w:t xml:space="preserve">atalities from </w:t>
      </w:r>
      <w:r w:rsidR="00964699">
        <w:t>h</w:t>
      </w:r>
      <w:r w:rsidRPr="002F64A6">
        <w:t xml:space="preserve">eat </w:t>
      </w:r>
      <w:r w:rsidR="00964699">
        <w:t>s</w:t>
      </w:r>
      <w:r w:rsidRPr="002F64A6">
        <w:t>tress</w:t>
      </w:r>
    </w:p>
    <w:p w14:paraId="2EC00AED" w14:textId="2F150788" w:rsidR="00F02107" w:rsidRPr="002F64A6" w:rsidRDefault="00AB2648" w:rsidP="00233F0E">
      <w:pPr>
        <w:pStyle w:val="Caption"/>
      </w:pPr>
      <w:r>
        <w:rPr>
          <w:noProof/>
        </w:rPr>
        <w:drawing>
          <wp:inline distT="0" distB="0" distL="0" distR="0" wp14:anchorId="54CEC006" wp14:editId="12FAC45B">
            <wp:extent cx="4982949" cy="3017520"/>
            <wp:effectExtent l="0" t="0" r="825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AF2426" w14:textId="4396FBF4" w:rsidR="00981861" w:rsidRPr="002F64A6" w:rsidRDefault="00981861" w:rsidP="00AD6F3D">
      <w:pPr>
        <w:pStyle w:val="Asterisks"/>
        <w:ind w:left="1170" w:right="990"/>
      </w:pPr>
      <w:r w:rsidRPr="002F64A6">
        <w:t>*</w:t>
      </w:r>
      <w:r w:rsidR="00BF473A" w:rsidRPr="002F64A6">
        <w:t xml:space="preserve"> </w:t>
      </w:r>
      <w:r w:rsidRPr="002F64A6">
        <w:t xml:space="preserve">Fatality rate per </w:t>
      </w:r>
      <w:r w:rsidR="009E16F5" w:rsidRPr="002F64A6">
        <w:t>1</w:t>
      </w:r>
      <w:r w:rsidR="00793B72" w:rsidRPr="002F64A6">
        <w:t xml:space="preserve"> million </w:t>
      </w:r>
      <w:r w:rsidR="009E16F5" w:rsidRPr="002F64A6">
        <w:t xml:space="preserve">workers, derived by dividing reports of fatalities by total </w:t>
      </w:r>
      <w:r w:rsidR="00D65C99" w:rsidRPr="002F64A6">
        <w:t>U.S. employees in private sector and state and local governments</w:t>
      </w:r>
      <w:r w:rsidR="009E16F5" w:rsidRPr="002F64A6">
        <w:t>.</w:t>
      </w:r>
    </w:p>
    <w:p w14:paraId="7A54E9C9" w14:textId="2F721019" w:rsidR="0084717E" w:rsidRPr="002F64A6" w:rsidRDefault="00807AAF" w:rsidP="00AD6F3D">
      <w:pPr>
        <w:pStyle w:val="Asterisks"/>
        <w:ind w:left="1170" w:right="990"/>
      </w:pPr>
      <w:r w:rsidRPr="002F64A6">
        <w:t>Source</w:t>
      </w:r>
      <w:r w:rsidR="00AD6F3D" w:rsidRPr="002F64A6">
        <w:t>s</w:t>
      </w:r>
      <w:r w:rsidRPr="002F64A6">
        <w:t xml:space="preserve">: </w:t>
      </w:r>
      <w:r w:rsidR="00AD6F3D" w:rsidRPr="002F64A6">
        <w:t>National Oceanic and Atmospheric Administration and</w:t>
      </w:r>
      <w:r w:rsidR="00F717B6" w:rsidRPr="002F64A6">
        <w:t xml:space="preserve"> BLS</w:t>
      </w:r>
      <w:r w:rsidR="004D2EDC" w:rsidRPr="002F64A6">
        <w:t>.</w:t>
      </w:r>
    </w:p>
    <w:p w14:paraId="338D1CC4" w14:textId="39996D06" w:rsidR="00BF6802" w:rsidRDefault="00BF6802" w:rsidP="00BF6802">
      <w:r>
        <w:lastRenderedPageBreak/>
        <w:t xml:space="preserve">The available evidence also suggests that, in the absence of standards, employers are falling far short on protecting workers from heat stress. </w:t>
      </w:r>
      <w:r w:rsidR="006E16BC">
        <w:t xml:space="preserve">A recent study </w:t>
      </w:r>
      <w:r w:rsidR="004454DC">
        <w:t>examined OSHA</w:t>
      </w:r>
      <w:r w:rsidR="00DB23CF">
        <w:t>’</w:t>
      </w:r>
      <w:r w:rsidR="004454DC">
        <w:t xml:space="preserve">s 84 heat enforcement cases in 2012 and 2013 and found that </w:t>
      </w:r>
      <w:r w:rsidR="0094735C">
        <w:t>only a single one of the employers had an acclimatization program in place.</w:t>
      </w:r>
      <w:r w:rsidR="00B92F73">
        <w:t xml:space="preserve"> Only 42 percent had any heat illness prevention program at all. </w:t>
      </w:r>
      <w:r w:rsidR="00446153">
        <w:t>Twenty-three percent did not provide employees water or limited access to it.</w:t>
      </w:r>
      <w:r w:rsidR="00556FC1">
        <w:t xml:space="preserve"> Only 16 percent used the daily heat index to identify the risk of illness, and </w:t>
      </w:r>
      <w:r w:rsidR="006266EE">
        <w:t>97 percent did not adjust work / rest schedules to allow for heat conditions or intensity of workload.</w:t>
      </w:r>
      <w:r w:rsidR="006266EE">
        <w:rPr>
          <w:rStyle w:val="FootnoteReference"/>
        </w:rPr>
        <w:footnoteReference w:id="58"/>
      </w:r>
      <w:r w:rsidR="00FD7516">
        <w:t xml:space="preserve"> See </w:t>
      </w:r>
      <w:r w:rsidR="005832BE">
        <w:fldChar w:fldCharType="begin"/>
      </w:r>
      <w:r w:rsidR="005832BE">
        <w:instrText xml:space="preserve"> REF _Ref515978368 \h </w:instrText>
      </w:r>
      <w:r w:rsidR="005832BE">
        <w:fldChar w:fldCharType="separate"/>
      </w:r>
      <w:r w:rsidR="00806F98">
        <w:t xml:space="preserve">Figure </w:t>
      </w:r>
      <w:r w:rsidR="00806F98">
        <w:rPr>
          <w:noProof/>
        </w:rPr>
        <w:t>4</w:t>
      </w:r>
      <w:r w:rsidR="005832BE">
        <w:fldChar w:fldCharType="end"/>
      </w:r>
      <w:r w:rsidR="005832BE">
        <w:t xml:space="preserve"> </w:t>
      </w:r>
      <w:r w:rsidR="00FD7516">
        <w:t>for the full range of findings</w:t>
      </w:r>
      <w:r w:rsidR="006B2248">
        <w:t xml:space="preserve"> from the study</w:t>
      </w:r>
      <w:r w:rsidR="00FD7516">
        <w:t>.</w:t>
      </w:r>
    </w:p>
    <w:p w14:paraId="14909AA0" w14:textId="24795775" w:rsidR="00683706" w:rsidRDefault="00683706" w:rsidP="00683706">
      <w:pPr>
        <w:pStyle w:val="Caption"/>
        <w:ind w:left="2160" w:right="2160"/>
      </w:pPr>
      <w:bookmarkStart w:id="14" w:name="_Ref515978368"/>
      <w:r>
        <w:t xml:space="preserve">Figure </w:t>
      </w:r>
      <w:r w:rsidR="00E221DB">
        <w:fldChar w:fldCharType="begin"/>
      </w:r>
      <w:r w:rsidR="00E221DB">
        <w:instrText xml:space="preserve"> SEQ Figure \* ARABIC </w:instrText>
      </w:r>
      <w:r w:rsidR="00E221DB">
        <w:fldChar w:fldCharType="separate"/>
      </w:r>
      <w:r w:rsidR="00806F98">
        <w:rPr>
          <w:noProof/>
        </w:rPr>
        <w:t>4</w:t>
      </w:r>
      <w:r w:rsidR="00E221DB">
        <w:rPr>
          <w:noProof/>
        </w:rPr>
        <w:fldChar w:fldCharType="end"/>
      </w:r>
      <w:bookmarkEnd w:id="14"/>
      <w:r>
        <w:t>. Employer heat illness prevention programs: percentage of missing components in 84 cases</w:t>
      </w:r>
    </w:p>
    <w:p w14:paraId="6E4ABE58" w14:textId="77777777" w:rsidR="008917A6" w:rsidRDefault="00683706" w:rsidP="00683706">
      <w:pPr>
        <w:jc w:val="center"/>
      </w:pPr>
      <w:r w:rsidRPr="00683706">
        <w:rPr>
          <w:noProof/>
        </w:rPr>
        <w:drawing>
          <wp:inline distT="0" distB="0" distL="0" distR="0" wp14:anchorId="3FFB24F7" wp14:editId="0CA114D6">
            <wp:extent cx="3302758" cy="271991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7902" cy="2740625"/>
                    </a:xfrm>
                    <a:prstGeom prst="rect">
                      <a:avLst/>
                    </a:prstGeom>
                  </pic:spPr>
                </pic:pic>
              </a:graphicData>
            </a:graphic>
          </wp:inline>
        </w:drawing>
      </w:r>
    </w:p>
    <w:p w14:paraId="1606B8FA" w14:textId="34087F4A" w:rsidR="00683706" w:rsidRDefault="00683706" w:rsidP="007552BE">
      <w:pPr>
        <w:pStyle w:val="Asterisks"/>
        <w:ind w:left="2340"/>
      </w:pPr>
      <w:r>
        <w:t xml:space="preserve">Source: </w:t>
      </w:r>
      <w:r w:rsidR="00714461" w:rsidRPr="00714461">
        <w:t xml:space="preserve">Arbury S, </w:t>
      </w:r>
      <w:proofErr w:type="spellStart"/>
      <w:r w:rsidR="00714461" w:rsidRPr="00714461">
        <w:t>Lindsley</w:t>
      </w:r>
      <w:proofErr w:type="spellEnd"/>
      <w:r w:rsidR="00714461" w:rsidRPr="00714461">
        <w:t xml:space="preserve"> M, Hodgson M. A critical review of OSHA heat enforcement cases: Lessons learned. </w:t>
      </w:r>
      <w:r w:rsidR="00714461" w:rsidRPr="00714461">
        <w:rPr>
          <w:i/>
        </w:rPr>
        <w:t xml:space="preserve">J </w:t>
      </w:r>
      <w:proofErr w:type="spellStart"/>
      <w:r w:rsidR="00714461" w:rsidRPr="00714461">
        <w:rPr>
          <w:i/>
        </w:rPr>
        <w:t>Occup</w:t>
      </w:r>
      <w:proofErr w:type="spellEnd"/>
      <w:r w:rsidR="00714461" w:rsidRPr="00714461">
        <w:rPr>
          <w:i/>
        </w:rPr>
        <w:t xml:space="preserve"> Environ Med</w:t>
      </w:r>
      <w:r w:rsidR="00714461" w:rsidRPr="00714461">
        <w:t>. 2016;58(4):359-363. p. 361</w:t>
      </w:r>
      <w:r w:rsidR="00DF6664">
        <w:t>, Figure 1.</w:t>
      </w:r>
    </w:p>
    <w:p w14:paraId="0D4A5ABF" w14:textId="2C2DAA7B" w:rsidR="00105C59" w:rsidRDefault="00CE7258" w:rsidP="00105C59">
      <w:r>
        <w:t xml:space="preserve">Another study examined </w:t>
      </w:r>
      <w:r w:rsidR="00B11819">
        <w:t xml:space="preserve">the 38 </w:t>
      </w:r>
      <w:r w:rsidR="00286141">
        <w:t xml:space="preserve">heat-related illness enforcement cases </w:t>
      </w:r>
      <w:r w:rsidR="008A3AAB">
        <w:t xml:space="preserve">between 2011 and 2016 </w:t>
      </w:r>
      <w:r w:rsidR="00286141">
        <w:t>in which the Office of Occupational Medicine and Nursing was consulted.</w:t>
      </w:r>
      <w:r w:rsidR="00335F69">
        <w:t xml:space="preserve"> It found that</w:t>
      </w:r>
      <w:r w:rsidR="00E714DB">
        <w:t>, in the cases for which data were available</w:t>
      </w:r>
      <w:r w:rsidR="00335F69">
        <w:t xml:space="preserve"> </w:t>
      </w:r>
      <w:r w:rsidR="00E714DB">
        <w:t>none of the employers (0 of 31) had a heat acclimatization plan, none (0 of 34) enforced mandatory rest breaks above recommended heat stress exposure limits, and only 10 percent (3 of 30) had the ability to monitor environmental heat.</w:t>
      </w:r>
      <w:r w:rsidR="00E714DB">
        <w:rPr>
          <w:rStyle w:val="FootnoteReference"/>
        </w:rPr>
        <w:footnoteReference w:id="59"/>
      </w:r>
    </w:p>
    <w:p w14:paraId="4AF57CF0" w14:textId="212B5431" w:rsidR="00ED710D" w:rsidRPr="002F64A6" w:rsidRDefault="00ED710D" w:rsidP="00E325F1">
      <w:pPr>
        <w:pStyle w:val="L1"/>
      </w:pPr>
      <w:bookmarkStart w:id="15" w:name="_Toc517168449"/>
      <w:r w:rsidRPr="002F64A6">
        <w:lastRenderedPageBreak/>
        <w:t xml:space="preserve">Current regulatory landscape: </w:t>
      </w:r>
      <w:r w:rsidR="004E5225" w:rsidRPr="002F64A6">
        <w:t>T</w:t>
      </w:r>
      <w:r w:rsidRPr="002F64A6">
        <w:t>hree states</w:t>
      </w:r>
      <w:r w:rsidR="004E5225" w:rsidRPr="002F64A6">
        <w:t xml:space="preserve">, the </w:t>
      </w:r>
      <w:r w:rsidR="006C2072" w:rsidRPr="002F64A6">
        <w:t xml:space="preserve">U.S. </w:t>
      </w:r>
      <w:r w:rsidR="004E5225" w:rsidRPr="002F64A6">
        <w:t>military,</w:t>
      </w:r>
      <w:r w:rsidRPr="002F64A6">
        <w:t xml:space="preserve"> and other countries have moved ahead with </w:t>
      </w:r>
      <w:r w:rsidR="009A7675" w:rsidRPr="002F64A6">
        <w:t xml:space="preserve">heat </w:t>
      </w:r>
      <w:r w:rsidR="00A624E4" w:rsidRPr="002F64A6">
        <w:t>protections</w:t>
      </w:r>
      <w:bookmarkEnd w:id="15"/>
    </w:p>
    <w:p w14:paraId="46C6DF33" w14:textId="1649A562"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 xml:space="preserve">Despite NIOSH having issued three separate </w:t>
      </w:r>
      <w:r w:rsidRPr="002F64A6">
        <w:rPr>
          <w:rFonts w:asciiTheme="majorBidi" w:hAnsiTheme="majorBidi" w:cstheme="majorBidi"/>
          <w:i/>
          <w:iCs/>
          <w:szCs w:val="24"/>
        </w:rPr>
        <w:t>Criteria for a Recommended Standard</w:t>
      </w:r>
      <w:r w:rsidRPr="002F64A6">
        <w:rPr>
          <w:rFonts w:asciiTheme="majorBidi" w:hAnsiTheme="majorBidi" w:cstheme="majorBidi"/>
          <w:szCs w:val="24"/>
        </w:rPr>
        <w:t xml:space="preserve"> documents for heat stress, in 1972,</w:t>
      </w:r>
      <w:r w:rsidRPr="002F64A6">
        <w:rPr>
          <w:rStyle w:val="FootnoteReference"/>
          <w:rFonts w:asciiTheme="majorBidi" w:hAnsiTheme="majorBidi" w:cstheme="majorBidi"/>
          <w:szCs w:val="24"/>
        </w:rPr>
        <w:footnoteReference w:id="60"/>
      </w:r>
      <w:r w:rsidRPr="002F64A6">
        <w:rPr>
          <w:rFonts w:asciiTheme="majorBidi" w:hAnsiTheme="majorBidi" w:cstheme="majorBidi"/>
          <w:szCs w:val="24"/>
        </w:rPr>
        <w:t xml:space="preserve"> 1986,</w:t>
      </w:r>
      <w:r w:rsidRPr="002F64A6">
        <w:rPr>
          <w:rStyle w:val="FootnoteReference"/>
          <w:rFonts w:asciiTheme="majorBidi" w:hAnsiTheme="majorBidi" w:cstheme="majorBidi"/>
          <w:szCs w:val="24"/>
        </w:rPr>
        <w:footnoteReference w:id="61"/>
      </w:r>
      <w:r w:rsidRPr="002F64A6">
        <w:rPr>
          <w:rFonts w:asciiTheme="majorBidi" w:hAnsiTheme="majorBidi" w:cstheme="majorBidi"/>
          <w:szCs w:val="24"/>
        </w:rPr>
        <w:t xml:space="preserve"> and 2016</w:t>
      </w:r>
      <w:r w:rsidR="00E425A6" w:rsidRPr="002F64A6">
        <w:rPr>
          <w:rFonts w:asciiTheme="majorBidi" w:hAnsiTheme="majorBidi" w:cstheme="majorBidi"/>
          <w:szCs w:val="24"/>
        </w:rPr>
        <w:t>,</w:t>
      </w:r>
      <w:r w:rsidRPr="002F64A6">
        <w:rPr>
          <w:rStyle w:val="FootnoteReference"/>
          <w:rFonts w:asciiTheme="majorBidi" w:hAnsiTheme="majorBidi" w:cstheme="majorBidi"/>
          <w:szCs w:val="24"/>
        </w:rPr>
        <w:footnoteReference w:id="62"/>
      </w:r>
      <w:r w:rsidRPr="002F64A6">
        <w:rPr>
          <w:rFonts w:asciiTheme="majorBidi" w:hAnsiTheme="majorBidi" w:cstheme="majorBidi"/>
          <w:szCs w:val="24"/>
        </w:rPr>
        <w:t xml:space="preserve"> OSHA has never promulgated a federal standard to protect workers from heat stress</w:t>
      </w:r>
      <w:r w:rsidR="009A7675" w:rsidRPr="002F64A6">
        <w:rPr>
          <w:rFonts w:asciiTheme="majorBidi" w:hAnsiTheme="majorBidi" w:cstheme="majorBidi"/>
          <w:szCs w:val="24"/>
        </w:rPr>
        <w:t>, as recommended by its sister agency</w:t>
      </w:r>
      <w:r w:rsidRPr="002F64A6">
        <w:rPr>
          <w:rFonts w:asciiTheme="majorBidi" w:hAnsiTheme="majorBidi" w:cstheme="majorBidi"/>
          <w:szCs w:val="24"/>
        </w:rPr>
        <w:t>.</w:t>
      </w:r>
    </w:p>
    <w:p w14:paraId="566D8377" w14:textId="1796A299" w:rsidR="00ED710D" w:rsidRPr="002F64A6" w:rsidRDefault="00ED710D" w:rsidP="00E325F1">
      <w:pPr>
        <w:pStyle w:val="L2"/>
      </w:pPr>
      <w:bookmarkStart w:id="16" w:name="_Toc517168450"/>
      <w:r w:rsidRPr="002F64A6">
        <w:t>State standards</w:t>
      </w:r>
      <w:bookmarkEnd w:id="16"/>
    </w:p>
    <w:p w14:paraId="231F4CC6" w14:textId="7B0BBF69"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Three states</w:t>
      </w:r>
      <w:r w:rsidR="006141CD">
        <w:rPr>
          <w:rFonts w:asciiTheme="majorBidi" w:hAnsiTheme="majorBidi" w:cstheme="majorBidi"/>
          <w:szCs w:val="24"/>
        </w:rPr>
        <w:t>—</w:t>
      </w:r>
      <w:r w:rsidRPr="002F64A6">
        <w:rPr>
          <w:rFonts w:asciiTheme="majorBidi" w:hAnsiTheme="majorBidi" w:cstheme="majorBidi"/>
          <w:szCs w:val="24"/>
        </w:rPr>
        <w:t>California,</w:t>
      </w:r>
      <w:r w:rsidRPr="002F64A6">
        <w:rPr>
          <w:rStyle w:val="FootnoteReference"/>
          <w:rFonts w:asciiTheme="majorBidi" w:hAnsiTheme="majorBidi" w:cstheme="majorBidi"/>
          <w:szCs w:val="24"/>
        </w:rPr>
        <w:footnoteReference w:id="63"/>
      </w:r>
      <w:r w:rsidRPr="002F64A6">
        <w:rPr>
          <w:rFonts w:asciiTheme="majorBidi" w:hAnsiTheme="majorBidi" w:cstheme="majorBidi"/>
          <w:szCs w:val="24"/>
        </w:rPr>
        <w:t xml:space="preserve"> Minnesota,</w:t>
      </w:r>
      <w:r w:rsidRPr="002F64A6">
        <w:rPr>
          <w:rStyle w:val="FootnoteReference"/>
          <w:rFonts w:asciiTheme="majorBidi" w:hAnsiTheme="majorBidi" w:cstheme="majorBidi"/>
          <w:szCs w:val="24"/>
        </w:rPr>
        <w:footnoteReference w:id="64"/>
      </w:r>
      <w:r w:rsidRPr="002F64A6">
        <w:rPr>
          <w:rFonts w:asciiTheme="majorBidi" w:hAnsiTheme="majorBidi" w:cstheme="majorBidi"/>
          <w:szCs w:val="24"/>
        </w:rPr>
        <w:t xml:space="preserve"> and Washington</w:t>
      </w:r>
      <w:r w:rsidRPr="002F64A6">
        <w:rPr>
          <w:rStyle w:val="FootnoteReference"/>
          <w:rFonts w:asciiTheme="majorBidi" w:hAnsiTheme="majorBidi" w:cstheme="majorBidi"/>
          <w:szCs w:val="24"/>
        </w:rPr>
        <w:footnoteReference w:id="65"/>
      </w:r>
      <w:r w:rsidR="006141CD">
        <w:rPr>
          <w:rFonts w:asciiTheme="majorBidi" w:hAnsiTheme="majorBidi" w:cstheme="majorBidi"/>
          <w:szCs w:val="24"/>
        </w:rPr>
        <w:t>—</w:t>
      </w:r>
      <w:r w:rsidRPr="002F64A6">
        <w:rPr>
          <w:rFonts w:asciiTheme="majorBidi" w:hAnsiTheme="majorBidi" w:cstheme="majorBidi"/>
          <w:szCs w:val="24"/>
        </w:rPr>
        <w:t>have implemented standards protecting outdoor (CA and WA) or indoor (MN) workers from heat stress. In addition, CA is scheduled to propose a heat stress standard for indoor workers in January 2019.</w:t>
      </w:r>
      <w:r w:rsidRPr="002F64A6">
        <w:rPr>
          <w:rStyle w:val="FootnoteReference"/>
          <w:rFonts w:asciiTheme="majorBidi" w:hAnsiTheme="majorBidi" w:cstheme="majorBidi"/>
          <w:szCs w:val="24"/>
        </w:rPr>
        <w:footnoteReference w:id="66"/>
      </w:r>
      <w:r w:rsidRPr="002F64A6">
        <w:rPr>
          <w:rFonts w:asciiTheme="majorBidi" w:hAnsiTheme="majorBidi" w:cstheme="majorBidi"/>
          <w:szCs w:val="24"/>
        </w:rPr>
        <w:t xml:space="preserve"> Although these state standards fall short of the NIOSH recommendations, they demonstrate the feasibility of heat stress regulations at the state and federal levels. California</w:t>
      </w:r>
      <w:r w:rsidR="00DB23CF">
        <w:rPr>
          <w:rFonts w:asciiTheme="majorBidi" w:hAnsiTheme="majorBidi" w:cstheme="majorBidi"/>
          <w:szCs w:val="24"/>
        </w:rPr>
        <w:t>’</w:t>
      </w:r>
      <w:r w:rsidRPr="002F64A6">
        <w:rPr>
          <w:rFonts w:asciiTheme="majorBidi" w:hAnsiTheme="majorBidi" w:cstheme="majorBidi"/>
          <w:szCs w:val="24"/>
        </w:rPr>
        <w:t>s heat stress standard</w:t>
      </w:r>
      <w:r w:rsidR="002E71ED" w:rsidRPr="002F64A6">
        <w:rPr>
          <w:rFonts w:asciiTheme="majorBidi" w:hAnsiTheme="majorBidi" w:cstheme="majorBidi"/>
          <w:szCs w:val="24"/>
        </w:rPr>
        <w:t>, although limited to</w:t>
      </w:r>
      <w:r w:rsidR="0086397E">
        <w:rPr>
          <w:rFonts w:asciiTheme="majorBidi" w:hAnsiTheme="majorBidi" w:cstheme="majorBidi"/>
          <w:szCs w:val="24"/>
        </w:rPr>
        <w:t xml:space="preserve"> </w:t>
      </w:r>
      <w:r w:rsidRPr="002F64A6">
        <w:rPr>
          <w:rFonts w:asciiTheme="majorBidi" w:hAnsiTheme="majorBidi" w:cstheme="majorBidi"/>
          <w:szCs w:val="24"/>
        </w:rPr>
        <w:t>outdoor workers</w:t>
      </w:r>
      <w:r w:rsidR="002E71ED" w:rsidRPr="002F64A6">
        <w:rPr>
          <w:rFonts w:asciiTheme="majorBidi" w:hAnsiTheme="majorBidi" w:cstheme="majorBidi"/>
          <w:szCs w:val="24"/>
        </w:rPr>
        <w:t>,</w:t>
      </w:r>
      <w:r w:rsidRPr="002F64A6">
        <w:rPr>
          <w:rFonts w:asciiTheme="majorBidi" w:hAnsiTheme="majorBidi" w:cstheme="majorBidi"/>
          <w:szCs w:val="24"/>
        </w:rPr>
        <w:t xml:space="preserve"> is the most comprehensive and detailed state standard. A summary of the three state standards is found in</w:t>
      </w:r>
      <w:r w:rsidR="00913F30" w:rsidRPr="002F64A6">
        <w:rPr>
          <w:rFonts w:asciiTheme="majorBidi" w:hAnsiTheme="majorBidi" w:cstheme="majorBidi"/>
          <w:szCs w:val="24"/>
        </w:rPr>
        <w:t xml:space="preserve"> </w:t>
      </w:r>
      <w:r w:rsidR="00913F30" w:rsidRPr="002F64A6">
        <w:rPr>
          <w:rFonts w:asciiTheme="majorBidi" w:hAnsiTheme="majorBidi" w:cstheme="majorBidi"/>
          <w:b/>
          <w:bCs/>
          <w:color w:val="000000" w:themeColor="text1"/>
          <w:sz w:val="22"/>
          <w:szCs w:val="24"/>
        </w:rPr>
        <w:fldChar w:fldCharType="begin"/>
      </w:r>
      <w:r w:rsidR="00913F30" w:rsidRPr="002F64A6">
        <w:rPr>
          <w:rFonts w:asciiTheme="majorBidi" w:hAnsiTheme="majorBidi" w:cstheme="majorBidi"/>
          <w:szCs w:val="24"/>
        </w:rPr>
        <w:instrText xml:space="preserve"> REF _Ref514923987 \h </w:instrText>
      </w:r>
      <w:r w:rsidR="003772BF" w:rsidRPr="002F64A6">
        <w:rPr>
          <w:rFonts w:asciiTheme="majorBidi" w:hAnsiTheme="majorBidi" w:cstheme="majorBidi"/>
          <w:szCs w:val="24"/>
        </w:rPr>
        <w:instrText xml:space="preserve"> \* MERGEFORMAT </w:instrText>
      </w:r>
      <w:r w:rsidR="00913F30" w:rsidRPr="002F64A6">
        <w:rPr>
          <w:rFonts w:asciiTheme="majorBidi" w:hAnsiTheme="majorBidi" w:cstheme="majorBidi"/>
          <w:b/>
          <w:bCs/>
          <w:color w:val="000000" w:themeColor="text1"/>
          <w:sz w:val="22"/>
          <w:szCs w:val="24"/>
        </w:rPr>
      </w:r>
      <w:r w:rsidR="00913F30" w:rsidRPr="002F64A6">
        <w:rPr>
          <w:rFonts w:asciiTheme="majorBidi" w:hAnsiTheme="majorBidi" w:cstheme="majorBidi"/>
          <w:b/>
          <w:bCs/>
          <w:color w:val="000000" w:themeColor="text1"/>
          <w:sz w:val="22"/>
          <w:szCs w:val="24"/>
        </w:rPr>
        <w:fldChar w:fldCharType="separate"/>
      </w:r>
      <w:r w:rsidR="00806F98" w:rsidRPr="002F64A6">
        <w:t xml:space="preserve">Table </w:t>
      </w:r>
      <w:r w:rsidR="00806F98">
        <w:rPr>
          <w:noProof/>
        </w:rPr>
        <w:t>1</w:t>
      </w:r>
      <w:r w:rsidR="00913F30" w:rsidRPr="002F64A6">
        <w:rPr>
          <w:rFonts w:asciiTheme="majorBidi" w:hAnsiTheme="majorBidi" w:cstheme="majorBidi"/>
          <w:b/>
          <w:bCs/>
          <w:color w:val="000000" w:themeColor="text1"/>
          <w:sz w:val="22"/>
          <w:szCs w:val="24"/>
        </w:rPr>
        <w:fldChar w:fldCharType="end"/>
      </w:r>
      <w:r w:rsidR="00064DDE" w:rsidRPr="002F64A6">
        <w:rPr>
          <w:rFonts w:asciiTheme="majorBidi" w:hAnsiTheme="majorBidi" w:cstheme="majorBidi"/>
          <w:szCs w:val="24"/>
        </w:rPr>
        <w:t>.</w:t>
      </w:r>
    </w:p>
    <w:p w14:paraId="698754DE" w14:textId="512CE9F8" w:rsidR="009D1E48" w:rsidRPr="002F64A6" w:rsidRDefault="009D1E48" w:rsidP="009D1E48">
      <w:pPr>
        <w:pStyle w:val="Caption"/>
      </w:pPr>
      <w:bookmarkStart w:id="17" w:name="_Ref514923987"/>
      <w:r w:rsidRPr="002F64A6">
        <w:lastRenderedPageBreak/>
        <w:t xml:space="preserve">Table </w:t>
      </w:r>
      <w:r w:rsidR="00E221DB">
        <w:fldChar w:fldCharType="begin"/>
      </w:r>
      <w:r w:rsidR="00E221DB">
        <w:instrText xml:space="preserve"> SEQ Table \* ARABIC </w:instrText>
      </w:r>
      <w:r w:rsidR="00E221DB">
        <w:fldChar w:fldCharType="separate"/>
      </w:r>
      <w:r w:rsidR="00806F98">
        <w:rPr>
          <w:noProof/>
        </w:rPr>
        <w:t>1</w:t>
      </w:r>
      <w:r w:rsidR="00E221DB">
        <w:rPr>
          <w:noProof/>
        </w:rPr>
        <w:fldChar w:fldCharType="end"/>
      </w:r>
      <w:bookmarkEnd w:id="17"/>
      <w:r w:rsidRPr="002F64A6">
        <w:t>. Comparison of state and military heat standards with NIOSH and ACGIH recommendations</w:t>
      </w:r>
    </w:p>
    <w:tbl>
      <w:tblPr>
        <w:tblStyle w:val="LightShading-Accent5"/>
        <w:tblW w:w="4900" w:type="pct"/>
        <w:jc w:val="center"/>
        <w:tblLayout w:type="fixed"/>
        <w:tblLook w:val="04A0" w:firstRow="1" w:lastRow="0" w:firstColumn="1" w:lastColumn="0" w:noHBand="0" w:noVBand="1"/>
      </w:tblPr>
      <w:tblGrid>
        <w:gridCol w:w="1182"/>
        <w:gridCol w:w="1367"/>
        <w:gridCol w:w="1367"/>
        <w:gridCol w:w="1367"/>
        <w:gridCol w:w="1367"/>
        <w:gridCol w:w="1367"/>
        <w:gridCol w:w="1367"/>
      </w:tblGrid>
      <w:tr w:rsidR="008D3D62" w:rsidRPr="002F64A6" w14:paraId="19C88789" w14:textId="77777777" w:rsidTr="00513064">
        <w:trPr>
          <w:cnfStyle w:val="100000000000" w:firstRow="1" w:lastRow="0" w:firstColumn="0" w:lastColumn="0" w:oddVBand="0" w:evenVBand="0" w:oddHBand="0" w:evenHBand="0" w:firstRowFirstColumn="0" w:firstRowLastColumn="0" w:lastRowFirstColumn="0" w:lastRowLastColumn="0"/>
          <w:cantSplit/>
          <w:trHeight w:val="540"/>
          <w:jc w:val="center"/>
        </w:trPr>
        <w:tc>
          <w:tcPr>
            <w:cnfStyle w:val="001000000000" w:firstRow="0" w:lastRow="0" w:firstColumn="1" w:lastColumn="0" w:oddVBand="0" w:evenVBand="0" w:oddHBand="0" w:evenHBand="0" w:firstRowFirstColumn="0" w:firstRowLastColumn="0" w:lastRowFirstColumn="0" w:lastRowLastColumn="0"/>
            <w:tcW w:w="1182" w:type="dxa"/>
            <w:hideMark/>
          </w:tcPr>
          <w:p w14:paraId="18E967C0" w14:textId="77777777" w:rsidR="00DC194A" w:rsidRPr="002F64A6" w:rsidRDefault="00DC194A" w:rsidP="00E57E59">
            <w:pPr>
              <w:keepNext/>
              <w:spacing w:after="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Key Element of Standard</w:t>
            </w:r>
          </w:p>
        </w:tc>
        <w:tc>
          <w:tcPr>
            <w:tcW w:w="1367" w:type="dxa"/>
            <w:hideMark/>
          </w:tcPr>
          <w:p w14:paraId="4D3DEEB7" w14:textId="74DBB262"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California</w:t>
            </w:r>
            <w:r w:rsidR="00D714B9" w:rsidRPr="002F64A6">
              <w:rPr>
                <w:rFonts w:ascii="Calibri" w:eastAsia="Times New Roman" w:hAnsi="Calibri" w:cs="Calibri"/>
                <w:b/>
                <w:color w:val="FFFFFF"/>
                <w:sz w:val="18"/>
                <w:szCs w:val="18"/>
              </w:rPr>
              <w:t>*</w:t>
            </w:r>
          </w:p>
        </w:tc>
        <w:tc>
          <w:tcPr>
            <w:tcW w:w="1367" w:type="dxa"/>
            <w:hideMark/>
          </w:tcPr>
          <w:p w14:paraId="5BFBC4A3" w14:textId="5167C238"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Washington</w:t>
            </w:r>
            <w:r w:rsidR="00D714B9" w:rsidRPr="002F64A6">
              <w:rPr>
                <w:rFonts w:ascii="Calibri" w:eastAsia="Times New Roman" w:hAnsi="Calibri" w:cs="Calibri"/>
                <w:b/>
                <w:color w:val="FFFFFF"/>
                <w:sz w:val="18"/>
                <w:szCs w:val="18"/>
              </w:rPr>
              <w:t>**</w:t>
            </w:r>
          </w:p>
        </w:tc>
        <w:tc>
          <w:tcPr>
            <w:tcW w:w="1367" w:type="dxa"/>
            <w:hideMark/>
          </w:tcPr>
          <w:p w14:paraId="64B3791B" w14:textId="1492C6A6"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Minnesota</w:t>
            </w:r>
            <w:r w:rsidR="00D714B9" w:rsidRPr="002F64A6">
              <w:rPr>
                <w:rFonts w:ascii="Calibri" w:eastAsia="Times New Roman" w:hAnsi="Calibri" w:cs="Calibri"/>
                <w:b/>
                <w:color w:val="FFFFFF"/>
                <w:sz w:val="18"/>
                <w:szCs w:val="18"/>
              </w:rPr>
              <w:t>***</w:t>
            </w:r>
          </w:p>
        </w:tc>
        <w:tc>
          <w:tcPr>
            <w:tcW w:w="1367" w:type="dxa"/>
            <w:hideMark/>
          </w:tcPr>
          <w:p w14:paraId="5439DD1F" w14:textId="78BF1F1D"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Military</w:t>
            </w:r>
            <w:r w:rsidR="004C4662" w:rsidRPr="002F64A6">
              <w:rPr>
                <w:rFonts w:eastAsia="Times New Roman"/>
                <w:sz w:val="18"/>
                <w:szCs w:val="18"/>
                <w:vertAlign w:val="superscript"/>
              </w:rPr>
              <w:t>†</w:t>
            </w:r>
          </w:p>
        </w:tc>
        <w:tc>
          <w:tcPr>
            <w:tcW w:w="1367" w:type="dxa"/>
            <w:hideMark/>
          </w:tcPr>
          <w:p w14:paraId="4AE4BFB5" w14:textId="78B5A63D" w:rsidR="00DC194A" w:rsidRPr="002F64A6" w:rsidRDefault="00DC194A" w:rsidP="00E57E59">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rPr>
            </w:pPr>
            <w:r w:rsidRPr="002F64A6">
              <w:rPr>
                <w:rFonts w:ascii="Calibri" w:eastAsia="Times New Roman" w:hAnsi="Calibri" w:cs="Calibri"/>
                <w:b/>
                <w:color w:val="FFFFFF"/>
                <w:sz w:val="18"/>
                <w:szCs w:val="18"/>
              </w:rPr>
              <w:t>NIOSH</w:t>
            </w:r>
            <w:r w:rsidR="004C4662" w:rsidRPr="002F64A6">
              <w:rPr>
                <w:rFonts w:eastAsia="Times New Roman"/>
                <w:sz w:val="18"/>
                <w:szCs w:val="18"/>
                <w:vertAlign w:val="superscript"/>
              </w:rPr>
              <w:t>‡</w:t>
            </w:r>
          </w:p>
        </w:tc>
        <w:tc>
          <w:tcPr>
            <w:tcW w:w="1367" w:type="dxa"/>
            <w:hideMark/>
          </w:tcPr>
          <w:p w14:paraId="449B6D9A" w14:textId="3C25FDDF" w:rsidR="00DC194A" w:rsidRPr="002F64A6" w:rsidRDefault="00DC194A" w:rsidP="004C4662">
            <w:pPr>
              <w:keepNext/>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color w:val="FFFFFF"/>
                <w:sz w:val="18"/>
                <w:szCs w:val="18"/>
                <w:vertAlign w:val="superscript"/>
              </w:rPr>
            </w:pPr>
            <w:r w:rsidRPr="002F64A6">
              <w:rPr>
                <w:rFonts w:ascii="Calibri" w:eastAsia="Times New Roman" w:hAnsi="Calibri" w:cs="Calibri"/>
                <w:b/>
                <w:color w:val="FFFFFF"/>
                <w:sz w:val="18"/>
                <w:szCs w:val="18"/>
              </w:rPr>
              <w:t>ACGIH</w:t>
            </w:r>
            <w:r w:rsidR="004C4662" w:rsidRPr="002F64A6">
              <w:rPr>
                <w:rFonts w:ascii="Calibri" w:eastAsia="Times New Roman" w:hAnsi="Calibri" w:cs="Calibri"/>
                <w:b/>
                <w:color w:val="FFFFFF"/>
                <w:sz w:val="18"/>
                <w:szCs w:val="18"/>
                <w:vertAlign w:val="superscript"/>
              </w:rPr>
              <w:t>§</w:t>
            </w:r>
          </w:p>
        </w:tc>
      </w:tr>
      <w:tr w:rsidR="00150799" w:rsidRPr="002F64A6" w14:paraId="7D65FAAE"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D045D66" w14:textId="1A3789A1" w:rsidR="00DC194A" w:rsidRPr="002F64A6" w:rsidRDefault="008D3D62" w:rsidP="00E57E59">
            <w:pPr>
              <w:pStyle w:val="TableLeft"/>
              <w:rPr>
                <w:b/>
                <w:bCs/>
                <w:sz w:val="14"/>
                <w:szCs w:val="14"/>
              </w:rPr>
            </w:pPr>
            <w:r w:rsidRPr="002F64A6">
              <w:rPr>
                <w:b/>
                <w:bCs/>
                <w:sz w:val="14"/>
                <w:szCs w:val="14"/>
              </w:rPr>
              <w:t>Worksites</w:t>
            </w:r>
          </w:p>
        </w:tc>
        <w:tc>
          <w:tcPr>
            <w:tcW w:w="1367" w:type="dxa"/>
            <w:vAlign w:val="top"/>
            <w:hideMark/>
          </w:tcPr>
          <w:p w14:paraId="6B7FE898"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250B078E"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Outdoor</w:t>
            </w:r>
          </w:p>
        </w:tc>
        <w:tc>
          <w:tcPr>
            <w:tcW w:w="1367" w:type="dxa"/>
            <w:vAlign w:val="top"/>
            <w:hideMark/>
          </w:tcPr>
          <w:p w14:paraId="332DA17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Indoor</w:t>
            </w:r>
          </w:p>
        </w:tc>
        <w:tc>
          <w:tcPr>
            <w:tcW w:w="1367" w:type="dxa"/>
            <w:vAlign w:val="top"/>
            <w:hideMark/>
          </w:tcPr>
          <w:p w14:paraId="7898F626"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1F28036C"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c>
          <w:tcPr>
            <w:tcW w:w="1367" w:type="dxa"/>
            <w:vAlign w:val="top"/>
            <w:hideMark/>
          </w:tcPr>
          <w:p w14:paraId="5D180433"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All worksites</w:t>
            </w:r>
          </w:p>
        </w:tc>
      </w:tr>
      <w:tr w:rsidR="00150799" w:rsidRPr="002F64A6" w14:paraId="7FB1E540"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C4EE377" w14:textId="31E4449E" w:rsidR="00DC194A" w:rsidRPr="002F64A6" w:rsidRDefault="008D3D62" w:rsidP="00150799">
            <w:pPr>
              <w:pStyle w:val="TableLeft"/>
              <w:rPr>
                <w:b/>
                <w:bCs/>
                <w:sz w:val="14"/>
                <w:szCs w:val="14"/>
              </w:rPr>
            </w:pPr>
            <w:r w:rsidRPr="002F64A6">
              <w:rPr>
                <w:b/>
                <w:bCs/>
                <w:sz w:val="14"/>
                <w:szCs w:val="14"/>
              </w:rPr>
              <w:t xml:space="preserve">Time of </w:t>
            </w:r>
            <w:r w:rsidR="00150799" w:rsidRPr="002F64A6">
              <w:rPr>
                <w:b/>
                <w:bCs/>
                <w:sz w:val="14"/>
                <w:szCs w:val="14"/>
              </w:rPr>
              <w:t>Y</w:t>
            </w:r>
            <w:r w:rsidRPr="002F64A6">
              <w:rPr>
                <w:b/>
                <w:bCs/>
                <w:sz w:val="14"/>
                <w:szCs w:val="14"/>
              </w:rPr>
              <w:t>ear</w:t>
            </w:r>
          </w:p>
        </w:tc>
        <w:tc>
          <w:tcPr>
            <w:tcW w:w="1367" w:type="dxa"/>
            <w:vAlign w:val="top"/>
            <w:hideMark/>
          </w:tcPr>
          <w:p w14:paraId="0979289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08180DD1"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May 1 – Sept. 30</w:t>
            </w:r>
          </w:p>
        </w:tc>
        <w:tc>
          <w:tcPr>
            <w:tcW w:w="1367" w:type="dxa"/>
            <w:vAlign w:val="top"/>
            <w:hideMark/>
          </w:tcPr>
          <w:p w14:paraId="1DD6CB4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5441B0D8"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772A3BF0"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c>
          <w:tcPr>
            <w:tcW w:w="1367" w:type="dxa"/>
            <w:vAlign w:val="top"/>
            <w:hideMark/>
          </w:tcPr>
          <w:p w14:paraId="2A4A4E7D"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Year-round</w:t>
            </w:r>
          </w:p>
        </w:tc>
      </w:tr>
      <w:tr w:rsidR="00150799" w:rsidRPr="002F64A6" w14:paraId="47A5E7D9"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6B4D244" w14:textId="2A60CCCF" w:rsidR="00DC194A" w:rsidRPr="002F64A6" w:rsidRDefault="00150799" w:rsidP="0044317A">
            <w:pPr>
              <w:pStyle w:val="TableLeft"/>
              <w:rPr>
                <w:b/>
                <w:bCs/>
                <w:sz w:val="14"/>
                <w:szCs w:val="14"/>
              </w:rPr>
            </w:pPr>
            <w:r w:rsidRPr="002F64A6">
              <w:rPr>
                <w:b/>
                <w:bCs/>
                <w:sz w:val="14"/>
                <w:szCs w:val="14"/>
              </w:rPr>
              <w:t>Exposure M</w:t>
            </w:r>
            <w:r w:rsidR="00DC194A" w:rsidRPr="002F64A6">
              <w:rPr>
                <w:b/>
                <w:bCs/>
                <w:sz w:val="14"/>
                <w:szCs w:val="14"/>
              </w:rPr>
              <w:t>oni</w:t>
            </w:r>
            <w:r w:rsidR="0044317A" w:rsidRPr="002F64A6">
              <w:rPr>
                <w:b/>
                <w:bCs/>
                <w:sz w:val="14"/>
                <w:szCs w:val="14"/>
              </w:rPr>
              <w:t>toring</w:t>
            </w:r>
          </w:p>
        </w:tc>
        <w:tc>
          <w:tcPr>
            <w:tcW w:w="1367" w:type="dxa"/>
            <w:vAlign w:val="top"/>
            <w:hideMark/>
          </w:tcPr>
          <w:p w14:paraId="41F36ADF"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257C3A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6BF8D06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4360D6BD" w14:textId="7D010417" w:rsidR="00DC194A" w:rsidRPr="002F64A6" w:rsidRDefault="002C1E9A"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751AF523" w14:textId="7976860D" w:rsidR="00DC194A" w:rsidRPr="002F64A6" w:rsidRDefault="004C62F4"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263B2FCF" w14:textId="2B06E908" w:rsidR="00DC194A" w:rsidRPr="002F64A6" w:rsidRDefault="003634B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Yes.</w:t>
            </w:r>
          </w:p>
        </w:tc>
      </w:tr>
      <w:tr w:rsidR="00150799" w:rsidRPr="002F64A6" w14:paraId="6BC05835"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2BC4CE5" w14:textId="54B821BC" w:rsidR="00DC194A" w:rsidRPr="002F64A6" w:rsidRDefault="00150799" w:rsidP="00150799">
            <w:pPr>
              <w:pStyle w:val="TableLeft"/>
              <w:rPr>
                <w:b/>
                <w:bCs/>
                <w:sz w:val="14"/>
                <w:szCs w:val="14"/>
              </w:rPr>
            </w:pPr>
            <w:r w:rsidRPr="002F64A6">
              <w:rPr>
                <w:b/>
                <w:bCs/>
                <w:sz w:val="14"/>
                <w:szCs w:val="14"/>
              </w:rPr>
              <w:t>Acclimatization P</w:t>
            </w:r>
            <w:r w:rsidR="00DC194A" w:rsidRPr="002F64A6">
              <w:rPr>
                <w:b/>
                <w:bCs/>
                <w:sz w:val="14"/>
                <w:szCs w:val="14"/>
              </w:rPr>
              <w:t>lan</w:t>
            </w:r>
          </w:p>
        </w:tc>
        <w:tc>
          <w:tcPr>
            <w:tcW w:w="1367" w:type="dxa"/>
            <w:vAlign w:val="top"/>
            <w:hideMark/>
          </w:tcPr>
          <w:p w14:paraId="4CDEB798" w14:textId="39882A4D" w:rsidR="00DC194A" w:rsidRPr="002F64A6" w:rsidRDefault="00DB23C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w:t>
            </w:r>
            <w:r w:rsidR="00ED0CDA" w:rsidRPr="002F64A6">
              <w:rPr>
                <w:sz w:val="13"/>
                <w:szCs w:val="13"/>
              </w:rPr>
              <w:t>C</w:t>
            </w:r>
            <w:r w:rsidR="00DC194A" w:rsidRPr="002F64A6">
              <w:rPr>
                <w:sz w:val="13"/>
                <w:szCs w:val="13"/>
              </w:rPr>
              <w:t>lose supervision</w:t>
            </w:r>
            <w:r>
              <w:rPr>
                <w:sz w:val="13"/>
                <w:szCs w:val="13"/>
              </w:rPr>
              <w:t>”</w:t>
            </w:r>
            <w:r w:rsidR="00ED0CDA" w:rsidRPr="002F64A6">
              <w:rPr>
                <w:sz w:val="13"/>
                <w:szCs w:val="13"/>
              </w:rPr>
              <w:t xml:space="preserve"> for first 14 days</w:t>
            </w:r>
          </w:p>
        </w:tc>
        <w:tc>
          <w:tcPr>
            <w:tcW w:w="1367" w:type="dxa"/>
            <w:vAlign w:val="top"/>
            <w:hideMark/>
          </w:tcPr>
          <w:p w14:paraId="17362A39"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3FE84A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634D4FD" w14:textId="4326A95A" w:rsidR="00DC194A" w:rsidRPr="002F64A6" w:rsidRDefault="00716692" w:rsidP="00052E38">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3DBB637" w14:textId="4658A29D" w:rsidR="00DC194A" w:rsidRPr="002F64A6" w:rsidRDefault="004A5D86"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c>
          <w:tcPr>
            <w:tcW w:w="1367" w:type="dxa"/>
            <w:vAlign w:val="top"/>
            <w:hideMark/>
          </w:tcPr>
          <w:p w14:paraId="2EEA40AF" w14:textId="3D3BCC8B" w:rsidR="00DC194A" w:rsidRPr="002F64A6" w:rsidRDefault="00524CF2" w:rsidP="00D9795D">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 xml:space="preserve">No, but </w:t>
            </w:r>
            <w:r w:rsidR="00BF7DD2">
              <w:rPr>
                <w:sz w:val="13"/>
                <w:szCs w:val="13"/>
              </w:rPr>
              <w:t xml:space="preserve">separate </w:t>
            </w:r>
            <w:r>
              <w:rPr>
                <w:sz w:val="13"/>
                <w:szCs w:val="13"/>
              </w:rPr>
              <w:t xml:space="preserve">limits for </w:t>
            </w:r>
            <w:proofErr w:type="spellStart"/>
            <w:r>
              <w:rPr>
                <w:sz w:val="13"/>
                <w:szCs w:val="13"/>
              </w:rPr>
              <w:t>unac</w:t>
            </w:r>
            <w:r w:rsidR="00D9795D">
              <w:rPr>
                <w:sz w:val="13"/>
                <w:szCs w:val="13"/>
              </w:rPr>
              <w:t>-</w:t>
            </w:r>
            <w:r>
              <w:rPr>
                <w:sz w:val="13"/>
                <w:szCs w:val="13"/>
              </w:rPr>
              <w:t>climatized</w:t>
            </w:r>
            <w:proofErr w:type="spellEnd"/>
            <w:r>
              <w:rPr>
                <w:sz w:val="13"/>
                <w:szCs w:val="13"/>
              </w:rPr>
              <w:t xml:space="preserve"> workers.</w:t>
            </w:r>
          </w:p>
        </w:tc>
      </w:tr>
      <w:tr w:rsidR="00150799" w:rsidRPr="002F64A6" w14:paraId="65741D26"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D04D2E7" w14:textId="77777777" w:rsidR="00DC194A" w:rsidRPr="002F64A6" w:rsidRDefault="00DC194A" w:rsidP="00E57E59">
            <w:pPr>
              <w:pStyle w:val="TableLeft"/>
              <w:rPr>
                <w:b/>
                <w:bCs/>
                <w:sz w:val="14"/>
                <w:szCs w:val="14"/>
              </w:rPr>
            </w:pPr>
            <w:r w:rsidRPr="002F64A6">
              <w:rPr>
                <w:b/>
                <w:bCs/>
                <w:sz w:val="14"/>
                <w:szCs w:val="14"/>
              </w:rPr>
              <w:t>Heat Stress Thresholds</w:t>
            </w:r>
          </w:p>
        </w:tc>
        <w:tc>
          <w:tcPr>
            <w:tcW w:w="1367" w:type="dxa"/>
            <w:vAlign w:val="top"/>
            <w:hideMark/>
          </w:tcPr>
          <w:p w14:paraId="4D1BC61A"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Varying requirements at 80°F and 95°F</w:t>
            </w:r>
          </w:p>
        </w:tc>
        <w:tc>
          <w:tcPr>
            <w:tcW w:w="1367" w:type="dxa"/>
            <w:vAlign w:val="top"/>
            <w:hideMark/>
          </w:tcPr>
          <w:p w14:paraId="3D8BB9A6" w14:textId="028E9925"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89°F, or lower temps for workers wearing insulating clothing</w:t>
            </w:r>
          </w:p>
        </w:tc>
        <w:tc>
          <w:tcPr>
            <w:tcW w:w="1367" w:type="dxa"/>
            <w:vAlign w:val="top"/>
            <w:hideMark/>
          </w:tcPr>
          <w:p w14:paraId="345DE5DB" w14:textId="007A7C5F"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PEL between 77°F and 86°F </w:t>
            </w:r>
            <w:r w:rsidR="005E4F8F" w:rsidRPr="002F64A6">
              <w:rPr>
                <w:sz w:val="13"/>
                <w:szCs w:val="13"/>
              </w:rPr>
              <w:t>(WBGT) based on workload.</w:t>
            </w:r>
          </w:p>
        </w:tc>
        <w:tc>
          <w:tcPr>
            <w:tcW w:w="1367" w:type="dxa"/>
            <w:vAlign w:val="top"/>
            <w:hideMark/>
          </w:tcPr>
          <w:p w14:paraId="1147C027" w14:textId="4C776986" w:rsidR="00DC194A" w:rsidRPr="002F64A6" w:rsidRDefault="00DC194A" w:rsidP="00C87E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Navy: PHELs</w:t>
            </w:r>
            <w:r w:rsidRPr="002F64A6">
              <w:rPr>
                <w:sz w:val="13"/>
                <w:szCs w:val="13"/>
              </w:rPr>
              <w:br/>
              <w:t>Other</w:t>
            </w:r>
            <w:r w:rsidR="00C87ED6" w:rsidRPr="002F64A6">
              <w:rPr>
                <w:sz w:val="13"/>
                <w:szCs w:val="13"/>
              </w:rPr>
              <w:t>s</w:t>
            </w:r>
            <w:r w:rsidRPr="002F64A6">
              <w:rPr>
                <w:sz w:val="13"/>
                <w:szCs w:val="13"/>
              </w:rPr>
              <w:t>:</w:t>
            </w:r>
            <w:r w:rsidR="00DE7AB7" w:rsidRPr="002F64A6">
              <w:rPr>
                <w:sz w:val="13"/>
                <w:szCs w:val="13"/>
              </w:rPr>
              <w:t xml:space="preserve"> </w:t>
            </w:r>
            <w:r w:rsidR="000D5BEC" w:rsidRPr="002F64A6">
              <w:rPr>
                <w:sz w:val="13"/>
                <w:szCs w:val="13"/>
              </w:rPr>
              <w:t>Work / rest</w:t>
            </w:r>
            <w:r w:rsidR="000544B3" w:rsidRPr="002F64A6">
              <w:rPr>
                <w:sz w:val="13"/>
                <w:szCs w:val="13"/>
              </w:rPr>
              <w:t xml:space="preserve"> and</w:t>
            </w:r>
            <w:r w:rsidR="000D5BEC" w:rsidRPr="002F64A6">
              <w:rPr>
                <w:sz w:val="13"/>
                <w:szCs w:val="13"/>
              </w:rPr>
              <w:t xml:space="preserve"> hydration tables.</w:t>
            </w:r>
            <w:r w:rsidRPr="002F64A6">
              <w:rPr>
                <w:sz w:val="13"/>
                <w:szCs w:val="13"/>
              </w:rPr>
              <w:t xml:space="preserve"> </w:t>
            </w:r>
          </w:p>
        </w:tc>
        <w:tc>
          <w:tcPr>
            <w:tcW w:w="1367" w:type="dxa"/>
            <w:vAlign w:val="top"/>
            <w:hideMark/>
          </w:tcPr>
          <w:p w14:paraId="08A3577C" w14:textId="113C3650"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5022E5" w:rsidRPr="002F64A6">
              <w:rPr>
                <w:sz w:val="13"/>
                <w:szCs w:val="13"/>
              </w:rPr>
              <w:t>RAL and REL curves</w:t>
            </w:r>
          </w:p>
        </w:tc>
        <w:tc>
          <w:tcPr>
            <w:tcW w:w="1367" w:type="dxa"/>
            <w:vAlign w:val="top"/>
            <w:hideMark/>
          </w:tcPr>
          <w:p w14:paraId="7D5FF62D" w14:textId="3A22CB16" w:rsidR="00DC194A" w:rsidRPr="002F64A6" w:rsidRDefault="0046797E" w:rsidP="00052E38">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Threshold Limit </w:t>
            </w:r>
            <w:r w:rsidR="00052E38">
              <w:rPr>
                <w:sz w:val="13"/>
                <w:szCs w:val="13"/>
              </w:rPr>
              <w:t>Values</w:t>
            </w:r>
            <w:r w:rsidRPr="002F64A6">
              <w:rPr>
                <w:sz w:val="13"/>
                <w:szCs w:val="13"/>
              </w:rPr>
              <w:t>.</w:t>
            </w:r>
          </w:p>
        </w:tc>
      </w:tr>
      <w:tr w:rsidR="00150799" w:rsidRPr="002F64A6" w14:paraId="3069F64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328F1DF0" w14:textId="7C8338DE" w:rsidR="00DC194A" w:rsidRPr="002F64A6" w:rsidRDefault="00150799" w:rsidP="00150799">
            <w:pPr>
              <w:pStyle w:val="TableLeft"/>
              <w:rPr>
                <w:b/>
                <w:bCs/>
                <w:sz w:val="14"/>
                <w:szCs w:val="14"/>
              </w:rPr>
            </w:pPr>
            <w:r w:rsidRPr="002F64A6">
              <w:rPr>
                <w:b/>
                <w:bCs/>
                <w:sz w:val="14"/>
                <w:szCs w:val="14"/>
              </w:rPr>
              <w:t>Ceiling E</w:t>
            </w:r>
            <w:r w:rsidR="00DC194A" w:rsidRPr="002F64A6">
              <w:rPr>
                <w:b/>
                <w:bCs/>
                <w:sz w:val="14"/>
                <w:szCs w:val="14"/>
              </w:rPr>
              <w:t xml:space="preserve">xposure </w:t>
            </w:r>
            <w:r w:rsidRPr="002F64A6">
              <w:rPr>
                <w:b/>
                <w:bCs/>
                <w:sz w:val="14"/>
                <w:szCs w:val="14"/>
              </w:rPr>
              <w:t>L</w:t>
            </w:r>
            <w:r w:rsidR="00DC194A" w:rsidRPr="002F64A6">
              <w:rPr>
                <w:b/>
                <w:bCs/>
                <w:sz w:val="14"/>
                <w:szCs w:val="14"/>
              </w:rPr>
              <w:t>imits</w:t>
            </w:r>
          </w:p>
        </w:tc>
        <w:tc>
          <w:tcPr>
            <w:tcW w:w="1367" w:type="dxa"/>
            <w:vAlign w:val="top"/>
            <w:hideMark/>
          </w:tcPr>
          <w:p w14:paraId="377C3F9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49FDDD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740F63F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0D7ADE2A"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DA9A63C"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305B0F62"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r>
      <w:tr w:rsidR="00150799" w:rsidRPr="002F64A6" w14:paraId="3A9F86FA"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C1A9753" w14:textId="77777777" w:rsidR="00DC194A" w:rsidRPr="002F64A6" w:rsidRDefault="00DC194A" w:rsidP="00E57E59">
            <w:pPr>
              <w:pStyle w:val="TableLeft"/>
              <w:rPr>
                <w:b/>
                <w:bCs/>
                <w:sz w:val="14"/>
                <w:szCs w:val="14"/>
              </w:rPr>
            </w:pPr>
            <w:r w:rsidRPr="002F64A6">
              <w:rPr>
                <w:b/>
                <w:bCs/>
                <w:sz w:val="14"/>
                <w:szCs w:val="14"/>
              </w:rPr>
              <w:t>Rest breaks</w:t>
            </w:r>
          </w:p>
        </w:tc>
        <w:tc>
          <w:tcPr>
            <w:tcW w:w="1367" w:type="dxa"/>
            <w:vAlign w:val="top"/>
            <w:hideMark/>
          </w:tcPr>
          <w:p w14:paraId="532C4390" w14:textId="47418BD8" w:rsidR="00DC194A" w:rsidRPr="002F64A6" w:rsidRDefault="00DC194A" w:rsidP="00940475">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Mixed. In agriculture, </w:t>
            </w:r>
            <w:r w:rsidR="00DA3BC2" w:rsidRPr="002F64A6">
              <w:rPr>
                <w:sz w:val="13"/>
                <w:szCs w:val="13"/>
              </w:rPr>
              <w:t xml:space="preserve">10 </w:t>
            </w:r>
            <w:r w:rsidRPr="002F64A6">
              <w:rPr>
                <w:sz w:val="13"/>
                <w:szCs w:val="13"/>
              </w:rPr>
              <w:t>min</w:t>
            </w:r>
            <w:r w:rsidR="00DA3BC2" w:rsidRPr="002F64A6">
              <w:rPr>
                <w:sz w:val="13"/>
                <w:szCs w:val="13"/>
              </w:rPr>
              <w:t xml:space="preserve">s </w:t>
            </w:r>
            <w:r w:rsidRPr="002F64A6">
              <w:rPr>
                <w:sz w:val="13"/>
                <w:szCs w:val="13"/>
              </w:rPr>
              <w:t xml:space="preserve">every two hours at &gt;95°F. In other industries, only </w:t>
            </w:r>
            <w:r w:rsidR="00940475" w:rsidRPr="002F64A6">
              <w:rPr>
                <w:sz w:val="13"/>
                <w:szCs w:val="13"/>
              </w:rPr>
              <w:t xml:space="preserve">on </w:t>
            </w:r>
            <w:r w:rsidRPr="002F64A6">
              <w:rPr>
                <w:sz w:val="13"/>
                <w:szCs w:val="13"/>
              </w:rPr>
              <w:t>request.</w:t>
            </w:r>
          </w:p>
        </w:tc>
        <w:tc>
          <w:tcPr>
            <w:tcW w:w="1367" w:type="dxa"/>
            <w:vAlign w:val="top"/>
            <w:hideMark/>
          </w:tcPr>
          <w:p w14:paraId="6428C14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A8AC19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(in the sense that the threshold is a firm PEL)</w:t>
            </w:r>
          </w:p>
        </w:tc>
        <w:tc>
          <w:tcPr>
            <w:tcW w:w="1367" w:type="dxa"/>
            <w:vAlign w:val="top"/>
            <w:hideMark/>
          </w:tcPr>
          <w:p w14:paraId="0830A12F"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Rigorous work-rest cycles based on WBGT thresholds.</w:t>
            </w:r>
          </w:p>
        </w:tc>
        <w:tc>
          <w:tcPr>
            <w:tcW w:w="1367" w:type="dxa"/>
            <w:vAlign w:val="top"/>
            <w:hideMark/>
          </w:tcPr>
          <w:p w14:paraId="4CA442D1"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Threshold limit curves differ depending on amount of work per hour.</w:t>
            </w:r>
          </w:p>
        </w:tc>
        <w:tc>
          <w:tcPr>
            <w:tcW w:w="1367" w:type="dxa"/>
            <w:vAlign w:val="top"/>
            <w:hideMark/>
          </w:tcPr>
          <w:p w14:paraId="54A43559" w14:textId="63D5D59E" w:rsidR="00DC194A" w:rsidRPr="002F64A6" w:rsidRDefault="00604588" w:rsidP="003A4974">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Indirectly. T</w:t>
            </w:r>
            <w:r w:rsidR="00DC194A" w:rsidRPr="002F64A6">
              <w:rPr>
                <w:sz w:val="13"/>
                <w:szCs w:val="13"/>
              </w:rPr>
              <w:t>emps at which extra pre</w:t>
            </w:r>
            <w:r w:rsidR="00CC79CF">
              <w:rPr>
                <w:sz w:val="13"/>
                <w:szCs w:val="13"/>
              </w:rPr>
              <w:t>-</w:t>
            </w:r>
            <w:r w:rsidR="00DC194A" w:rsidRPr="002F64A6">
              <w:rPr>
                <w:sz w:val="13"/>
                <w:szCs w:val="13"/>
              </w:rPr>
              <w:t xml:space="preserve">cautions </w:t>
            </w:r>
            <w:r w:rsidR="003A4974">
              <w:rPr>
                <w:sz w:val="13"/>
                <w:szCs w:val="13"/>
              </w:rPr>
              <w:t xml:space="preserve">needed </w:t>
            </w:r>
            <w:r w:rsidR="00DC194A" w:rsidRPr="002F64A6">
              <w:rPr>
                <w:sz w:val="13"/>
                <w:szCs w:val="13"/>
              </w:rPr>
              <w:t>vary with duration of work per hour.</w:t>
            </w:r>
          </w:p>
        </w:tc>
      </w:tr>
      <w:tr w:rsidR="00150799" w:rsidRPr="002F64A6" w14:paraId="31B34844"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509F106" w14:textId="77777777" w:rsidR="00DC194A" w:rsidRPr="002F64A6" w:rsidRDefault="00DC194A" w:rsidP="00E57E59">
            <w:pPr>
              <w:pStyle w:val="TableLeft"/>
              <w:rPr>
                <w:b/>
                <w:bCs/>
                <w:sz w:val="14"/>
                <w:szCs w:val="14"/>
              </w:rPr>
            </w:pPr>
            <w:r w:rsidRPr="002F64A6">
              <w:rPr>
                <w:b/>
                <w:bCs/>
                <w:sz w:val="14"/>
                <w:szCs w:val="14"/>
              </w:rPr>
              <w:t>PPE</w:t>
            </w:r>
          </w:p>
        </w:tc>
        <w:tc>
          <w:tcPr>
            <w:tcW w:w="1367" w:type="dxa"/>
            <w:vAlign w:val="top"/>
            <w:hideMark/>
          </w:tcPr>
          <w:p w14:paraId="3970429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2B7FC7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075D3800" w14:textId="7601EBCD" w:rsidR="00DC194A" w:rsidRPr="002F64A6" w:rsidRDefault="003335DF"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1E3A1884" w14:textId="38B43360"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35CB427E" w14:textId="33EC830C" w:rsidR="00DC194A" w:rsidRPr="002F64A6" w:rsidRDefault="00942C58"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1C29AA3" w14:textId="1D710B4E" w:rsidR="00DC194A" w:rsidRPr="002F64A6" w:rsidRDefault="008510A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Yes</w:t>
            </w:r>
          </w:p>
        </w:tc>
      </w:tr>
      <w:tr w:rsidR="00150799" w:rsidRPr="002F64A6" w14:paraId="480E868F"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5E82581" w14:textId="77777777" w:rsidR="00DC194A" w:rsidRPr="002F64A6" w:rsidRDefault="00DC194A" w:rsidP="00E57E59">
            <w:pPr>
              <w:pStyle w:val="TableLeft"/>
              <w:rPr>
                <w:b/>
                <w:bCs/>
                <w:sz w:val="14"/>
                <w:szCs w:val="14"/>
              </w:rPr>
            </w:pPr>
            <w:r w:rsidRPr="002F64A6">
              <w:rPr>
                <w:b/>
                <w:bCs/>
                <w:sz w:val="14"/>
                <w:szCs w:val="14"/>
              </w:rPr>
              <w:t>Hydration</w:t>
            </w:r>
          </w:p>
        </w:tc>
        <w:tc>
          <w:tcPr>
            <w:tcW w:w="1367" w:type="dxa"/>
            <w:vAlign w:val="top"/>
            <w:hideMark/>
          </w:tcPr>
          <w:p w14:paraId="75F3A6AB" w14:textId="229DBF7C"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w:t>
            </w:r>
            <w:proofErr w:type="spellStart"/>
            <w:r w:rsidRPr="002F64A6">
              <w:rPr>
                <w:sz w:val="13"/>
                <w:szCs w:val="13"/>
              </w:rPr>
              <w:t>qt</w:t>
            </w:r>
            <w:proofErr w:type="spellEnd"/>
            <w:r w:rsidRPr="002F64A6">
              <w:rPr>
                <w:sz w:val="13"/>
                <w:szCs w:val="13"/>
              </w:rPr>
              <w:t>/hr.</w:t>
            </w:r>
          </w:p>
        </w:tc>
        <w:tc>
          <w:tcPr>
            <w:tcW w:w="1367" w:type="dxa"/>
            <w:vAlign w:val="top"/>
            <w:hideMark/>
          </w:tcPr>
          <w:p w14:paraId="1F4DE20A" w14:textId="7FEAC544"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Water</w:t>
            </w:r>
            <w:r w:rsidR="00E178D6" w:rsidRPr="002F64A6">
              <w:rPr>
                <w:sz w:val="13"/>
                <w:szCs w:val="13"/>
              </w:rPr>
              <w:t>,</w:t>
            </w:r>
            <w:r w:rsidRPr="002F64A6">
              <w:rPr>
                <w:sz w:val="13"/>
                <w:szCs w:val="13"/>
              </w:rPr>
              <w:t xml:space="preserve"> 1 </w:t>
            </w:r>
            <w:proofErr w:type="spellStart"/>
            <w:r w:rsidRPr="002F64A6">
              <w:rPr>
                <w:sz w:val="13"/>
                <w:szCs w:val="13"/>
              </w:rPr>
              <w:t>qt</w:t>
            </w:r>
            <w:proofErr w:type="spellEnd"/>
            <w:r w:rsidRPr="002F64A6">
              <w:rPr>
                <w:sz w:val="13"/>
                <w:szCs w:val="13"/>
              </w:rPr>
              <w:t>/hr.</w:t>
            </w:r>
          </w:p>
        </w:tc>
        <w:tc>
          <w:tcPr>
            <w:tcW w:w="1367" w:type="dxa"/>
            <w:vAlign w:val="top"/>
            <w:hideMark/>
          </w:tcPr>
          <w:p w14:paraId="09E54D1D"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CCBFCD8" w14:textId="20A73CDC" w:rsidR="00DC194A" w:rsidRPr="002F64A6" w:rsidRDefault="00DC194A" w:rsidP="00E178D6">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4F19F8" w:rsidRPr="002F64A6">
              <w:rPr>
                <w:sz w:val="13"/>
                <w:szCs w:val="13"/>
              </w:rPr>
              <w:t>W</w:t>
            </w:r>
            <w:r w:rsidRPr="002F64A6">
              <w:rPr>
                <w:sz w:val="13"/>
                <w:szCs w:val="13"/>
              </w:rPr>
              <w:t>ater</w:t>
            </w:r>
            <w:r w:rsidR="00E178D6" w:rsidRPr="002F64A6">
              <w:rPr>
                <w:sz w:val="13"/>
                <w:szCs w:val="13"/>
              </w:rPr>
              <w:t>,</w:t>
            </w:r>
            <w:r w:rsidRPr="002F64A6">
              <w:rPr>
                <w:sz w:val="13"/>
                <w:szCs w:val="13"/>
              </w:rPr>
              <w:t xml:space="preserve"> 0.5–1.5 </w:t>
            </w:r>
            <w:proofErr w:type="spellStart"/>
            <w:r w:rsidRPr="002F64A6">
              <w:rPr>
                <w:sz w:val="13"/>
                <w:szCs w:val="13"/>
              </w:rPr>
              <w:t>qt</w:t>
            </w:r>
            <w:proofErr w:type="spellEnd"/>
            <w:r w:rsidRPr="002F64A6">
              <w:rPr>
                <w:sz w:val="13"/>
                <w:szCs w:val="13"/>
              </w:rPr>
              <w:t>/</w:t>
            </w:r>
            <w:proofErr w:type="spellStart"/>
            <w:r w:rsidRPr="002F64A6">
              <w:rPr>
                <w:sz w:val="13"/>
                <w:szCs w:val="13"/>
              </w:rPr>
              <w:t>hr</w:t>
            </w:r>
            <w:proofErr w:type="spellEnd"/>
            <w:r w:rsidRPr="002F64A6">
              <w:rPr>
                <w:sz w:val="13"/>
                <w:szCs w:val="13"/>
              </w:rPr>
              <w:t xml:space="preserve"> based on work intensity and </w:t>
            </w:r>
            <w:r w:rsidR="00CB1B6F" w:rsidRPr="002F64A6">
              <w:rPr>
                <w:sz w:val="13"/>
                <w:szCs w:val="13"/>
              </w:rPr>
              <w:t>WBGT</w:t>
            </w:r>
            <w:r w:rsidRPr="002F64A6">
              <w:rPr>
                <w:sz w:val="13"/>
                <w:szCs w:val="13"/>
              </w:rPr>
              <w:t>.</w:t>
            </w:r>
            <w:r w:rsidR="008E1D0D" w:rsidRPr="002F64A6">
              <w:rPr>
                <w:sz w:val="13"/>
                <w:szCs w:val="13"/>
              </w:rPr>
              <w:t xml:space="preserve"> </w:t>
            </w:r>
            <w:r w:rsidR="00D77357" w:rsidRPr="002F64A6">
              <w:rPr>
                <w:sz w:val="13"/>
                <w:szCs w:val="13"/>
              </w:rPr>
              <w:t>S</w:t>
            </w:r>
            <w:r w:rsidR="008E1D0D" w:rsidRPr="002F64A6">
              <w:rPr>
                <w:sz w:val="13"/>
                <w:szCs w:val="13"/>
              </w:rPr>
              <w:t>alt or spo</w:t>
            </w:r>
            <w:r w:rsidR="00ED59C1" w:rsidRPr="002F64A6">
              <w:rPr>
                <w:sz w:val="13"/>
                <w:szCs w:val="13"/>
              </w:rPr>
              <w:t xml:space="preserve">rts drinks </w:t>
            </w:r>
            <w:r w:rsidR="003210D2" w:rsidRPr="002F64A6">
              <w:rPr>
                <w:sz w:val="13"/>
                <w:szCs w:val="13"/>
              </w:rPr>
              <w:t xml:space="preserve">during </w:t>
            </w:r>
            <w:r w:rsidR="00FD6BDD" w:rsidRPr="002F64A6">
              <w:rPr>
                <w:sz w:val="13"/>
                <w:szCs w:val="13"/>
              </w:rPr>
              <w:t>&gt;</w:t>
            </w:r>
            <w:r w:rsidR="00F82F48" w:rsidRPr="002F64A6">
              <w:rPr>
                <w:sz w:val="13"/>
                <w:szCs w:val="13"/>
              </w:rPr>
              <w:t xml:space="preserve">4 hours </w:t>
            </w:r>
            <w:r w:rsidR="00ED59C1" w:rsidRPr="002F64A6">
              <w:rPr>
                <w:sz w:val="13"/>
                <w:szCs w:val="13"/>
              </w:rPr>
              <w:t xml:space="preserve">sweating </w:t>
            </w:r>
            <w:r w:rsidR="00345ACC" w:rsidRPr="002F64A6">
              <w:rPr>
                <w:sz w:val="13"/>
                <w:szCs w:val="13"/>
              </w:rPr>
              <w:t>if salt from meals</w:t>
            </w:r>
            <w:r w:rsidR="008962F9" w:rsidRPr="002F64A6">
              <w:rPr>
                <w:sz w:val="13"/>
                <w:szCs w:val="13"/>
              </w:rPr>
              <w:t xml:space="preserve"> is insufficient</w:t>
            </w:r>
            <w:r w:rsidR="00345ACC" w:rsidRPr="002F64A6">
              <w:rPr>
                <w:sz w:val="13"/>
                <w:szCs w:val="13"/>
              </w:rPr>
              <w:t>.</w:t>
            </w:r>
          </w:p>
        </w:tc>
        <w:tc>
          <w:tcPr>
            <w:tcW w:w="1367" w:type="dxa"/>
            <w:vAlign w:val="top"/>
            <w:hideMark/>
          </w:tcPr>
          <w:p w14:paraId="78AFC3DB" w14:textId="7624E21C" w:rsidR="00DC194A" w:rsidRPr="002F64A6" w:rsidRDefault="00DC194A" w:rsidP="00157FA1">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01412C" w:rsidRPr="002F64A6">
              <w:rPr>
                <w:sz w:val="13"/>
                <w:szCs w:val="13"/>
              </w:rPr>
              <w:t>P</w:t>
            </w:r>
            <w:r w:rsidR="00BA65DB" w:rsidRPr="002F64A6">
              <w:rPr>
                <w:sz w:val="13"/>
                <w:szCs w:val="13"/>
              </w:rPr>
              <w:t xml:space="preserve">rovide </w:t>
            </w:r>
            <w:r w:rsidRPr="002F64A6">
              <w:rPr>
                <w:sz w:val="13"/>
                <w:szCs w:val="13"/>
              </w:rPr>
              <w:t>1 cup cool (50–59°F), potable water every 15–20 min</w:t>
            </w:r>
            <w:r w:rsidR="00BB7733" w:rsidRPr="002F64A6">
              <w:rPr>
                <w:sz w:val="13"/>
                <w:szCs w:val="13"/>
              </w:rPr>
              <w:t>s</w:t>
            </w:r>
            <w:r w:rsidRPr="002F64A6">
              <w:rPr>
                <w:sz w:val="13"/>
                <w:szCs w:val="13"/>
              </w:rPr>
              <w:t>. For workers sweating more than 2 hours, provide electrolytes.</w:t>
            </w:r>
          </w:p>
        </w:tc>
        <w:tc>
          <w:tcPr>
            <w:tcW w:w="1367" w:type="dxa"/>
            <w:vAlign w:val="top"/>
            <w:hideMark/>
          </w:tcPr>
          <w:p w14:paraId="09F99D27" w14:textId="27543E90"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Employers should encourage workers to drink 1 cup of cool, palatable water every 20 </w:t>
            </w:r>
            <w:r w:rsidR="00BB7733" w:rsidRPr="002F64A6">
              <w:rPr>
                <w:sz w:val="13"/>
                <w:szCs w:val="13"/>
              </w:rPr>
              <w:t>mins</w:t>
            </w:r>
            <w:r w:rsidRPr="002F64A6">
              <w:rPr>
                <w:sz w:val="13"/>
                <w:szCs w:val="13"/>
              </w:rPr>
              <w:t>.</w:t>
            </w:r>
          </w:p>
        </w:tc>
      </w:tr>
      <w:tr w:rsidR="00150799" w:rsidRPr="002F64A6" w14:paraId="192BF91C"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704CE7ED" w14:textId="4C3903BE" w:rsidR="00DC194A" w:rsidRPr="002F64A6" w:rsidRDefault="00DC194A" w:rsidP="00985BF1">
            <w:pPr>
              <w:pStyle w:val="TableLeft"/>
              <w:rPr>
                <w:b/>
                <w:bCs/>
                <w:sz w:val="14"/>
                <w:szCs w:val="14"/>
              </w:rPr>
            </w:pPr>
            <w:r w:rsidRPr="002F64A6">
              <w:rPr>
                <w:b/>
                <w:bCs/>
                <w:sz w:val="14"/>
                <w:szCs w:val="14"/>
              </w:rPr>
              <w:t xml:space="preserve">Shade </w:t>
            </w:r>
            <w:r w:rsidR="00985BF1" w:rsidRPr="002F64A6">
              <w:rPr>
                <w:b/>
                <w:bCs/>
                <w:sz w:val="14"/>
                <w:szCs w:val="14"/>
              </w:rPr>
              <w:t>R</w:t>
            </w:r>
            <w:r w:rsidRPr="002F64A6">
              <w:rPr>
                <w:b/>
                <w:bCs/>
                <w:sz w:val="14"/>
                <w:szCs w:val="14"/>
              </w:rPr>
              <w:t>equirements</w:t>
            </w:r>
          </w:p>
        </w:tc>
        <w:tc>
          <w:tcPr>
            <w:tcW w:w="1367" w:type="dxa"/>
            <w:vAlign w:val="top"/>
            <w:hideMark/>
          </w:tcPr>
          <w:p w14:paraId="516A4FFB" w14:textId="4C3424CF"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Required when temp &gt;80°F. Upon request when temp ≤80°F.</w:t>
            </w:r>
          </w:p>
        </w:tc>
        <w:tc>
          <w:tcPr>
            <w:tcW w:w="1367" w:type="dxa"/>
            <w:vAlign w:val="top"/>
            <w:hideMark/>
          </w:tcPr>
          <w:p w14:paraId="768B24C6"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530EC2E7"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N/A</w:t>
            </w:r>
          </w:p>
        </w:tc>
        <w:tc>
          <w:tcPr>
            <w:tcW w:w="1367" w:type="dxa"/>
            <w:vAlign w:val="top"/>
            <w:hideMark/>
          </w:tcPr>
          <w:p w14:paraId="7858053C" w14:textId="391BCEB5" w:rsidR="00DC194A" w:rsidRPr="002F64A6" w:rsidRDefault="005025A1" w:rsidP="005025A1">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Rest should be given in shade.</w:t>
            </w:r>
          </w:p>
        </w:tc>
        <w:tc>
          <w:tcPr>
            <w:tcW w:w="1367" w:type="dxa"/>
            <w:vAlign w:val="top"/>
            <w:hideMark/>
          </w:tcPr>
          <w:p w14:paraId="63CDCF86" w14:textId="5BC6E2AC" w:rsidR="00DC194A" w:rsidRPr="002F64A6" w:rsidRDefault="00E436F4" w:rsidP="00E436F4">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Provide air-conditioned or shaded area for rest.</w:t>
            </w:r>
          </w:p>
        </w:tc>
        <w:tc>
          <w:tcPr>
            <w:tcW w:w="1367" w:type="dxa"/>
            <w:vAlign w:val="top"/>
            <w:hideMark/>
          </w:tcPr>
          <w:p w14:paraId="699F23C4"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shade.</w:t>
            </w:r>
          </w:p>
        </w:tc>
      </w:tr>
      <w:tr w:rsidR="00150799" w:rsidRPr="002F64A6" w14:paraId="28927840"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7007805" w14:textId="77777777" w:rsidR="00DC194A" w:rsidRPr="002F64A6" w:rsidRDefault="00DC194A" w:rsidP="00E57E59">
            <w:pPr>
              <w:pStyle w:val="TableLeft"/>
              <w:rPr>
                <w:b/>
                <w:bCs/>
                <w:sz w:val="14"/>
                <w:szCs w:val="14"/>
              </w:rPr>
            </w:pPr>
            <w:r w:rsidRPr="002F64A6">
              <w:rPr>
                <w:b/>
                <w:bCs/>
                <w:sz w:val="14"/>
                <w:szCs w:val="14"/>
              </w:rPr>
              <w:t>Hazard Notification</w:t>
            </w:r>
          </w:p>
        </w:tc>
        <w:tc>
          <w:tcPr>
            <w:tcW w:w="1367" w:type="dxa"/>
            <w:vAlign w:val="top"/>
            <w:hideMark/>
          </w:tcPr>
          <w:p w14:paraId="78093147"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13B46C5A"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0BAD8068" w14:textId="7AD5D5BC" w:rsidR="00DC194A" w:rsidRPr="002F64A6" w:rsidRDefault="005B5E89"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w:t>
            </w:r>
          </w:p>
        </w:tc>
        <w:tc>
          <w:tcPr>
            <w:tcW w:w="1367" w:type="dxa"/>
            <w:vAlign w:val="top"/>
            <w:hideMark/>
          </w:tcPr>
          <w:p w14:paraId="1A23C2BE" w14:textId="5FB06A37" w:rsidR="00DC194A" w:rsidRPr="002F64A6" w:rsidRDefault="001D1892"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Flag indicating conditions.</w:t>
            </w:r>
          </w:p>
        </w:tc>
        <w:tc>
          <w:tcPr>
            <w:tcW w:w="1367" w:type="dxa"/>
            <w:vAlign w:val="top"/>
            <w:hideMark/>
          </w:tcPr>
          <w:p w14:paraId="68F2A5E6" w14:textId="569D25B0" w:rsidR="00DC194A" w:rsidRPr="002F64A6" w:rsidRDefault="001B1498"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w:t>
            </w:r>
          </w:p>
        </w:tc>
        <w:tc>
          <w:tcPr>
            <w:tcW w:w="1367" w:type="dxa"/>
            <w:vAlign w:val="top"/>
            <w:hideMark/>
          </w:tcPr>
          <w:p w14:paraId="3FD34F35" w14:textId="14CB814F" w:rsidR="00DC194A" w:rsidRPr="002F64A6" w:rsidRDefault="00C537ED"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Pr>
                <w:sz w:val="13"/>
                <w:szCs w:val="13"/>
              </w:rPr>
              <w:t>No</w:t>
            </w:r>
          </w:p>
        </w:tc>
      </w:tr>
      <w:tr w:rsidR="00150799" w:rsidRPr="002F64A6" w14:paraId="5E9A4D49"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161BFA7B" w14:textId="46462CC1" w:rsidR="00DC194A" w:rsidRPr="002F64A6" w:rsidRDefault="00DC194A" w:rsidP="00E57E59">
            <w:pPr>
              <w:pStyle w:val="TableLeft"/>
              <w:rPr>
                <w:b/>
                <w:bCs/>
                <w:sz w:val="14"/>
                <w:szCs w:val="14"/>
              </w:rPr>
            </w:pPr>
            <w:r w:rsidRPr="002F64A6">
              <w:rPr>
                <w:b/>
                <w:bCs/>
                <w:sz w:val="14"/>
                <w:szCs w:val="14"/>
              </w:rPr>
              <w:t xml:space="preserve">Employee </w:t>
            </w:r>
            <w:r w:rsidR="00985BF1" w:rsidRPr="002F64A6">
              <w:rPr>
                <w:b/>
                <w:bCs/>
                <w:sz w:val="14"/>
                <w:szCs w:val="14"/>
              </w:rPr>
              <w:t>T</w:t>
            </w:r>
            <w:r w:rsidRPr="002F64A6">
              <w:rPr>
                <w:b/>
                <w:bCs/>
                <w:sz w:val="14"/>
                <w:szCs w:val="14"/>
              </w:rPr>
              <w:t>raining</w:t>
            </w:r>
          </w:p>
        </w:tc>
        <w:tc>
          <w:tcPr>
            <w:tcW w:w="1367" w:type="dxa"/>
            <w:vAlign w:val="top"/>
            <w:hideMark/>
          </w:tcPr>
          <w:p w14:paraId="4A65023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Upon hiring.</w:t>
            </w:r>
          </w:p>
        </w:tc>
        <w:tc>
          <w:tcPr>
            <w:tcW w:w="1367" w:type="dxa"/>
            <w:vAlign w:val="top"/>
            <w:hideMark/>
          </w:tcPr>
          <w:p w14:paraId="20140241"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Upon hiring and annually thereafter.</w:t>
            </w:r>
          </w:p>
        </w:tc>
        <w:tc>
          <w:tcPr>
            <w:tcW w:w="1367" w:type="dxa"/>
            <w:vAlign w:val="top"/>
            <w:hideMark/>
          </w:tcPr>
          <w:p w14:paraId="3AA74983"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Upon hiring and annually thereafter.</w:t>
            </w:r>
          </w:p>
        </w:tc>
        <w:tc>
          <w:tcPr>
            <w:tcW w:w="1367" w:type="dxa"/>
            <w:vAlign w:val="top"/>
            <w:hideMark/>
          </w:tcPr>
          <w:p w14:paraId="3EBBEE85" w14:textId="7E439D37" w:rsidR="00DC194A" w:rsidRPr="002F64A6" w:rsidRDefault="00DC194A" w:rsidP="000A4D4C">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 xml:space="preserve">Vague guidance on need to </w:t>
            </w:r>
            <w:r w:rsidR="000A4D4C" w:rsidRPr="002F64A6">
              <w:rPr>
                <w:sz w:val="13"/>
                <w:szCs w:val="13"/>
              </w:rPr>
              <w:t xml:space="preserve">educate troops on signs of heat stress and alert them to </w:t>
            </w:r>
            <w:r w:rsidRPr="002F64A6">
              <w:rPr>
                <w:sz w:val="13"/>
                <w:szCs w:val="13"/>
              </w:rPr>
              <w:t>dangerous heat conditions.</w:t>
            </w:r>
          </w:p>
        </w:tc>
        <w:tc>
          <w:tcPr>
            <w:tcW w:w="1367" w:type="dxa"/>
            <w:vAlign w:val="top"/>
            <w:hideMark/>
          </w:tcPr>
          <w:p w14:paraId="4ABA4C8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 Upon hiring and continuously thereafter.</w:t>
            </w:r>
          </w:p>
        </w:tc>
        <w:tc>
          <w:tcPr>
            <w:tcW w:w="1367" w:type="dxa"/>
            <w:vAlign w:val="top"/>
            <w:hideMark/>
          </w:tcPr>
          <w:p w14:paraId="68173D5F"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 speciﬁc guidelines on training.</w:t>
            </w:r>
          </w:p>
        </w:tc>
      </w:tr>
      <w:tr w:rsidR="00150799" w:rsidRPr="002F64A6" w14:paraId="3249826C"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093D950" w14:textId="24E8DB3B" w:rsidR="00DC194A" w:rsidRPr="002F64A6" w:rsidRDefault="00985BF1" w:rsidP="00E57E59">
            <w:pPr>
              <w:pStyle w:val="TableLeft"/>
              <w:rPr>
                <w:b/>
                <w:bCs/>
                <w:sz w:val="14"/>
                <w:szCs w:val="14"/>
              </w:rPr>
            </w:pPr>
            <w:r w:rsidRPr="002F64A6">
              <w:rPr>
                <w:b/>
                <w:bCs/>
                <w:sz w:val="14"/>
                <w:szCs w:val="14"/>
              </w:rPr>
              <w:t>Medical M</w:t>
            </w:r>
            <w:r w:rsidR="00DC194A" w:rsidRPr="002F64A6">
              <w:rPr>
                <w:b/>
                <w:bCs/>
                <w:sz w:val="14"/>
                <w:szCs w:val="14"/>
              </w:rPr>
              <w:t>onitoring</w:t>
            </w:r>
          </w:p>
        </w:tc>
        <w:tc>
          <w:tcPr>
            <w:tcW w:w="1367" w:type="dxa"/>
            <w:vAlign w:val="top"/>
            <w:hideMark/>
          </w:tcPr>
          <w:p w14:paraId="2304AC34"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Proactive monitoring for heat-related illness when temp ≥95°F.</w:t>
            </w:r>
          </w:p>
        </w:tc>
        <w:tc>
          <w:tcPr>
            <w:tcW w:w="1367" w:type="dxa"/>
            <w:vAlign w:val="top"/>
            <w:hideMark/>
          </w:tcPr>
          <w:p w14:paraId="054F0E14"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Reactive monitoring and rest breaks for heat-related injuries.</w:t>
            </w:r>
          </w:p>
        </w:tc>
        <w:tc>
          <w:tcPr>
            <w:tcW w:w="1367" w:type="dxa"/>
            <w:vAlign w:val="top"/>
            <w:hideMark/>
          </w:tcPr>
          <w:p w14:paraId="44DBB7CF"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w:t>
            </w:r>
          </w:p>
        </w:tc>
        <w:tc>
          <w:tcPr>
            <w:tcW w:w="1367" w:type="dxa"/>
            <w:vAlign w:val="top"/>
            <w:hideMark/>
          </w:tcPr>
          <w:p w14:paraId="3C274FEC" w14:textId="14CE26A9" w:rsidR="00DC194A" w:rsidRPr="002F64A6" w:rsidRDefault="00DC194A" w:rsidP="00CE3F62">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Language on monitoring interspersed throughout guidance, but no strict criteria.</w:t>
            </w:r>
          </w:p>
        </w:tc>
        <w:tc>
          <w:tcPr>
            <w:tcW w:w="1367" w:type="dxa"/>
            <w:vAlign w:val="top"/>
            <w:hideMark/>
          </w:tcPr>
          <w:p w14:paraId="4B31F4C3" w14:textId="1C681F00" w:rsidR="00DC194A" w:rsidRPr="002F64A6" w:rsidRDefault="00DC194A" w:rsidP="00D714B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D714B9" w:rsidRPr="002F64A6">
              <w:rPr>
                <w:sz w:val="13"/>
                <w:szCs w:val="13"/>
              </w:rPr>
              <w:t>M</w:t>
            </w:r>
            <w:r w:rsidRPr="002F64A6">
              <w:rPr>
                <w:sz w:val="13"/>
                <w:szCs w:val="13"/>
              </w:rPr>
              <w:t>edical screening and surveillance program.</w:t>
            </w:r>
          </w:p>
        </w:tc>
        <w:tc>
          <w:tcPr>
            <w:tcW w:w="1367" w:type="dxa"/>
            <w:vAlign w:val="top"/>
            <w:hideMark/>
          </w:tcPr>
          <w:p w14:paraId="5687C97C" w14:textId="2BB1A807" w:rsidR="00DC194A" w:rsidRPr="002F64A6" w:rsidRDefault="00DC194A" w:rsidP="000B3992">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0B3992" w:rsidRPr="002F64A6">
              <w:rPr>
                <w:sz w:val="13"/>
                <w:szCs w:val="13"/>
              </w:rPr>
              <w:t>M</w:t>
            </w:r>
            <w:r w:rsidRPr="002F64A6">
              <w:rPr>
                <w:sz w:val="13"/>
                <w:szCs w:val="13"/>
              </w:rPr>
              <w:t>onitor heat stress [WBGT thresholds] and heat strain [signs and symptoms].</w:t>
            </w:r>
          </w:p>
        </w:tc>
      </w:tr>
      <w:tr w:rsidR="00150799" w:rsidRPr="002F64A6" w14:paraId="281FEB1B" w14:textId="77777777" w:rsidTr="00513064">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491D440C" w14:textId="70B3B247" w:rsidR="00DC194A" w:rsidRPr="002F64A6" w:rsidRDefault="00DC194A" w:rsidP="00E57E59">
            <w:pPr>
              <w:pStyle w:val="TableLeft"/>
              <w:rPr>
                <w:b/>
                <w:bCs/>
                <w:sz w:val="14"/>
                <w:szCs w:val="14"/>
              </w:rPr>
            </w:pPr>
            <w:r w:rsidRPr="002F64A6">
              <w:rPr>
                <w:b/>
                <w:bCs/>
                <w:sz w:val="14"/>
                <w:szCs w:val="14"/>
              </w:rPr>
              <w:t xml:space="preserve">Injury </w:t>
            </w:r>
            <w:r w:rsidR="00985BF1" w:rsidRPr="002F64A6">
              <w:rPr>
                <w:b/>
                <w:bCs/>
                <w:sz w:val="14"/>
                <w:szCs w:val="14"/>
              </w:rPr>
              <w:t>S</w:t>
            </w:r>
            <w:r w:rsidRPr="002F64A6">
              <w:rPr>
                <w:b/>
                <w:bCs/>
                <w:sz w:val="14"/>
                <w:szCs w:val="14"/>
              </w:rPr>
              <w:t>urveillance</w:t>
            </w:r>
          </w:p>
        </w:tc>
        <w:tc>
          <w:tcPr>
            <w:tcW w:w="1367" w:type="dxa"/>
            <w:vAlign w:val="top"/>
            <w:hideMark/>
          </w:tcPr>
          <w:p w14:paraId="02C85FE6"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5C139E5E"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77AF759B" w14:textId="77777777" w:rsidR="00DC194A" w:rsidRPr="002F64A6" w:rsidRDefault="00DC194A"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No</w:t>
            </w:r>
          </w:p>
        </w:tc>
        <w:tc>
          <w:tcPr>
            <w:tcW w:w="1367" w:type="dxa"/>
            <w:vAlign w:val="top"/>
            <w:hideMark/>
          </w:tcPr>
          <w:p w14:paraId="213FBD03" w14:textId="0EE572D8" w:rsidR="00DC194A" w:rsidRPr="002F64A6" w:rsidRDefault="00775A42"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2542DFC1" w14:textId="25ED752A" w:rsidR="00DC194A" w:rsidRPr="002F64A6" w:rsidRDefault="00456226"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sidRPr="002F64A6">
              <w:rPr>
                <w:sz w:val="13"/>
                <w:szCs w:val="13"/>
              </w:rPr>
              <w:t>Yes</w:t>
            </w:r>
          </w:p>
        </w:tc>
        <w:tc>
          <w:tcPr>
            <w:tcW w:w="1367" w:type="dxa"/>
            <w:vAlign w:val="top"/>
            <w:hideMark/>
          </w:tcPr>
          <w:p w14:paraId="118EA36B" w14:textId="5E2C8299" w:rsidR="00DC194A" w:rsidRPr="002F64A6" w:rsidRDefault="00891249" w:rsidP="00E57E59">
            <w:pPr>
              <w:pStyle w:val="TableLeft"/>
              <w:cnfStyle w:val="000000010000" w:firstRow="0" w:lastRow="0" w:firstColumn="0" w:lastColumn="0" w:oddVBand="0" w:evenVBand="0" w:oddHBand="0" w:evenHBand="1" w:firstRowFirstColumn="0" w:firstRowLastColumn="0" w:lastRowFirstColumn="0" w:lastRowLastColumn="0"/>
              <w:rPr>
                <w:sz w:val="13"/>
                <w:szCs w:val="13"/>
              </w:rPr>
            </w:pPr>
            <w:r>
              <w:rPr>
                <w:sz w:val="13"/>
                <w:szCs w:val="13"/>
              </w:rPr>
              <w:t>No</w:t>
            </w:r>
          </w:p>
        </w:tc>
      </w:tr>
      <w:tr w:rsidR="00150799" w:rsidRPr="002F64A6" w14:paraId="50E26C8B" w14:textId="77777777" w:rsidTr="00513064">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82" w:type="dxa"/>
            <w:vAlign w:val="top"/>
            <w:hideMark/>
          </w:tcPr>
          <w:p w14:paraId="6B8B3D3A" w14:textId="267E2C68" w:rsidR="00DC194A" w:rsidRPr="002F64A6" w:rsidRDefault="00DC194A" w:rsidP="00E57E59">
            <w:pPr>
              <w:pStyle w:val="TableLeft"/>
              <w:rPr>
                <w:b/>
                <w:bCs/>
                <w:sz w:val="14"/>
                <w:szCs w:val="14"/>
              </w:rPr>
            </w:pPr>
            <w:r w:rsidRPr="002F64A6">
              <w:rPr>
                <w:b/>
                <w:bCs/>
                <w:sz w:val="14"/>
                <w:szCs w:val="14"/>
              </w:rPr>
              <w:t>Record</w:t>
            </w:r>
            <w:r w:rsidR="007F7DFA" w:rsidRPr="002F64A6">
              <w:rPr>
                <w:b/>
                <w:bCs/>
                <w:sz w:val="14"/>
                <w:szCs w:val="14"/>
              </w:rPr>
              <w:t>-</w:t>
            </w:r>
            <w:r w:rsidRPr="002F64A6">
              <w:rPr>
                <w:b/>
                <w:bCs/>
                <w:sz w:val="14"/>
                <w:szCs w:val="14"/>
              </w:rPr>
              <w:t>keeping</w:t>
            </w:r>
          </w:p>
        </w:tc>
        <w:tc>
          <w:tcPr>
            <w:tcW w:w="1367" w:type="dxa"/>
            <w:vAlign w:val="top"/>
            <w:hideMark/>
          </w:tcPr>
          <w:p w14:paraId="57B8D2C7"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Written exposure control and emergency response plan.</w:t>
            </w:r>
          </w:p>
        </w:tc>
        <w:tc>
          <w:tcPr>
            <w:tcW w:w="1367" w:type="dxa"/>
            <w:vAlign w:val="top"/>
            <w:hideMark/>
          </w:tcPr>
          <w:p w14:paraId="687B0E1B"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Written accident prevention program and worker training.</w:t>
            </w:r>
          </w:p>
        </w:tc>
        <w:tc>
          <w:tcPr>
            <w:tcW w:w="1367" w:type="dxa"/>
            <w:vAlign w:val="top"/>
            <w:hideMark/>
          </w:tcPr>
          <w:p w14:paraId="53D91EA3"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Yes. Accident prevention program.</w:t>
            </w:r>
          </w:p>
        </w:tc>
        <w:tc>
          <w:tcPr>
            <w:tcW w:w="1367" w:type="dxa"/>
            <w:vAlign w:val="top"/>
            <w:hideMark/>
          </w:tcPr>
          <w:p w14:paraId="4B794495" w14:textId="2C6E19B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N/A</w:t>
            </w:r>
          </w:p>
        </w:tc>
        <w:tc>
          <w:tcPr>
            <w:tcW w:w="1367" w:type="dxa"/>
            <w:vAlign w:val="top"/>
            <w:hideMark/>
          </w:tcPr>
          <w:p w14:paraId="0648DB27" w14:textId="3AD811C4" w:rsidR="00DC194A" w:rsidRPr="002F64A6" w:rsidRDefault="00DC194A" w:rsidP="00E914E7">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 xml:space="preserve">Yes. </w:t>
            </w:r>
            <w:r w:rsidR="00895024" w:rsidRPr="002F64A6">
              <w:rPr>
                <w:sz w:val="13"/>
                <w:szCs w:val="13"/>
              </w:rPr>
              <w:t>Written Heat Alert Program</w:t>
            </w:r>
            <w:r w:rsidR="00BD68CE" w:rsidRPr="002F64A6">
              <w:rPr>
                <w:sz w:val="13"/>
                <w:szCs w:val="13"/>
              </w:rPr>
              <w:t>;</w:t>
            </w:r>
            <w:r w:rsidR="00895024" w:rsidRPr="002F64A6">
              <w:rPr>
                <w:sz w:val="13"/>
                <w:szCs w:val="13"/>
              </w:rPr>
              <w:t xml:space="preserve"> </w:t>
            </w:r>
            <w:r w:rsidRPr="002F64A6">
              <w:rPr>
                <w:sz w:val="13"/>
                <w:szCs w:val="13"/>
              </w:rPr>
              <w:t xml:space="preserve">record-keeping of </w:t>
            </w:r>
            <w:r w:rsidR="00BE4321" w:rsidRPr="002F64A6">
              <w:rPr>
                <w:sz w:val="13"/>
                <w:szCs w:val="13"/>
              </w:rPr>
              <w:t>heat measurements</w:t>
            </w:r>
            <w:r w:rsidR="00E914E7">
              <w:rPr>
                <w:sz w:val="13"/>
                <w:szCs w:val="13"/>
              </w:rPr>
              <w:t xml:space="preserve">, </w:t>
            </w:r>
            <w:r w:rsidRPr="002F64A6">
              <w:rPr>
                <w:sz w:val="13"/>
                <w:szCs w:val="13"/>
              </w:rPr>
              <w:t>surveillance records.</w:t>
            </w:r>
          </w:p>
        </w:tc>
        <w:tc>
          <w:tcPr>
            <w:tcW w:w="1367" w:type="dxa"/>
            <w:vAlign w:val="top"/>
            <w:hideMark/>
          </w:tcPr>
          <w:p w14:paraId="340C2489" w14:textId="77777777" w:rsidR="00DC194A" w:rsidRPr="002F64A6" w:rsidRDefault="00DC194A" w:rsidP="00E57E59">
            <w:pPr>
              <w:pStyle w:val="TableLeft"/>
              <w:cnfStyle w:val="000000100000" w:firstRow="0" w:lastRow="0" w:firstColumn="0" w:lastColumn="0" w:oddVBand="0" w:evenVBand="0" w:oddHBand="1" w:evenHBand="0" w:firstRowFirstColumn="0" w:firstRowLastColumn="0" w:lastRowFirstColumn="0" w:lastRowLastColumn="0"/>
              <w:rPr>
                <w:sz w:val="13"/>
                <w:szCs w:val="13"/>
              </w:rPr>
            </w:pPr>
            <w:r w:rsidRPr="002F64A6">
              <w:rPr>
                <w:sz w:val="13"/>
                <w:szCs w:val="13"/>
              </w:rPr>
              <w:t>No speciﬁc guidelines on record-keeping.</w:t>
            </w:r>
          </w:p>
        </w:tc>
      </w:tr>
    </w:tbl>
    <w:p w14:paraId="2EC73532" w14:textId="2402B7A1" w:rsidR="00D714B9" w:rsidRPr="002F64A6" w:rsidRDefault="00D714B9" w:rsidP="00D714B9">
      <w:pPr>
        <w:pStyle w:val="Asterisks"/>
      </w:pPr>
      <w:r w:rsidRPr="002F64A6">
        <w:t>*</w:t>
      </w:r>
      <w:r w:rsidR="00B55E3A" w:rsidRPr="002F64A6">
        <w:t xml:space="preserve"> </w:t>
      </w:r>
      <w:r w:rsidRPr="002F64A6">
        <w:t xml:space="preserve">Cal/OSHA - Title 8, Section 3395. Heat Illness Prevention. </w:t>
      </w:r>
      <w:hyperlink r:id="rId12" w:history="1">
        <w:r w:rsidR="00D04CAC" w:rsidRPr="002F64A6">
          <w:rPr>
            <w:rStyle w:val="Hyperlink"/>
          </w:rPr>
          <w:t>https://www.dir.ca.gov/title8/3395.html</w:t>
        </w:r>
      </w:hyperlink>
      <w:r w:rsidRPr="002F64A6">
        <w:t>. Accessed March 14, 2018.</w:t>
      </w:r>
    </w:p>
    <w:p w14:paraId="2926A611" w14:textId="1BBF6542" w:rsidR="00D714B9" w:rsidRPr="002F64A6" w:rsidRDefault="00D714B9" w:rsidP="00D714B9">
      <w:pPr>
        <w:pStyle w:val="Asterisks"/>
      </w:pPr>
      <w:r w:rsidRPr="002F64A6">
        <w:t>**</w:t>
      </w:r>
      <w:r w:rsidR="00B55E3A" w:rsidRPr="002F64A6">
        <w:t xml:space="preserve"> </w:t>
      </w:r>
      <w:r w:rsidRPr="002F64A6">
        <w:t>Washington State Legislature. General Occupational Health Standards. 296-62-095. Outdoor heat exposure.</w:t>
      </w:r>
      <w:r w:rsidR="00D04CAC" w:rsidRPr="002F64A6">
        <w:t xml:space="preserve"> </w:t>
      </w:r>
      <w:hyperlink r:id="rId13" w:anchor="296-62-095" w:history="1">
        <w:r w:rsidR="00D04CAC" w:rsidRPr="002F64A6">
          <w:rPr>
            <w:rStyle w:val="Hyperlink"/>
          </w:rPr>
          <w:t>http://app.leg.wa.gov/WAC/default.aspx?cite=296-62&amp;full=true#296-62-095</w:t>
        </w:r>
      </w:hyperlink>
      <w:r w:rsidRPr="002F64A6">
        <w:t>. Accessed March 14, 2018.</w:t>
      </w:r>
    </w:p>
    <w:p w14:paraId="662C431D" w14:textId="189C59C3" w:rsidR="00D714B9" w:rsidRPr="002F64A6" w:rsidRDefault="00D714B9" w:rsidP="00D714B9">
      <w:pPr>
        <w:pStyle w:val="Asterisks"/>
      </w:pPr>
      <w:r w:rsidRPr="002F64A6">
        <w:t>**</w:t>
      </w:r>
      <w:r w:rsidR="00B55E3A" w:rsidRPr="002F64A6">
        <w:t xml:space="preserve"> </w:t>
      </w:r>
      <w:r w:rsidRPr="002F64A6">
        <w:t xml:space="preserve">Minnesota Administrative Rules. 5205.0110 Indoor Ventilation and Temperature in Places of Employment. </w:t>
      </w:r>
      <w:hyperlink r:id="rId14" w:history="1">
        <w:r w:rsidR="00D04CAC" w:rsidRPr="002F64A6">
          <w:rPr>
            <w:rStyle w:val="Hyperlink"/>
          </w:rPr>
          <w:t>https://www.revisor.mn.gov/rules/?id=5205.0110</w:t>
        </w:r>
      </w:hyperlink>
      <w:r w:rsidRPr="002F64A6">
        <w:t>. Accessed March 14, 2018.</w:t>
      </w:r>
    </w:p>
    <w:p w14:paraId="10FD8E42" w14:textId="748A011C" w:rsidR="00E62746" w:rsidRPr="002F64A6" w:rsidRDefault="004C4662" w:rsidP="00C46D21">
      <w:pPr>
        <w:pStyle w:val="Asterisks"/>
      </w:pPr>
      <w:r w:rsidRPr="002F64A6">
        <w:rPr>
          <w:rFonts w:eastAsia="Times New Roman"/>
          <w:szCs w:val="18"/>
          <w:vertAlign w:val="superscript"/>
        </w:rPr>
        <w:t>†</w:t>
      </w:r>
      <w:r w:rsidR="00B55E3A" w:rsidRPr="002F64A6">
        <w:rPr>
          <w:rFonts w:eastAsia="Times New Roman"/>
          <w:szCs w:val="18"/>
          <w:vertAlign w:val="superscript"/>
        </w:rPr>
        <w:t xml:space="preserve"> </w:t>
      </w:r>
      <w:r w:rsidR="00C46D21" w:rsidRPr="002F64A6">
        <w:t>Technical Bulletin: Heat Stress Control and Heat Casualty Management. Headquarters, Department</w:t>
      </w:r>
      <w:r w:rsidR="00930F79" w:rsidRPr="002F64A6">
        <w:t>s</w:t>
      </w:r>
      <w:r w:rsidR="00C46D21" w:rsidRPr="002F64A6">
        <w:t xml:space="preserve"> of the Army and Air Force. </w:t>
      </w:r>
      <w:r w:rsidR="00F748E1" w:rsidRPr="002F64A6">
        <w:t>TB MED 507 / AFPAM 48-152 (I</w:t>
      </w:r>
      <w:r w:rsidR="00C46D21" w:rsidRPr="002F64A6">
        <w:t>). March 7, 2003</w:t>
      </w:r>
      <w:r w:rsidR="006F6C83" w:rsidRPr="002F64A6">
        <w:t>.</w:t>
      </w:r>
    </w:p>
    <w:p w14:paraId="4AAC0D8E" w14:textId="5E1CA0B2" w:rsidR="004C4662" w:rsidRPr="002F64A6" w:rsidRDefault="004C4662" w:rsidP="004C4662">
      <w:pPr>
        <w:pStyle w:val="Asterisks"/>
      </w:pPr>
      <w:r w:rsidRPr="002F64A6">
        <w:rPr>
          <w:rFonts w:eastAsia="Times New Roman"/>
          <w:szCs w:val="18"/>
          <w:vertAlign w:val="superscript"/>
        </w:rPr>
        <w:t>‡</w:t>
      </w:r>
      <w:r w:rsidR="00B55E3A" w:rsidRPr="002F64A6">
        <w:rPr>
          <w:rFonts w:eastAsia="Times New Roman"/>
          <w:szCs w:val="18"/>
          <w:vertAlign w:val="superscript"/>
        </w:rPr>
        <w:t xml:space="preserve"> </w:t>
      </w:r>
      <w:r w:rsidRPr="002F64A6">
        <w:t>NIOSH 2016 Criteria Recommendations</w:t>
      </w:r>
      <w:r w:rsidR="008E433A" w:rsidRPr="002F64A6">
        <w:t>.</w:t>
      </w:r>
    </w:p>
    <w:p w14:paraId="78D9F448" w14:textId="0E2E6E5D" w:rsidR="00D714B9" w:rsidRDefault="004C4662" w:rsidP="00D714B9">
      <w:pPr>
        <w:pStyle w:val="Asterisks"/>
      </w:pPr>
      <w:r w:rsidRPr="002F64A6">
        <w:rPr>
          <w:vertAlign w:val="superscript"/>
        </w:rPr>
        <w:t>§</w:t>
      </w:r>
      <w:r w:rsidR="00B55E3A" w:rsidRPr="002F64A6">
        <w:rPr>
          <w:vertAlign w:val="superscript"/>
        </w:rPr>
        <w:t xml:space="preserve"> </w:t>
      </w:r>
      <w:r w:rsidRPr="002F64A6">
        <w:t xml:space="preserve">ACGIH </w:t>
      </w:r>
      <w:r w:rsidR="00B03A6A">
        <w:t>2018 Threshold Limit Values</w:t>
      </w:r>
      <w:r w:rsidRPr="002F64A6">
        <w:t>.</w:t>
      </w:r>
      <w:r w:rsidR="00B03A6A">
        <w:t xml:space="preserve"> pp. </w:t>
      </w:r>
      <w:r w:rsidR="007F0487">
        <w:t>227–36.</w:t>
      </w:r>
    </w:p>
    <w:p w14:paraId="3334FC9F" w14:textId="77777777" w:rsidR="00524CF2" w:rsidRPr="002F64A6" w:rsidRDefault="00524CF2" w:rsidP="00D714B9">
      <w:pPr>
        <w:pStyle w:val="Asterisks"/>
        <w:rPr>
          <w:vertAlign w:val="superscript"/>
        </w:rPr>
      </w:pPr>
    </w:p>
    <w:p w14:paraId="02D1127D" w14:textId="7DE5B6BC" w:rsidR="00ED710D" w:rsidRPr="002F64A6" w:rsidRDefault="00ED710D" w:rsidP="00E325F1">
      <w:pPr>
        <w:pStyle w:val="L2"/>
      </w:pPr>
      <w:bookmarkStart w:id="18" w:name="_Toc517168451"/>
      <w:r w:rsidRPr="002F64A6">
        <w:lastRenderedPageBreak/>
        <w:t>California</w:t>
      </w:r>
      <w:r w:rsidR="00DB23CF">
        <w:t>’</w:t>
      </w:r>
      <w:r w:rsidRPr="002F64A6">
        <w:t xml:space="preserve">s enforcement demonstrates the critical importance of </w:t>
      </w:r>
      <w:r w:rsidR="002E71ED" w:rsidRPr="002F64A6">
        <w:t xml:space="preserve">having </w:t>
      </w:r>
      <w:r w:rsidRPr="002F64A6">
        <w:t>a heat stress standard</w:t>
      </w:r>
      <w:bookmarkEnd w:id="18"/>
    </w:p>
    <w:p w14:paraId="29BEEE9F" w14:textId="2EE90CB0"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California implemented the regulation for its standard as an emergency measure in 2005 in response to a spike in heat-related worker deaths that year,</w:t>
      </w:r>
      <w:r w:rsidRPr="002F64A6">
        <w:rPr>
          <w:rStyle w:val="FootnoteReference"/>
          <w:rFonts w:asciiTheme="majorBidi" w:hAnsiTheme="majorBidi" w:cstheme="majorBidi"/>
          <w:szCs w:val="24"/>
        </w:rPr>
        <w:footnoteReference w:id="67"/>
      </w:r>
      <w:r w:rsidRPr="002F64A6">
        <w:rPr>
          <w:rFonts w:asciiTheme="majorBidi" w:hAnsiTheme="majorBidi" w:cstheme="majorBidi"/>
          <w:szCs w:val="24"/>
        </w:rPr>
        <w:t xml:space="preserve"> and made the measure permanent in 2006.</w:t>
      </w:r>
      <w:r w:rsidRPr="002F64A6">
        <w:rPr>
          <w:rFonts w:asciiTheme="majorBidi" w:hAnsiTheme="majorBidi" w:cstheme="majorBidi"/>
          <w:szCs w:val="24"/>
          <w:vertAlign w:val="superscript"/>
        </w:rPr>
        <w:footnoteReference w:id="68"/>
      </w:r>
      <w:r w:rsidRPr="002F64A6">
        <w:rPr>
          <w:rFonts w:asciiTheme="majorBidi" w:hAnsiTheme="majorBidi" w:cstheme="majorBidi"/>
          <w:szCs w:val="24"/>
        </w:rPr>
        <w:t xml:space="preserve"> The main provisions of the standard are summarized in</w:t>
      </w:r>
      <w:r w:rsidR="00913F30" w:rsidRPr="002F64A6">
        <w:rPr>
          <w:rFonts w:asciiTheme="majorBidi" w:hAnsiTheme="majorBidi" w:cstheme="majorBidi"/>
          <w:szCs w:val="24"/>
        </w:rPr>
        <w:t xml:space="preserve"> </w:t>
      </w:r>
      <w:r w:rsidR="00913F30" w:rsidRPr="002F64A6">
        <w:rPr>
          <w:rFonts w:asciiTheme="majorBidi" w:hAnsiTheme="majorBidi" w:cstheme="majorBidi"/>
          <w:szCs w:val="24"/>
        </w:rPr>
        <w:fldChar w:fldCharType="begin"/>
      </w:r>
      <w:r w:rsidR="00913F30" w:rsidRPr="002F64A6">
        <w:rPr>
          <w:rFonts w:asciiTheme="majorBidi" w:hAnsiTheme="majorBidi" w:cstheme="majorBidi"/>
          <w:szCs w:val="24"/>
        </w:rPr>
        <w:instrText xml:space="preserve"> REF _Ref514923987 \h </w:instrText>
      </w:r>
      <w:r w:rsidR="00942E83" w:rsidRPr="002F64A6">
        <w:rPr>
          <w:rFonts w:asciiTheme="majorBidi" w:hAnsiTheme="majorBidi" w:cstheme="majorBidi"/>
          <w:szCs w:val="24"/>
        </w:rPr>
        <w:instrText xml:space="preserve"> \* MERGEFORMAT </w:instrText>
      </w:r>
      <w:r w:rsidR="00913F30" w:rsidRPr="002F64A6">
        <w:rPr>
          <w:rFonts w:asciiTheme="majorBidi" w:hAnsiTheme="majorBidi" w:cstheme="majorBidi"/>
          <w:szCs w:val="24"/>
        </w:rPr>
      </w:r>
      <w:r w:rsidR="00913F30" w:rsidRPr="002F64A6">
        <w:rPr>
          <w:rFonts w:asciiTheme="majorBidi" w:hAnsiTheme="majorBidi" w:cstheme="majorBidi"/>
          <w:szCs w:val="24"/>
        </w:rPr>
        <w:fldChar w:fldCharType="separate"/>
      </w:r>
      <w:r w:rsidR="00806F98" w:rsidRPr="002F64A6">
        <w:t xml:space="preserve">Table </w:t>
      </w:r>
      <w:r w:rsidR="00806F98">
        <w:rPr>
          <w:noProof/>
        </w:rPr>
        <w:t>1</w:t>
      </w:r>
      <w:r w:rsidR="00913F30" w:rsidRPr="002F64A6">
        <w:rPr>
          <w:rFonts w:asciiTheme="majorBidi" w:hAnsiTheme="majorBidi" w:cstheme="majorBidi"/>
          <w:szCs w:val="24"/>
        </w:rPr>
        <w:fldChar w:fldCharType="end"/>
      </w:r>
      <w:r w:rsidRPr="002F64A6">
        <w:rPr>
          <w:rFonts w:asciiTheme="majorBidi" w:hAnsiTheme="majorBidi" w:cstheme="majorBidi"/>
          <w:szCs w:val="24"/>
        </w:rPr>
        <w:t xml:space="preserve">, and include requirements for employers to: </w:t>
      </w:r>
      <w:r w:rsidR="00913F30" w:rsidRPr="002F64A6">
        <w:rPr>
          <w:rFonts w:asciiTheme="majorBidi" w:hAnsiTheme="majorBidi" w:cstheme="majorBidi"/>
          <w:szCs w:val="24"/>
        </w:rPr>
        <w:t>(</w:t>
      </w:r>
      <w:r w:rsidRPr="002F64A6">
        <w:rPr>
          <w:rFonts w:asciiTheme="majorBidi" w:hAnsiTheme="majorBidi" w:cstheme="majorBidi"/>
          <w:szCs w:val="24"/>
        </w:rPr>
        <w:t xml:space="preserve">1) provide one quart of potable drinking water per worker per hour; </w:t>
      </w:r>
      <w:r w:rsidR="00913F30" w:rsidRPr="002F64A6">
        <w:rPr>
          <w:rFonts w:asciiTheme="majorBidi" w:hAnsiTheme="majorBidi" w:cstheme="majorBidi"/>
          <w:szCs w:val="24"/>
        </w:rPr>
        <w:t>(</w:t>
      </w:r>
      <w:r w:rsidRPr="002F64A6">
        <w:rPr>
          <w:rFonts w:asciiTheme="majorBidi" w:hAnsiTheme="majorBidi" w:cstheme="majorBidi"/>
          <w:szCs w:val="24"/>
        </w:rPr>
        <w:t xml:space="preserve">2) monitor, and provide shade for, all employees on particularly hot days; </w:t>
      </w:r>
      <w:r w:rsidR="00913F30" w:rsidRPr="002F64A6">
        <w:rPr>
          <w:rFonts w:asciiTheme="majorBidi" w:hAnsiTheme="majorBidi" w:cstheme="majorBidi"/>
          <w:szCs w:val="24"/>
        </w:rPr>
        <w:t>(</w:t>
      </w:r>
      <w:r w:rsidRPr="002F64A6">
        <w:rPr>
          <w:rFonts w:asciiTheme="majorBidi" w:hAnsiTheme="majorBidi" w:cstheme="majorBidi"/>
          <w:szCs w:val="24"/>
        </w:rPr>
        <w:t xml:space="preserve">3) provide rest breaks for employees upon request; and </w:t>
      </w:r>
      <w:r w:rsidR="00913F30" w:rsidRPr="002F64A6">
        <w:rPr>
          <w:rFonts w:asciiTheme="majorBidi" w:hAnsiTheme="majorBidi" w:cstheme="majorBidi"/>
          <w:szCs w:val="24"/>
        </w:rPr>
        <w:t>(4</w:t>
      </w:r>
      <w:r w:rsidRPr="002F64A6">
        <w:rPr>
          <w:rFonts w:asciiTheme="majorBidi" w:hAnsiTheme="majorBidi" w:cstheme="majorBidi"/>
          <w:szCs w:val="24"/>
        </w:rPr>
        <w:t>) train new employees and supervisors on heat-related illness and preventive measures.</w:t>
      </w:r>
      <w:r w:rsidRPr="002F64A6">
        <w:rPr>
          <w:rFonts w:asciiTheme="majorBidi" w:hAnsiTheme="majorBidi" w:cstheme="majorBidi"/>
          <w:szCs w:val="24"/>
          <w:vertAlign w:val="superscript"/>
        </w:rPr>
        <w:footnoteReference w:id="69"/>
      </w:r>
    </w:p>
    <w:p w14:paraId="1CD51FDC" w14:textId="165F3D51"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In the first five years after implementation of California</w:t>
      </w:r>
      <w:r w:rsidR="00DB23CF">
        <w:rPr>
          <w:rFonts w:asciiTheme="majorBidi" w:hAnsiTheme="majorBidi" w:cstheme="majorBidi"/>
          <w:szCs w:val="24"/>
        </w:rPr>
        <w:t>’</w:t>
      </w:r>
      <w:r w:rsidRPr="002F64A6">
        <w:rPr>
          <w:rFonts w:asciiTheme="majorBidi" w:hAnsiTheme="majorBidi" w:cstheme="majorBidi"/>
          <w:szCs w:val="24"/>
        </w:rPr>
        <w:t>s standard in 2005, thousands of inspections were conducted, with millions of dollars in penalties assessed for violations of the standard (</w:t>
      </w:r>
      <w:r w:rsidR="00E028A0" w:rsidRPr="002F64A6">
        <w:rPr>
          <w:rFonts w:asciiTheme="majorBidi" w:hAnsiTheme="majorBidi" w:cstheme="majorBidi"/>
          <w:szCs w:val="24"/>
        </w:rPr>
        <w:fldChar w:fldCharType="begin"/>
      </w:r>
      <w:r w:rsidR="00E028A0" w:rsidRPr="002F64A6">
        <w:rPr>
          <w:rFonts w:asciiTheme="majorBidi" w:hAnsiTheme="majorBidi" w:cstheme="majorBidi"/>
          <w:szCs w:val="24"/>
        </w:rPr>
        <w:instrText xml:space="preserve"> REF _Ref514878649 \h </w:instrText>
      </w:r>
      <w:r w:rsidR="00942E83" w:rsidRPr="002F64A6">
        <w:rPr>
          <w:rFonts w:asciiTheme="majorBidi" w:hAnsiTheme="majorBidi" w:cstheme="majorBidi"/>
          <w:szCs w:val="24"/>
        </w:rPr>
        <w:instrText xml:space="preserve"> \* MERGEFORMAT </w:instrText>
      </w:r>
      <w:r w:rsidR="00E028A0" w:rsidRPr="002F64A6">
        <w:rPr>
          <w:rFonts w:asciiTheme="majorBidi" w:hAnsiTheme="majorBidi" w:cstheme="majorBidi"/>
          <w:szCs w:val="24"/>
        </w:rPr>
      </w:r>
      <w:r w:rsidR="00E028A0" w:rsidRPr="002F64A6">
        <w:rPr>
          <w:rFonts w:asciiTheme="majorBidi" w:hAnsiTheme="majorBidi" w:cstheme="majorBidi"/>
          <w:szCs w:val="24"/>
        </w:rPr>
        <w:fldChar w:fldCharType="separate"/>
      </w:r>
      <w:r w:rsidR="00806F98" w:rsidRPr="002F64A6">
        <w:t xml:space="preserve">Table </w:t>
      </w:r>
      <w:r w:rsidR="00806F98">
        <w:rPr>
          <w:noProof/>
        </w:rPr>
        <w:t>2</w:t>
      </w:r>
      <w:r w:rsidR="00E028A0" w:rsidRPr="002F64A6">
        <w:rPr>
          <w:rFonts w:asciiTheme="majorBidi" w:hAnsiTheme="majorBidi" w:cstheme="majorBidi"/>
          <w:szCs w:val="24"/>
        </w:rPr>
        <w:fldChar w:fldCharType="end"/>
      </w:r>
      <w:r w:rsidRPr="002F64A6">
        <w:rPr>
          <w:rFonts w:asciiTheme="majorBidi" w:hAnsiTheme="majorBidi" w:cstheme="majorBidi"/>
          <w:szCs w:val="24"/>
        </w:rPr>
        <w:t>). California target</w:t>
      </w:r>
      <w:r w:rsidR="00F874F5" w:rsidRPr="002F64A6">
        <w:rPr>
          <w:rFonts w:asciiTheme="majorBidi" w:hAnsiTheme="majorBidi" w:cstheme="majorBidi"/>
          <w:szCs w:val="24"/>
        </w:rPr>
        <w:t>s</w:t>
      </w:r>
      <w:r w:rsidRPr="002F64A6">
        <w:rPr>
          <w:rFonts w:asciiTheme="majorBidi" w:hAnsiTheme="majorBidi" w:cstheme="majorBidi"/>
          <w:szCs w:val="24"/>
        </w:rPr>
        <w:t xml:space="preserve"> its inspections at what </w:t>
      </w:r>
      <w:r w:rsidR="00E93370" w:rsidRPr="002F64A6">
        <w:rPr>
          <w:rFonts w:asciiTheme="majorBidi" w:hAnsiTheme="majorBidi" w:cstheme="majorBidi"/>
          <w:szCs w:val="24"/>
        </w:rPr>
        <w:t xml:space="preserve">have </w:t>
      </w:r>
      <w:r w:rsidRPr="002F64A6">
        <w:rPr>
          <w:rFonts w:asciiTheme="majorBidi" w:hAnsiTheme="majorBidi" w:cstheme="majorBidi"/>
          <w:szCs w:val="24"/>
        </w:rPr>
        <w:t xml:space="preserve">traditionally been the highest-risk industries for </w:t>
      </w:r>
      <w:r w:rsidR="002E71ED" w:rsidRPr="002F64A6">
        <w:rPr>
          <w:rFonts w:asciiTheme="majorBidi" w:hAnsiTheme="majorBidi" w:cstheme="majorBidi"/>
          <w:szCs w:val="24"/>
        </w:rPr>
        <w:t xml:space="preserve">outdoor </w:t>
      </w:r>
      <w:r w:rsidRPr="002F64A6">
        <w:rPr>
          <w:rFonts w:asciiTheme="majorBidi" w:hAnsiTheme="majorBidi" w:cstheme="majorBidi"/>
          <w:szCs w:val="24"/>
        </w:rPr>
        <w:t>heat-related injuries, the agriculture and construction sectors.</w:t>
      </w:r>
    </w:p>
    <w:p w14:paraId="7C09F78B" w14:textId="7B3B67FB" w:rsidR="00A45F3D" w:rsidRPr="002F64A6" w:rsidRDefault="00A45F3D" w:rsidP="00A45F3D">
      <w:pPr>
        <w:pStyle w:val="Caption"/>
      </w:pPr>
      <w:bookmarkStart w:id="19" w:name="_Ref514878649"/>
      <w:r w:rsidRPr="002F64A6">
        <w:t xml:space="preserve">Table </w:t>
      </w:r>
      <w:r w:rsidR="00E221DB">
        <w:fldChar w:fldCharType="begin"/>
      </w:r>
      <w:r w:rsidR="00E221DB">
        <w:instrText xml:space="preserve"> SEQ Table \* ARABIC </w:instrText>
      </w:r>
      <w:r w:rsidR="00E221DB">
        <w:fldChar w:fldCharType="separate"/>
      </w:r>
      <w:r w:rsidR="00806F98">
        <w:rPr>
          <w:noProof/>
        </w:rPr>
        <w:t>2</w:t>
      </w:r>
      <w:r w:rsidR="00E221DB">
        <w:rPr>
          <w:noProof/>
        </w:rPr>
        <w:fldChar w:fldCharType="end"/>
      </w:r>
      <w:bookmarkEnd w:id="19"/>
      <w:r w:rsidRPr="002F64A6">
        <w:t>. Cal/OSHA enforcement of its heat illness prevention</w:t>
      </w:r>
      <w:r w:rsidRPr="002F64A6">
        <w:br/>
        <w:t>standard (</w:t>
      </w:r>
      <w:r w:rsidR="00763BBE" w:rsidRPr="002F64A6">
        <w:t>p</w:t>
      </w:r>
      <w:r w:rsidRPr="002F64A6">
        <w:t>resented as obtained from Cal/OSHA)</w:t>
      </w:r>
      <w:r w:rsidRPr="002F64A6">
        <w:rPr>
          <w:vertAlign w:val="superscript"/>
        </w:rPr>
        <w:footnoteReference w:id="70"/>
      </w:r>
    </w:p>
    <w:tbl>
      <w:tblPr>
        <w:tblStyle w:val="LightShading-Accent5"/>
        <w:tblW w:w="4900" w:type="pct"/>
        <w:jc w:val="center"/>
        <w:tblLayout w:type="fixed"/>
        <w:tblLook w:val="04A0" w:firstRow="1" w:lastRow="0" w:firstColumn="1" w:lastColumn="0" w:noHBand="0" w:noVBand="1"/>
      </w:tblPr>
      <w:tblGrid>
        <w:gridCol w:w="1894"/>
        <w:gridCol w:w="1068"/>
        <w:gridCol w:w="1070"/>
        <w:gridCol w:w="1070"/>
        <w:gridCol w:w="1071"/>
        <w:gridCol w:w="1070"/>
        <w:gridCol w:w="1070"/>
        <w:gridCol w:w="1071"/>
      </w:tblGrid>
      <w:tr w:rsidR="00566736" w:rsidRPr="00566736" w14:paraId="67F7E1B4" w14:textId="77777777" w:rsidTr="008F501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F8578AA" w14:textId="77777777" w:rsidR="00566736" w:rsidRPr="00566736" w:rsidRDefault="00566736" w:rsidP="00566736">
            <w:pPr>
              <w:pStyle w:val="TableHeading"/>
            </w:pPr>
            <w:r w:rsidRPr="00566736">
              <w:t>Cal/OSHA Action</w:t>
            </w:r>
          </w:p>
        </w:tc>
        <w:tc>
          <w:tcPr>
            <w:tcW w:w="1036" w:type="dxa"/>
            <w:noWrap/>
            <w:hideMark/>
          </w:tcPr>
          <w:p w14:paraId="7E72E7EC" w14:textId="36129DFA"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05</w:t>
            </w:r>
          </w:p>
        </w:tc>
        <w:tc>
          <w:tcPr>
            <w:tcW w:w="1037" w:type="dxa"/>
            <w:noWrap/>
            <w:hideMark/>
          </w:tcPr>
          <w:p w14:paraId="19384498" w14:textId="72E8570A"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06</w:t>
            </w:r>
          </w:p>
        </w:tc>
        <w:tc>
          <w:tcPr>
            <w:tcW w:w="1037" w:type="dxa"/>
            <w:noWrap/>
            <w:hideMark/>
          </w:tcPr>
          <w:p w14:paraId="1EAC3870" w14:textId="0BCFE970"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07</w:t>
            </w:r>
          </w:p>
        </w:tc>
        <w:tc>
          <w:tcPr>
            <w:tcW w:w="1038" w:type="dxa"/>
            <w:noWrap/>
            <w:hideMark/>
          </w:tcPr>
          <w:p w14:paraId="4FFDE386" w14:textId="252483D5"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08</w:t>
            </w:r>
          </w:p>
        </w:tc>
        <w:tc>
          <w:tcPr>
            <w:tcW w:w="1037" w:type="dxa"/>
            <w:noWrap/>
            <w:hideMark/>
          </w:tcPr>
          <w:p w14:paraId="5A0E666B" w14:textId="25E9D886"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09</w:t>
            </w:r>
          </w:p>
        </w:tc>
        <w:tc>
          <w:tcPr>
            <w:tcW w:w="1037" w:type="dxa"/>
            <w:noWrap/>
            <w:hideMark/>
          </w:tcPr>
          <w:p w14:paraId="757BEF6F" w14:textId="0B13D395" w:rsidR="00566736" w:rsidRPr="00566736" w:rsidRDefault="003E4184" w:rsidP="003E4184">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10</w:t>
            </w:r>
          </w:p>
        </w:tc>
        <w:tc>
          <w:tcPr>
            <w:tcW w:w="1038" w:type="dxa"/>
            <w:noWrap/>
            <w:hideMark/>
          </w:tcPr>
          <w:p w14:paraId="2E9D69FD" w14:textId="79F33CF3" w:rsidR="00566736" w:rsidRPr="00566736" w:rsidRDefault="003E4184" w:rsidP="009C61AE">
            <w:pPr>
              <w:pStyle w:val="TableHeading"/>
              <w:cnfStyle w:val="100000000000" w:firstRow="1" w:lastRow="0" w:firstColumn="0" w:lastColumn="0" w:oddVBand="0" w:evenVBand="0" w:oddHBand="0" w:evenHBand="0" w:firstRowFirstColumn="0" w:firstRowLastColumn="0" w:lastRowFirstColumn="0" w:lastRowLastColumn="0"/>
            </w:pPr>
            <w:r>
              <w:t>20</w:t>
            </w:r>
            <w:r w:rsidR="00566736" w:rsidRPr="00566736">
              <w:t>11</w:t>
            </w:r>
          </w:p>
        </w:tc>
      </w:tr>
      <w:tr w:rsidR="00566736" w:rsidRPr="00566736" w14:paraId="49EDA58E" w14:textId="77777777" w:rsidTr="008F50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2B9AAB94" w14:textId="3AEE4FF6" w:rsidR="00566736" w:rsidRPr="00566736" w:rsidRDefault="00566736" w:rsidP="007202BD">
            <w:pPr>
              <w:pStyle w:val="TableLeft"/>
              <w:rPr>
                <w:sz w:val="18"/>
                <w:szCs w:val="18"/>
              </w:rPr>
            </w:pPr>
            <w:r w:rsidRPr="00566736">
              <w:rPr>
                <w:sz w:val="18"/>
                <w:szCs w:val="18"/>
              </w:rPr>
              <w:t>Inspections coded S18 Heat</w:t>
            </w:r>
            <w:r w:rsidR="009C61AE">
              <w:rPr>
                <w:b/>
                <w:bCs/>
                <w:sz w:val="18"/>
                <w:szCs w:val="18"/>
              </w:rPr>
              <w:t>*</w:t>
            </w:r>
          </w:p>
        </w:tc>
        <w:tc>
          <w:tcPr>
            <w:tcW w:w="1036" w:type="dxa"/>
            <w:noWrap/>
            <w:hideMark/>
          </w:tcPr>
          <w:p w14:paraId="67B529E6"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39</w:t>
            </w:r>
          </w:p>
        </w:tc>
        <w:tc>
          <w:tcPr>
            <w:tcW w:w="1037" w:type="dxa"/>
            <w:noWrap/>
            <w:hideMark/>
          </w:tcPr>
          <w:p w14:paraId="2C15544B"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234</w:t>
            </w:r>
          </w:p>
        </w:tc>
        <w:tc>
          <w:tcPr>
            <w:tcW w:w="1037" w:type="dxa"/>
            <w:noWrap/>
            <w:hideMark/>
          </w:tcPr>
          <w:p w14:paraId="494F7EC3" w14:textId="2F5951D2"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018</w:t>
            </w:r>
          </w:p>
        </w:tc>
        <w:tc>
          <w:tcPr>
            <w:tcW w:w="1038" w:type="dxa"/>
            <w:noWrap/>
            <w:hideMark/>
          </w:tcPr>
          <w:p w14:paraId="09BEDD8E" w14:textId="10A4A4D5"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586</w:t>
            </w:r>
          </w:p>
        </w:tc>
        <w:tc>
          <w:tcPr>
            <w:tcW w:w="1037" w:type="dxa"/>
            <w:noWrap/>
            <w:hideMark/>
          </w:tcPr>
          <w:p w14:paraId="7A463479" w14:textId="1754340E"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574</w:t>
            </w:r>
          </w:p>
        </w:tc>
        <w:tc>
          <w:tcPr>
            <w:tcW w:w="1037" w:type="dxa"/>
            <w:noWrap/>
            <w:hideMark/>
          </w:tcPr>
          <w:p w14:paraId="72580662" w14:textId="145DCB2A"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183</w:t>
            </w:r>
          </w:p>
        </w:tc>
        <w:tc>
          <w:tcPr>
            <w:tcW w:w="1038" w:type="dxa"/>
            <w:noWrap/>
            <w:hideMark/>
          </w:tcPr>
          <w:p w14:paraId="35F9C454" w14:textId="6D47C812"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265</w:t>
            </w:r>
          </w:p>
        </w:tc>
      </w:tr>
      <w:tr w:rsidR="00566736" w:rsidRPr="00566736" w14:paraId="35A364B8" w14:textId="77777777" w:rsidTr="008F501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3CF506A9" w14:textId="610AE4AA" w:rsidR="00566736" w:rsidRPr="00566736" w:rsidRDefault="00566736" w:rsidP="009C61AE">
            <w:pPr>
              <w:pStyle w:val="TableLeft"/>
              <w:rPr>
                <w:color w:val="FF0000"/>
                <w:sz w:val="18"/>
                <w:szCs w:val="18"/>
              </w:rPr>
            </w:pPr>
            <w:r w:rsidRPr="00566736">
              <w:rPr>
                <w:sz w:val="18"/>
                <w:szCs w:val="18"/>
              </w:rPr>
              <w:t xml:space="preserve">Inspections w/ </w:t>
            </w:r>
            <w:r>
              <w:rPr>
                <w:sz w:val="18"/>
                <w:szCs w:val="18"/>
              </w:rPr>
              <w:t>§ </w:t>
            </w:r>
            <w:r w:rsidRPr="00566736">
              <w:rPr>
                <w:sz w:val="18"/>
                <w:szCs w:val="18"/>
              </w:rPr>
              <w:t>3395 violations</w:t>
            </w:r>
            <w:r w:rsidR="006B71B5">
              <w:rPr>
                <w:sz w:val="18"/>
                <w:szCs w:val="18"/>
              </w:rPr>
              <w:t>**</w:t>
            </w:r>
          </w:p>
        </w:tc>
        <w:tc>
          <w:tcPr>
            <w:tcW w:w="1036" w:type="dxa"/>
            <w:noWrap/>
            <w:hideMark/>
          </w:tcPr>
          <w:p w14:paraId="1F0D6593"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w:t>
            </w:r>
          </w:p>
        </w:tc>
        <w:tc>
          <w:tcPr>
            <w:tcW w:w="1037" w:type="dxa"/>
            <w:noWrap/>
            <w:hideMark/>
          </w:tcPr>
          <w:p w14:paraId="5FFE8C9F"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158</w:t>
            </w:r>
          </w:p>
        </w:tc>
        <w:tc>
          <w:tcPr>
            <w:tcW w:w="1037" w:type="dxa"/>
            <w:noWrap/>
            <w:hideMark/>
          </w:tcPr>
          <w:p w14:paraId="43658FE5"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490</w:t>
            </w:r>
          </w:p>
        </w:tc>
        <w:tc>
          <w:tcPr>
            <w:tcW w:w="1038" w:type="dxa"/>
            <w:noWrap/>
            <w:hideMark/>
          </w:tcPr>
          <w:p w14:paraId="2A4E1FC1"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899</w:t>
            </w:r>
          </w:p>
        </w:tc>
        <w:tc>
          <w:tcPr>
            <w:tcW w:w="1037" w:type="dxa"/>
            <w:noWrap/>
            <w:hideMark/>
          </w:tcPr>
          <w:p w14:paraId="1225079B"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935</w:t>
            </w:r>
          </w:p>
        </w:tc>
        <w:tc>
          <w:tcPr>
            <w:tcW w:w="1037" w:type="dxa"/>
            <w:noWrap/>
            <w:hideMark/>
          </w:tcPr>
          <w:p w14:paraId="31A18CA4"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788</w:t>
            </w:r>
          </w:p>
        </w:tc>
        <w:tc>
          <w:tcPr>
            <w:tcW w:w="1038" w:type="dxa"/>
            <w:noWrap/>
            <w:hideMark/>
          </w:tcPr>
          <w:p w14:paraId="1D9D466C"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195</w:t>
            </w:r>
          </w:p>
        </w:tc>
      </w:tr>
      <w:tr w:rsidR="00566736" w:rsidRPr="00566736" w14:paraId="509D9F16" w14:textId="77777777" w:rsidTr="008F50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585BA542" w14:textId="3FD19605" w:rsidR="00566736" w:rsidRPr="00566736" w:rsidRDefault="00566736" w:rsidP="00566736">
            <w:pPr>
              <w:pStyle w:val="TableLeft"/>
              <w:rPr>
                <w:color w:val="0000FF"/>
                <w:sz w:val="18"/>
                <w:szCs w:val="18"/>
              </w:rPr>
            </w:pPr>
            <w:r>
              <w:rPr>
                <w:sz w:val="18"/>
                <w:szCs w:val="18"/>
              </w:rPr>
              <w:t>Citations for v</w:t>
            </w:r>
            <w:r w:rsidRPr="00566736">
              <w:rPr>
                <w:sz w:val="18"/>
                <w:szCs w:val="18"/>
              </w:rPr>
              <w:t xml:space="preserve">iolations </w:t>
            </w:r>
            <w:r>
              <w:rPr>
                <w:sz w:val="18"/>
                <w:szCs w:val="18"/>
              </w:rPr>
              <w:t>of § 3395</w:t>
            </w:r>
          </w:p>
        </w:tc>
        <w:tc>
          <w:tcPr>
            <w:tcW w:w="1036" w:type="dxa"/>
            <w:noWrap/>
            <w:hideMark/>
          </w:tcPr>
          <w:p w14:paraId="4EDFBA94"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p>
        </w:tc>
        <w:tc>
          <w:tcPr>
            <w:tcW w:w="1037" w:type="dxa"/>
            <w:noWrap/>
            <w:hideMark/>
          </w:tcPr>
          <w:p w14:paraId="7805A54A"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136</w:t>
            </w:r>
          </w:p>
        </w:tc>
        <w:tc>
          <w:tcPr>
            <w:tcW w:w="1037" w:type="dxa"/>
            <w:noWrap/>
            <w:hideMark/>
          </w:tcPr>
          <w:p w14:paraId="0BA30CCF"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614</w:t>
            </w:r>
          </w:p>
        </w:tc>
        <w:tc>
          <w:tcPr>
            <w:tcW w:w="1038" w:type="dxa"/>
            <w:noWrap/>
            <w:hideMark/>
          </w:tcPr>
          <w:p w14:paraId="092F1DAC" w14:textId="75D3551E"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121</w:t>
            </w:r>
          </w:p>
        </w:tc>
        <w:tc>
          <w:tcPr>
            <w:tcW w:w="1037" w:type="dxa"/>
            <w:noWrap/>
            <w:hideMark/>
          </w:tcPr>
          <w:p w14:paraId="6F91F2FF" w14:textId="47756665"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163</w:t>
            </w:r>
          </w:p>
        </w:tc>
        <w:tc>
          <w:tcPr>
            <w:tcW w:w="1037" w:type="dxa"/>
            <w:noWrap/>
            <w:hideMark/>
          </w:tcPr>
          <w:p w14:paraId="4D242496"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957</w:t>
            </w:r>
          </w:p>
        </w:tc>
        <w:tc>
          <w:tcPr>
            <w:tcW w:w="1038" w:type="dxa"/>
            <w:noWrap/>
            <w:hideMark/>
          </w:tcPr>
          <w:p w14:paraId="7E9C6362"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349</w:t>
            </w:r>
          </w:p>
        </w:tc>
      </w:tr>
      <w:tr w:rsidR="00566736" w:rsidRPr="00566736" w14:paraId="5C10B22A" w14:textId="77777777" w:rsidTr="008F5011">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49ECEBD4" w14:textId="66162901" w:rsidR="00566736" w:rsidRPr="00566736" w:rsidRDefault="00566736" w:rsidP="00566736">
            <w:pPr>
              <w:pStyle w:val="TableLeft"/>
              <w:rPr>
                <w:sz w:val="18"/>
                <w:szCs w:val="18"/>
              </w:rPr>
            </w:pPr>
            <w:r>
              <w:rPr>
                <w:sz w:val="18"/>
                <w:szCs w:val="18"/>
              </w:rPr>
              <w:t>Assessed initial penalties</w:t>
            </w:r>
          </w:p>
        </w:tc>
        <w:tc>
          <w:tcPr>
            <w:tcW w:w="1036" w:type="dxa"/>
            <w:noWrap/>
            <w:hideMark/>
          </w:tcPr>
          <w:p w14:paraId="211FFFE1"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$7,085 </w:t>
            </w:r>
          </w:p>
        </w:tc>
        <w:tc>
          <w:tcPr>
            <w:tcW w:w="1037" w:type="dxa"/>
            <w:noWrap/>
            <w:hideMark/>
          </w:tcPr>
          <w:p w14:paraId="63A828BD"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$535,140 </w:t>
            </w:r>
          </w:p>
        </w:tc>
        <w:tc>
          <w:tcPr>
            <w:tcW w:w="1037" w:type="dxa"/>
            <w:noWrap/>
            <w:hideMark/>
          </w:tcPr>
          <w:p w14:paraId="452FB7DF"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$822,990 </w:t>
            </w:r>
          </w:p>
        </w:tc>
        <w:tc>
          <w:tcPr>
            <w:tcW w:w="1038" w:type="dxa"/>
            <w:noWrap/>
            <w:hideMark/>
          </w:tcPr>
          <w:p w14:paraId="52ADBE5A"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$1,775,071 </w:t>
            </w:r>
          </w:p>
        </w:tc>
        <w:tc>
          <w:tcPr>
            <w:tcW w:w="1037" w:type="dxa"/>
            <w:noWrap/>
            <w:hideMark/>
          </w:tcPr>
          <w:p w14:paraId="6E6C6273"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$1,041,527 </w:t>
            </w:r>
          </w:p>
        </w:tc>
        <w:tc>
          <w:tcPr>
            <w:tcW w:w="1037" w:type="dxa"/>
            <w:noWrap/>
            <w:hideMark/>
          </w:tcPr>
          <w:p w14:paraId="4F09DB39"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$578,995 </w:t>
            </w:r>
          </w:p>
        </w:tc>
        <w:tc>
          <w:tcPr>
            <w:tcW w:w="1038" w:type="dxa"/>
            <w:noWrap/>
            <w:hideMark/>
          </w:tcPr>
          <w:p w14:paraId="482C06E1" w14:textId="77777777" w:rsidR="00566736" w:rsidRPr="00566736" w:rsidRDefault="00566736" w:rsidP="00566736">
            <w:pPr>
              <w:spacing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 xml:space="preserve">$152,890 </w:t>
            </w:r>
          </w:p>
        </w:tc>
      </w:tr>
      <w:tr w:rsidR="00566736" w:rsidRPr="00566736" w14:paraId="7EF0450E" w14:textId="77777777" w:rsidTr="008F501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837" w:type="dxa"/>
            <w:noWrap/>
            <w:hideMark/>
          </w:tcPr>
          <w:p w14:paraId="078FD997" w14:textId="4BC953A7" w:rsidR="00566736" w:rsidRPr="00566736" w:rsidRDefault="00566736" w:rsidP="00294989">
            <w:pPr>
              <w:pStyle w:val="TableLeft"/>
              <w:rPr>
                <w:sz w:val="18"/>
                <w:szCs w:val="18"/>
              </w:rPr>
            </w:pPr>
            <w:r w:rsidRPr="00566736">
              <w:rPr>
                <w:sz w:val="18"/>
                <w:szCs w:val="18"/>
              </w:rPr>
              <w:t>Heat outreach (enforcement</w:t>
            </w:r>
            <w:r>
              <w:rPr>
                <w:sz w:val="18"/>
                <w:szCs w:val="18"/>
              </w:rPr>
              <w:t xml:space="preserve">, </w:t>
            </w:r>
            <w:r w:rsidRPr="00566736">
              <w:rPr>
                <w:sz w:val="18"/>
                <w:szCs w:val="18"/>
              </w:rPr>
              <w:t>consultation)</w:t>
            </w:r>
            <w:r w:rsidRPr="00566736">
              <w:rPr>
                <w:b/>
                <w:bCs/>
                <w:sz w:val="18"/>
                <w:szCs w:val="18"/>
              </w:rPr>
              <w:t>***</w:t>
            </w:r>
          </w:p>
        </w:tc>
        <w:tc>
          <w:tcPr>
            <w:tcW w:w="1036" w:type="dxa"/>
            <w:noWrap/>
            <w:hideMark/>
          </w:tcPr>
          <w:p w14:paraId="349B31A6"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14</w:t>
            </w:r>
          </w:p>
        </w:tc>
        <w:tc>
          <w:tcPr>
            <w:tcW w:w="1037" w:type="dxa"/>
            <w:noWrap/>
            <w:hideMark/>
          </w:tcPr>
          <w:p w14:paraId="40CC8532"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96</w:t>
            </w:r>
          </w:p>
        </w:tc>
        <w:tc>
          <w:tcPr>
            <w:tcW w:w="1037" w:type="dxa"/>
            <w:noWrap/>
            <w:hideMark/>
          </w:tcPr>
          <w:p w14:paraId="011EAB7B" w14:textId="77777777"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284</w:t>
            </w:r>
          </w:p>
        </w:tc>
        <w:tc>
          <w:tcPr>
            <w:tcW w:w="1038" w:type="dxa"/>
            <w:noWrap/>
            <w:hideMark/>
          </w:tcPr>
          <w:p w14:paraId="10A538C5" w14:textId="612AF4F0"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145</w:t>
            </w:r>
          </w:p>
        </w:tc>
        <w:tc>
          <w:tcPr>
            <w:tcW w:w="1037" w:type="dxa"/>
            <w:noWrap/>
            <w:hideMark/>
          </w:tcPr>
          <w:p w14:paraId="2D7FA20E" w14:textId="7D73D1F9"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562</w:t>
            </w:r>
          </w:p>
        </w:tc>
        <w:tc>
          <w:tcPr>
            <w:tcW w:w="1037" w:type="dxa"/>
            <w:noWrap/>
            <w:hideMark/>
          </w:tcPr>
          <w:p w14:paraId="1478B2D1" w14:textId="5F4B272E"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2</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482</w:t>
            </w:r>
          </w:p>
        </w:tc>
        <w:tc>
          <w:tcPr>
            <w:tcW w:w="1038" w:type="dxa"/>
            <w:noWrap/>
            <w:hideMark/>
          </w:tcPr>
          <w:p w14:paraId="7570AED6" w14:textId="7DE60C53" w:rsidR="00566736" w:rsidRPr="00566736" w:rsidRDefault="00566736" w:rsidP="00566736">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Arial"/>
                <w:color w:val="000000"/>
                <w:sz w:val="18"/>
                <w:szCs w:val="18"/>
              </w:rPr>
            </w:pPr>
            <w:r w:rsidRPr="00566736">
              <w:rPr>
                <w:rFonts w:ascii="Calibri" w:eastAsia="Times New Roman" w:hAnsi="Calibri" w:cs="Arial"/>
                <w:color w:val="000000"/>
                <w:sz w:val="18"/>
                <w:szCs w:val="18"/>
              </w:rPr>
              <w:t>1</w:t>
            </w:r>
            <w:r w:rsidR="00AB07B7">
              <w:rPr>
                <w:rFonts w:ascii="Calibri" w:eastAsia="Times New Roman" w:hAnsi="Calibri" w:cs="Arial"/>
                <w:color w:val="000000"/>
                <w:sz w:val="18"/>
                <w:szCs w:val="18"/>
              </w:rPr>
              <w:t>,</w:t>
            </w:r>
            <w:r w:rsidRPr="00566736">
              <w:rPr>
                <w:rFonts w:ascii="Calibri" w:eastAsia="Times New Roman" w:hAnsi="Calibri" w:cs="Arial"/>
                <w:color w:val="000000"/>
                <w:sz w:val="18"/>
                <w:szCs w:val="18"/>
              </w:rPr>
              <w:t>065</w:t>
            </w:r>
          </w:p>
        </w:tc>
      </w:tr>
    </w:tbl>
    <w:p w14:paraId="234C1FAA" w14:textId="4B9A169E" w:rsidR="006B71B5" w:rsidRDefault="00ED710D" w:rsidP="00E94402">
      <w:pPr>
        <w:pStyle w:val="Asterisks"/>
      </w:pPr>
      <w:r w:rsidRPr="002F64A6">
        <w:t xml:space="preserve">* Inspections </w:t>
      </w:r>
      <w:r w:rsidR="00DB23CF">
        <w:t>“</w:t>
      </w:r>
      <w:r w:rsidRPr="002F64A6">
        <w:t>coded S 18 Heat</w:t>
      </w:r>
      <w:r w:rsidR="00DB23CF">
        <w:t>”</w:t>
      </w:r>
      <w:r w:rsidRPr="002F64A6">
        <w:t xml:space="preserve"> refer to t</w:t>
      </w:r>
      <w:r w:rsidR="006B71B5">
        <w:t>he total number of inspections.</w:t>
      </w:r>
    </w:p>
    <w:p w14:paraId="139E8FE8" w14:textId="69F59852" w:rsidR="00ED710D" w:rsidRPr="002F64A6" w:rsidRDefault="006B71B5" w:rsidP="00E94402">
      <w:pPr>
        <w:pStyle w:val="Asterisks"/>
      </w:pPr>
      <w:r>
        <w:t xml:space="preserve">** </w:t>
      </w:r>
      <w:r w:rsidR="00ED710D" w:rsidRPr="002F64A6">
        <w:t xml:space="preserve">Inspections resulting in at least one violation of the heat standard (§ 3395). The number of </w:t>
      </w:r>
      <w:r w:rsidR="008F5011">
        <w:t>§ </w:t>
      </w:r>
      <w:r w:rsidR="00ED710D" w:rsidRPr="002F64A6">
        <w:t xml:space="preserve">3395 violations cited is generally higher than the number of inspections with 3395 violations, </w:t>
      </w:r>
      <w:r w:rsidR="008F5011">
        <w:t xml:space="preserve">a single inspection may yield multiple citations. </w:t>
      </w:r>
      <w:r w:rsidR="00D136C6">
        <w:t xml:space="preserve">For </w:t>
      </w:r>
      <w:r w:rsidR="008F5011">
        <w:t xml:space="preserve">some </w:t>
      </w:r>
      <w:r w:rsidR="00D136C6">
        <w:t xml:space="preserve">years, </w:t>
      </w:r>
      <w:r w:rsidR="008F5011">
        <w:t xml:space="preserve">the number of citations is lower </w:t>
      </w:r>
      <w:r w:rsidR="00D136C6">
        <w:t>than inspections due to a time lag between inspections and citations</w:t>
      </w:r>
      <w:r w:rsidR="00ED710D" w:rsidRPr="002F64A6">
        <w:t>.</w:t>
      </w:r>
    </w:p>
    <w:p w14:paraId="45037339" w14:textId="6435C0C6" w:rsidR="00ED710D" w:rsidRPr="002F64A6" w:rsidRDefault="00ED710D" w:rsidP="00E94402">
      <w:pPr>
        <w:pStyle w:val="Asterisks"/>
      </w:pPr>
      <w:r w:rsidRPr="002F64A6">
        <w:t>*** Cal/OSHA Consultation heat illness outreach activities for CY 2008</w:t>
      </w:r>
      <w:r w:rsidR="00B644C3" w:rsidRPr="002F64A6">
        <w:t>–</w:t>
      </w:r>
      <w:r w:rsidRPr="002F64A6">
        <w:t>2011 include workshops, seminars, training related to on-sites, etc.</w:t>
      </w:r>
    </w:p>
    <w:p w14:paraId="653B484D" w14:textId="09E26EE6" w:rsidR="00ED710D" w:rsidRPr="002F64A6" w:rsidRDefault="00C00BA2" w:rsidP="0011036D">
      <w:r w:rsidRPr="002F64A6">
        <w:t>Despite the absence of a federal heat standard, OSHA can cite companies for heat stress violations under its General Duty Clause</w:t>
      </w:r>
      <w:r w:rsidR="00B955A8" w:rsidRPr="002F64A6">
        <w:t xml:space="preserve"> (GDC)</w:t>
      </w:r>
      <w:r w:rsidRPr="002F64A6">
        <w:t xml:space="preserve">. </w:t>
      </w:r>
      <w:r w:rsidR="00ED710D" w:rsidRPr="002F64A6">
        <w:t xml:space="preserve">As seen in </w:t>
      </w:r>
      <w:r w:rsidR="00543D28" w:rsidRPr="002F64A6">
        <w:fldChar w:fldCharType="begin"/>
      </w:r>
      <w:r w:rsidR="00543D28" w:rsidRPr="002F64A6">
        <w:instrText xml:space="preserve"> REF _Ref514878675 \h </w:instrText>
      </w:r>
      <w:r w:rsidR="00942E83" w:rsidRPr="002F64A6">
        <w:instrText xml:space="preserve"> \* MERGEFORMAT </w:instrText>
      </w:r>
      <w:r w:rsidR="00543D28" w:rsidRPr="002F64A6">
        <w:fldChar w:fldCharType="separate"/>
      </w:r>
      <w:r w:rsidR="00806F98" w:rsidRPr="002F64A6">
        <w:t xml:space="preserve">Table </w:t>
      </w:r>
      <w:r w:rsidR="00806F98">
        <w:rPr>
          <w:noProof/>
        </w:rPr>
        <w:t>3</w:t>
      </w:r>
      <w:r w:rsidR="00543D28" w:rsidRPr="002F64A6">
        <w:fldChar w:fldCharType="end"/>
      </w:r>
      <w:r w:rsidR="00ED710D" w:rsidRPr="002F64A6">
        <w:t xml:space="preserve">, in the first six </w:t>
      </w:r>
      <w:r w:rsidR="009278F1" w:rsidRPr="002F64A6">
        <w:t xml:space="preserve">calendar </w:t>
      </w:r>
      <w:r w:rsidR="00ED710D" w:rsidRPr="002F64A6">
        <w:t>years after enactment of its outdoor heat standard (200</w:t>
      </w:r>
      <w:r w:rsidR="00680DDF" w:rsidRPr="002F64A6">
        <w:t>6</w:t>
      </w:r>
      <w:r w:rsidR="003900E0">
        <w:t>–</w:t>
      </w:r>
      <w:r w:rsidR="00ED710D" w:rsidRPr="002F64A6">
        <w:t xml:space="preserve">2011), California conducted </w:t>
      </w:r>
      <w:r w:rsidR="003E3182">
        <w:t xml:space="preserve">over </w:t>
      </w:r>
      <w:r w:rsidR="00ED710D" w:rsidRPr="002F64A6">
        <w:t>13</w:t>
      </w:r>
      <w:r w:rsidR="002267EE" w:rsidRPr="002F64A6">
        <w:t>3</w:t>
      </w:r>
      <w:r w:rsidR="00ED710D" w:rsidRPr="002F64A6">
        <w:t xml:space="preserve"> </w:t>
      </w:r>
      <w:r w:rsidR="00ED710D" w:rsidRPr="002F64A6">
        <w:lastRenderedPageBreak/>
        <w:t>times more inspections resulting in a citation for unsafe heat exposure practices than OSHA during the same period. This alarming disparity clearly shows why a specific, enforceable heat standard is urgently needed on a federal level</w:t>
      </w:r>
      <w:r w:rsidR="007F5FDE" w:rsidRPr="002F64A6">
        <w:t xml:space="preserve">, rather than </w:t>
      </w:r>
      <w:r w:rsidR="00A039BA" w:rsidRPr="002D7042">
        <w:t xml:space="preserve">relying on </w:t>
      </w:r>
      <w:r w:rsidR="007F5FDE" w:rsidRPr="002F64A6">
        <w:t xml:space="preserve">the relatively ineffective </w:t>
      </w:r>
      <w:r w:rsidR="007F5FDE" w:rsidRPr="002D7042">
        <w:t xml:space="preserve">OSHA </w:t>
      </w:r>
      <w:r w:rsidR="00B955A8" w:rsidRPr="002D7042">
        <w:t>GDC</w:t>
      </w:r>
      <w:r w:rsidR="00ED710D" w:rsidRPr="002F64A6">
        <w:t>.</w:t>
      </w:r>
      <w:r w:rsidR="007F5FDE" w:rsidRPr="002F64A6">
        <w:t xml:space="preserve"> Th</w:t>
      </w:r>
      <w:r w:rsidR="00A039BA" w:rsidRPr="002D7042">
        <w:t>is</w:t>
      </w:r>
      <w:r w:rsidR="007F5FDE" w:rsidRPr="002F64A6">
        <w:t xml:space="preserve"> </w:t>
      </w:r>
      <w:r w:rsidR="00A039BA" w:rsidRPr="002D7042">
        <w:t xml:space="preserve">disparity between </w:t>
      </w:r>
      <w:r w:rsidR="004924BE" w:rsidRPr="002D7042">
        <w:t xml:space="preserve">the </w:t>
      </w:r>
      <w:r w:rsidR="007F5FDE" w:rsidRPr="002F64A6">
        <w:t>Cal</w:t>
      </w:r>
      <w:r w:rsidR="00A039BA" w:rsidRPr="002D7042">
        <w:t>ifornia</w:t>
      </w:r>
      <w:r w:rsidR="00DB23CF">
        <w:t>’</w:t>
      </w:r>
      <w:r w:rsidR="004924BE" w:rsidRPr="002D7042">
        <w:t>s</w:t>
      </w:r>
      <w:r w:rsidR="00A039BA" w:rsidRPr="002D7042">
        <w:t xml:space="preserve"> </w:t>
      </w:r>
      <w:r w:rsidR="004924BE" w:rsidRPr="002D7042">
        <w:t xml:space="preserve">state OSHA (Cal/OSHA) </w:t>
      </w:r>
      <w:r w:rsidR="00A039BA" w:rsidRPr="002D7042">
        <w:t xml:space="preserve">and </w:t>
      </w:r>
      <w:r w:rsidR="004924BE" w:rsidRPr="002D7042">
        <w:t>the F</w:t>
      </w:r>
      <w:r w:rsidR="007F5FDE" w:rsidRPr="002F64A6">
        <w:t xml:space="preserve">ederal OSHA </w:t>
      </w:r>
      <w:r w:rsidR="00A039BA" w:rsidRPr="002D7042">
        <w:t>is even more striking given</w:t>
      </w:r>
      <w:r w:rsidR="007F5FDE" w:rsidRPr="002F64A6">
        <w:t xml:space="preserve"> that California represents only one-eighth of the U.S population.</w:t>
      </w:r>
    </w:p>
    <w:p w14:paraId="45CE6A0E" w14:textId="324932E2" w:rsidR="00F33A54" w:rsidRPr="002F64A6" w:rsidRDefault="00AD2647" w:rsidP="00F1187A">
      <w:pPr>
        <w:pStyle w:val="Caption"/>
      </w:pPr>
      <w:bookmarkStart w:id="20" w:name="_Ref514878675"/>
      <w:r w:rsidRPr="002F64A6">
        <w:t xml:space="preserve">Table </w:t>
      </w:r>
      <w:r w:rsidR="00E221DB">
        <w:fldChar w:fldCharType="begin"/>
      </w:r>
      <w:r w:rsidR="00E221DB">
        <w:instrText xml:space="preserve"> SEQ Table \* ARABIC </w:instrText>
      </w:r>
      <w:r w:rsidR="00E221DB">
        <w:fldChar w:fldCharType="separate"/>
      </w:r>
      <w:r w:rsidR="00806F98">
        <w:rPr>
          <w:noProof/>
        </w:rPr>
        <w:t>3</w:t>
      </w:r>
      <w:r w:rsidR="00E221DB">
        <w:rPr>
          <w:noProof/>
        </w:rPr>
        <w:fldChar w:fldCharType="end"/>
      </w:r>
      <w:bookmarkEnd w:id="20"/>
      <w:r w:rsidRPr="002F64A6">
        <w:t>. Number of inspections resulting in at least one citation</w:t>
      </w:r>
      <w:r w:rsidRPr="002F64A6">
        <w:br/>
        <w:t>for unsafe heat exposure practices, 2006–2011</w:t>
      </w:r>
    </w:p>
    <w:tbl>
      <w:tblPr>
        <w:tblW w:w="7200" w:type="dxa"/>
        <w:jc w:val="center"/>
        <w:tblLayout w:type="fixed"/>
        <w:tblLook w:val="04A0" w:firstRow="1" w:lastRow="0" w:firstColumn="1" w:lastColumn="0" w:noHBand="0" w:noVBand="1"/>
      </w:tblPr>
      <w:tblGrid>
        <w:gridCol w:w="2400"/>
        <w:gridCol w:w="2400"/>
        <w:gridCol w:w="2400"/>
      </w:tblGrid>
      <w:tr w:rsidR="00ED365A" w:rsidRPr="002F64A6" w14:paraId="6A035589" w14:textId="77777777" w:rsidTr="007172E6">
        <w:trPr>
          <w:trHeight w:val="300"/>
          <w:jc w:val="center"/>
        </w:trPr>
        <w:tc>
          <w:tcPr>
            <w:tcW w:w="2400" w:type="dxa"/>
            <w:tcBorders>
              <w:top w:val="nil"/>
              <w:left w:val="nil"/>
              <w:bottom w:val="single" w:sz="12" w:space="0" w:color="FFFFFF"/>
              <w:right w:val="single" w:sz="4" w:space="0" w:color="FFFFFF"/>
            </w:tcBorders>
            <w:shd w:val="clear" w:color="4F81BD" w:fill="4F81BD"/>
            <w:vAlign w:val="bottom"/>
            <w:hideMark/>
          </w:tcPr>
          <w:p w14:paraId="027E265B" w14:textId="77777777" w:rsidR="00ED365A" w:rsidRPr="002F64A6" w:rsidRDefault="00ED365A" w:rsidP="00050CBF">
            <w:pPr>
              <w:pStyle w:val="TableHeading"/>
            </w:pPr>
            <w:r w:rsidRPr="002F64A6">
              <w:t>Calendar Year</w:t>
            </w:r>
          </w:p>
        </w:tc>
        <w:tc>
          <w:tcPr>
            <w:tcW w:w="2400" w:type="dxa"/>
            <w:tcBorders>
              <w:top w:val="nil"/>
              <w:left w:val="single" w:sz="4" w:space="0" w:color="FFFFFF"/>
              <w:bottom w:val="single" w:sz="12" w:space="0" w:color="FFFFFF"/>
              <w:right w:val="single" w:sz="4" w:space="0" w:color="FFFFFF"/>
            </w:tcBorders>
            <w:shd w:val="clear" w:color="4F81BD" w:fill="4F81BD"/>
            <w:vAlign w:val="bottom"/>
            <w:hideMark/>
          </w:tcPr>
          <w:p w14:paraId="3C9223C9" w14:textId="2416E36E" w:rsidR="00ED365A" w:rsidRPr="002F64A6" w:rsidRDefault="00ED365A" w:rsidP="00050CBF">
            <w:pPr>
              <w:pStyle w:val="TableHeading"/>
              <w:rPr>
                <w:vertAlign w:val="superscript"/>
              </w:rPr>
            </w:pPr>
            <w:r w:rsidRPr="002F64A6">
              <w:t>Cal/OSHA</w:t>
            </w:r>
            <w:r w:rsidR="001055A0" w:rsidRPr="002F64A6">
              <w:rPr>
                <w:vertAlign w:val="superscript"/>
              </w:rPr>
              <w:t>*</w:t>
            </w:r>
          </w:p>
        </w:tc>
        <w:tc>
          <w:tcPr>
            <w:tcW w:w="2400" w:type="dxa"/>
            <w:tcBorders>
              <w:top w:val="nil"/>
              <w:left w:val="single" w:sz="4" w:space="0" w:color="FFFFFF"/>
              <w:bottom w:val="single" w:sz="12" w:space="0" w:color="FFFFFF"/>
              <w:right w:val="nil"/>
            </w:tcBorders>
            <w:shd w:val="clear" w:color="4F81BD" w:fill="4F81BD"/>
            <w:vAlign w:val="bottom"/>
            <w:hideMark/>
          </w:tcPr>
          <w:p w14:paraId="4D73AEBD" w14:textId="63605B6D" w:rsidR="00ED365A" w:rsidRPr="002F64A6" w:rsidRDefault="00ED365A" w:rsidP="00050CBF">
            <w:pPr>
              <w:pStyle w:val="TableHeading"/>
              <w:rPr>
                <w:vertAlign w:val="superscript"/>
              </w:rPr>
            </w:pPr>
            <w:r w:rsidRPr="002F64A6">
              <w:t>Federal OSHA</w:t>
            </w:r>
            <w:r w:rsidR="001055A0" w:rsidRPr="002F64A6">
              <w:rPr>
                <w:vertAlign w:val="superscript"/>
              </w:rPr>
              <w:t>**</w:t>
            </w:r>
          </w:p>
        </w:tc>
      </w:tr>
      <w:tr w:rsidR="00ED365A" w:rsidRPr="002F64A6" w14:paraId="7B716855"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04B8EEB2" w14:textId="77777777" w:rsidR="00ED365A" w:rsidRPr="002F64A6" w:rsidRDefault="00ED365A" w:rsidP="00050CBF">
            <w:pPr>
              <w:pStyle w:val="TableCenter"/>
            </w:pPr>
            <w:r w:rsidRPr="002F64A6">
              <w:t>2006</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45A9E307" w14:textId="77777777" w:rsidR="00ED365A" w:rsidRPr="002F64A6" w:rsidRDefault="00ED365A" w:rsidP="00050CBF">
            <w:pPr>
              <w:pStyle w:val="TableCenter"/>
            </w:pPr>
            <w:r w:rsidRPr="002F64A6">
              <w:t>158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21775E82" w14:textId="77777777" w:rsidR="00ED365A" w:rsidRPr="002F64A6" w:rsidRDefault="00ED365A" w:rsidP="00050CBF">
            <w:pPr>
              <w:pStyle w:val="TableCenter"/>
            </w:pPr>
            <w:r w:rsidRPr="002F64A6">
              <w:t>3</w:t>
            </w:r>
          </w:p>
        </w:tc>
      </w:tr>
      <w:tr w:rsidR="00ED365A" w:rsidRPr="002F64A6" w14:paraId="1A0B4C7B"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48BC6D2E" w14:textId="77777777" w:rsidR="00ED365A" w:rsidRPr="002F64A6" w:rsidRDefault="00ED365A" w:rsidP="00050CBF">
            <w:pPr>
              <w:pStyle w:val="TableCenter"/>
            </w:pPr>
            <w:r w:rsidRPr="002F64A6">
              <w:t>2007</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7FB5518D" w14:textId="77777777" w:rsidR="00ED365A" w:rsidRPr="002F64A6" w:rsidRDefault="00ED365A" w:rsidP="00050CBF">
            <w:pPr>
              <w:pStyle w:val="TableCenter"/>
            </w:pPr>
            <w:r w:rsidRPr="002F64A6">
              <w:t>490</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6A06983D" w14:textId="77777777" w:rsidR="00ED365A" w:rsidRPr="002F64A6" w:rsidRDefault="00ED365A" w:rsidP="00050CBF">
            <w:pPr>
              <w:pStyle w:val="TableCenter"/>
            </w:pPr>
            <w:r w:rsidRPr="002F64A6">
              <w:t>3</w:t>
            </w:r>
          </w:p>
        </w:tc>
      </w:tr>
      <w:tr w:rsidR="00ED365A" w:rsidRPr="002F64A6" w14:paraId="6AB1C765"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3E81C8E0" w14:textId="77777777" w:rsidR="00ED365A" w:rsidRPr="002F64A6" w:rsidRDefault="00ED365A" w:rsidP="00050CBF">
            <w:pPr>
              <w:pStyle w:val="TableCenter"/>
            </w:pPr>
            <w:r w:rsidRPr="002F64A6">
              <w:t>2008</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14040A13" w14:textId="77777777" w:rsidR="00ED365A" w:rsidRPr="002F64A6" w:rsidRDefault="00ED365A" w:rsidP="00050CBF">
            <w:pPr>
              <w:pStyle w:val="TableCenter"/>
            </w:pPr>
            <w:r w:rsidRPr="002F64A6">
              <w:t>899</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7A03466D" w14:textId="77777777" w:rsidR="00ED365A" w:rsidRPr="002F64A6" w:rsidRDefault="00ED365A" w:rsidP="00050CBF">
            <w:pPr>
              <w:pStyle w:val="TableCenter"/>
            </w:pPr>
            <w:r w:rsidRPr="002F64A6">
              <w:t>2</w:t>
            </w:r>
          </w:p>
        </w:tc>
      </w:tr>
      <w:tr w:rsidR="00ED365A" w:rsidRPr="002F64A6" w14:paraId="1AD155FA"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413B5B03" w14:textId="77777777" w:rsidR="00ED365A" w:rsidRPr="002F64A6" w:rsidRDefault="00ED365A" w:rsidP="00050CBF">
            <w:pPr>
              <w:pStyle w:val="TableCenter"/>
            </w:pPr>
            <w:r w:rsidRPr="002F64A6">
              <w:t>2009</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D1F5C75" w14:textId="77777777" w:rsidR="00ED365A" w:rsidRPr="002F64A6" w:rsidRDefault="00ED365A" w:rsidP="00050CBF">
            <w:pPr>
              <w:pStyle w:val="TableCenter"/>
            </w:pPr>
            <w:r w:rsidRPr="002F64A6">
              <w:t>935</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572AAA3A" w14:textId="77777777" w:rsidR="00ED365A" w:rsidRPr="002F64A6" w:rsidRDefault="00ED365A" w:rsidP="00050CBF">
            <w:pPr>
              <w:pStyle w:val="TableCenter"/>
            </w:pPr>
            <w:r w:rsidRPr="002F64A6">
              <w:t>2</w:t>
            </w:r>
          </w:p>
        </w:tc>
      </w:tr>
      <w:tr w:rsidR="00ED365A" w:rsidRPr="002F64A6" w14:paraId="46D16363"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6BDC28AA" w14:textId="77777777" w:rsidR="00ED365A" w:rsidRPr="002F64A6" w:rsidRDefault="00ED365A" w:rsidP="00050CBF">
            <w:pPr>
              <w:pStyle w:val="TableCenter"/>
            </w:pPr>
            <w:r w:rsidRPr="002F64A6">
              <w:t>2010</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78110195" w14:textId="77777777" w:rsidR="00ED365A" w:rsidRPr="002F64A6" w:rsidRDefault="00ED365A" w:rsidP="00050CBF">
            <w:pPr>
              <w:pStyle w:val="TableCenter"/>
            </w:pPr>
            <w:r w:rsidRPr="002F64A6">
              <w:t>788</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3F76ACD6" w14:textId="77777777" w:rsidR="00ED365A" w:rsidRPr="002F64A6" w:rsidRDefault="00ED365A" w:rsidP="00050CBF">
            <w:pPr>
              <w:pStyle w:val="TableCenter"/>
            </w:pPr>
            <w:r w:rsidRPr="002F64A6">
              <w:t>11</w:t>
            </w:r>
          </w:p>
        </w:tc>
      </w:tr>
      <w:tr w:rsidR="00ED365A" w:rsidRPr="002F64A6" w14:paraId="73E7B5AD"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B8CCE4" w:fill="B8CCE4"/>
            <w:noWrap/>
            <w:vAlign w:val="bottom"/>
            <w:hideMark/>
          </w:tcPr>
          <w:p w14:paraId="69DE980A" w14:textId="77777777" w:rsidR="00ED365A" w:rsidRPr="002F64A6" w:rsidRDefault="00ED365A" w:rsidP="00050CBF">
            <w:pPr>
              <w:pStyle w:val="TableCenter"/>
            </w:pPr>
            <w:r w:rsidRPr="002F64A6">
              <w:t>2011</w:t>
            </w:r>
          </w:p>
        </w:tc>
        <w:tc>
          <w:tcPr>
            <w:tcW w:w="2400"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14:paraId="1B7BB7FD" w14:textId="59F25010" w:rsidR="00ED365A" w:rsidRPr="002F64A6" w:rsidRDefault="00ED365A" w:rsidP="00050CBF">
            <w:pPr>
              <w:pStyle w:val="TableCenter"/>
              <w:rPr>
                <w:vertAlign w:val="superscript"/>
              </w:rPr>
            </w:pPr>
            <w:r w:rsidRPr="002F64A6">
              <w:t>195</w:t>
            </w:r>
            <w:r w:rsidR="001055A0" w:rsidRPr="002F64A6">
              <w:rPr>
                <w:vertAlign w:val="superscript"/>
              </w:rPr>
              <w:t>***</w:t>
            </w:r>
          </w:p>
        </w:tc>
        <w:tc>
          <w:tcPr>
            <w:tcW w:w="2400" w:type="dxa"/>
            <w:tcBorders>
              <w:top w:val="single" w:sz="4" w:space="0" w:color="FFFFFF"/>
              <w:left w:val="single" w:sz="4" w:space="0" w:color="FFFFFF"/>
              <w:bottom w:val="single" w:sz="4" w:space="0" w:color="FFFFFF"/>
              <w:right w:val="nil"/>
            </w:tcBorders>
            <w:shd w:val="clear" w:color="B8CCE4" w:fill="B8CCE4"/>
            <w:noWrap/>
            <w:vAlign w:val="bottom"/>
            <w:hideMark/>
          </w:tcPr>
          <w:p w14:paraId="744E1E27" w14:textId="1C1183CE" w:rsidR="00ED365A" w:rsidRPr="002F64A6" w:rsidRDefault="003C11F5" w:rsidP="00050CBF">
            <w:pPr>
              <w:pStyle w:val="TableCenter"/>
            </w:pPr>
            <w:r>
              <w:t>6</w:t>
            </w:r>
          </w:p>
        </w:tc>
      </w:tr>
      <w:tr w:rsidR="00ED365A" w:rsidRPr="002F64A6" w14:paraId="5230168C" w14:textId="77777777" w:rsidTr="007172E6">
        <w:trPr>
          <w:trHeight w:val="300"/>
          <w:jc w:val="center"/>
        </w:trPr>
        <w:tc>
          <w:tcPr>
            <w:tcW w:w="2400" w:type="dxa"/>
            <w:tcBorders>
              <w:top w:val="single" w:sz="4" w:space="0" w:color="FFFFFF"/>
              <w:left w:val="nil"/>
              <w:bottom w:val="single" w:sz="4" w:space="0" w:color="FFFFFF"/>
              <w:right w:val="single" w:sz="4" w:space="0" w:color="FFFFFF"/>
            </w:tcBorders>
            <w:shd w:val="clear" w:color="DCE6F1" w:fill="DCE6F1"/>
            <w:noWrap/>
            <w:vAlign w:val="bottom"/>
            <w:hideMark/>
          </w:tcPr>
          <w:p w14:paraId="1B31A343" w14:textId="77777777" w:rsidR="00ED365A" w:rsidRPr="002F64A6" w:rsidRDefault="00ED365A" w:rsidP="00050CBF">
            <w:pPr>
              <w:pStyle w:val="TableCenter"/>
            </w:pPr>
            <w:r w:rsidRPr="002F64A6">
              <w:t>Total</w:t>
            </w:r>
          </w:p>
        </w:tc>
        <w:tc>
          <w:tcPr>
            <w:tcW w:w="2400"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14:paraId="5A510D17" w14:textId="330DB60B" w:rsidR="00ED365A" w:rsidRPr="002F64A6" w:rsidRDefault="00ED365A" w:rsidP="00050CBF">
            <w:pPr>
              <w:pStyle w:val="TableCenter"/>
            </w:pPr>
            <w:r w:rsidRPr="002F64A6">
              <w:t>3,</w:t>
            </w:r>
            <w:r w:rsidR="00840481" w:rsidRPr="002F64A6">
              <w:t>465</w:t>
            </w:r>
          </w:p>
        </w:tc>
        <w:tc>
          <w:tcPr>
            <w:tcW w:w="2400" w:type="dxa"/>
            <w:tcBorders>
              <w:top w:val="single" w:sz="4" w:space="0" w:color="FFFFFF"/>
              <w:left w:val="single" w:sz="4" w:space="0" w:color="FFFFFF"/>
              <w:bottom w:val="single" w:sz="4" w:space="0" w:color="FFFFFF"/>
              <w:right w:val="nil"/>
            </w:tcBorders>
            <w:shd w:val="clear" w:color="DCE6F1" w:fill="DCE6F1"/>
            <w:noWrap/>
            <w:vAlign w:val="bottom"/>
            <w:hideMark/>
          </w:tcPr>
          <w:p w14:paraId="72701DB1" w14:textId="66FA4076" w:rsidR="00ED365A" w:rsidRPr="002F64A6" w:rsidRDefault="00D62D9E" w:rsidP="00050CBF">
            <w:pPr>
              <w:pStyle w:val="TableCenter"/>
            </w:pPr>
            <w:r w:rsidRPr="002F64A6">
              <w:t>2</w:t>
            </w:r>
            <w:r w:rsidR="003C11F5">
              <w:t>5</w:t>
            </w:r>
          </w:p>
        </w:tc>
      </w:tr>
      <w:tr w:rsidR="00ED365A" w:rsidRPr="002F64A6" w14:paraId="4AC942FA" w14:textId="77777777" w:rsidTr="007172E6">
        <w:trPr>
          <w:trHeight w:val="300"/>
          <w:jc w:val="center"/>
        </w:trPr>
        <w:tc>
          <w:tcPr>
            <w:tcW w:w="2400" w:type="dxa"/>
            <w:tcBorders>
              <w:top w:val="single" w:sz="4" w:space="0" w:color="FFFFFF"/>
              <w:left w:val="nil"/>
              <w:right w:val="single" w:sz="4" w:space="0" w:color="FFFFFF"/>
            </w:tcBorders>
            <w:shd w:val="clear" w:color="B8CCE4" w:fill="B8CCE4"/>
            <w:noWrap/>
            <w:vAlign w:val="bottom"/>
            <w:hideMark/>
          </w:tcPr>
          <w:p w14:paraId="19DDCD75" w14:textId="77777777" w:rsidR="00ED365A" w:rsidRPr="002F64A6" w:rsidRDefault="00ED365A" w:rsidP="00050CBF">
            <w:pPr>
              <w:pStyle w:val="TableCenter"/>
            </w:pPr>
            <w:r w:rsidRPr="002F64A6">
              <w:t>Annual Average</w:t>
            </w:r>
          </w:p>
        </w:tc>
        <w:tc>
          <w:tcPr>
            <w:tcW w:w="2400" w:type="dxa"/>
            <w:tcBorders>
              <w:top w:val="single" w:sz="4" w:space="0" w:color="FFFFFF"/>
              <w:left w:val="single" w:sz="4" w:space="0" w:color="FFFFFF"/>
              <w:right w:val="single" w:sz="4" w:space="0" w:color="FFFFFF"/>
            </w:tcBorders>
            <w:shd w:val="clear" w:color="B8CCE4" w:fill="B8CCE4"/>
            <w:noWrap/>
            <w:vAlign w:val="bottom"/>
            <w:hideMark/>
          </w:tcPr>
          <w:p w14:paraId="6D1FB7C0" w14:textId="208DCAE5" w:rsidR="00ED365A" w:rsidRPr="002F64A6" w:rsidRDefault="00840481" w:rsidP="00050CBF">
            <w:pPr>
              <w:pStyle w:val="TableCenter"/>
            </w:pPr>
            <w:r w:rsidRPr="002F64A6">
              <w:t>577.5</w:t>
            </w:r>
          </w:p>
        </w:tc>
        <w:tc>
          <w:tcPr>
            <w:tcW w:w="2400" w:type="dxa"/>
            <w:tcBorders>
              <w:top w:val="single" w:sz="4" w:space="0" w:color="FFFFFF"/>
              <w:left w:val="single" w:sz="4" w:space="0" w:color="FFFFFF"/>
              <w:right w:val="nil"/>
            </w:tcBorders>
            <w:shd w:val="clear" w:color="B8CCE4" w:fill="B8CCE4"/>
            <w:noWrap/>
            <w:vAlign w:val="bottom"/>
            <w:hideMark/>
          </w:tcPr>
          <w:p w14:paraId="74D92E11" w14:textId="2987EBC6" w:rsidR="00ED365A" w:rsidRPr="002F64A6" w:rsidRDefault="00D62D9E" w:rsidP="00050CBF">
            <w:pPr>
              <w:pStyle w:val="TableCenter"/>
            </w:pPr>
            <w:r w:rsidRPr="002F64A6">
              <w:t>4.</w:t>
            </w:r>
            <w:r w:rsidR="003C11F5">
              <w:t>2</w:t>
            </w:r>
          </w:p>
        </w:tc>
      </w:tr>
      <w:tr w:rsidR="00BD4BA1" w:rsidRPr="002F64A6" w14:paraId="3A38BD38" w14:textId="77777777" w:rsidTr="007172E6">
        <w:trPr>
          <w:trHeight w:val="300"/>
          <w:jc w:val="center"/>
        </w:trPr>
        <w:tc>
          <w:tcPr>
            <w:tcW w:w="7200" w:type="dxa"/>
            <w:gridSpan w:val="3"/>
            <w:tcBorders>
              <w:left w:val="nil"/>
              <w:bottom w:val="nil"/>
              <w:right w:val="single" w:sz="4" w:space="0" w:color="FFFFFF"/>
            </w:tcBorders>
            <w:shd w:val="clear" w:color="B8CCE4" w:fill="auto"/>
            <w:noWrap/>
            <w:vAlign w:val="bottom"/>
          </w:tcPr>
          <w:p w14:paraId="62762ACD" w14:textId="30050C6F" w:rsidR="00BD4BA1" w:rsidRPr="002F64A6" w:rsidRDefault="001055A0" w:rsidP="00BD4BA1">
            <w:pPr>
              <w:pStyle w:val="Asterisks"/>
            </w:pPr>
            <w:r w:rsidRPr="002F64A6">
              <w:t>*</w:t>
            </w:r>
            <w:r w:rsidR="00BF473A" w:rsidRPr="002F64A6">
              <w:t xml:space="preserve"> </w:t>
            </w:r>
            <w:r w:rsidR="00BD4BA1" w:rsidRPr="002F64A6">
              <w:t>Cal/OSHA inspections conducted under the authority of its outdoor heat exposure standard (Cal/OSHA Standard 3395). Standard 3395 enacted as an emergency measure in 2005 and made permanent in 2006.</w:t>
            </w:r>
          </w:p>
          <w:p w14:paraId="048ED9EC" w14:textId="0BF97D96" w:rsidR="00BD4BA1" w:rsidRPr="002F64A6" w:rsidRDefault="001055A0" w:rsidP="00BD4BA1">
            <w:pPr>
              <w:pStyle w:val="Asterisks"/>
            </w:pPr>
            <w:r w:rsidRPr="002F64A6">
              <w:t>**</w:t>
            </w:r>
            <w:r w:rsidR="00BF473A" w:rsidRPr="002F64A6">
              <w:t xml:space="preserve"> </w:t>
            </w:r>
            <w:r w:rsidR="00BD4BA1" w:rsidRPr="002F64A6">
              <w:t xml:space="preserve">Federal OSHA inspections conducted under the authority of the General Duty Clause and include both outdoor and indoor inspections. </w:t>
            </w:r>
          </w:p>
          <w:p w14:paraId="4F4C3922" w14:textId="5B6175E8" w:rsidR="00BD4BA1" w:rsidRPr="002F64A6" w:rsidRDefault="001055A0" w:rsidP="00BD4BA1">
            <w:pPr>
              <w:pStyle w:val="Asterisks"/>
            </w:pPr>
            <w:r w:rsidRPr="002F64A6">
              <w:t>***</w:t>
            </w:r>
            <w:r w:rsidR="00BF473A" w:rsidRPr="002F64A6">
              <w:t xml:space="preserve"> </w:t>
            </w:r>
            <w:r w:rsidR="00BD4BA1" w:rsidRPr="002F64A6">
              <w:t>Cal/OSHA data through July 26, 2011.</w:t>
            </w:r>
            <w:r w:rsidR="006F1F00">
              <w:t xml:space="preserve"> </w:t>
            </w:r>
          </w:p>
        </w:tc>
      </w:tr>
    </w:tbl>
    <w:p w14:paraId="41849380" w14:textId="7D852B12" w:rsidR="00453DBF" w:rsidRPr="004D037F" w:rsidRDefault="00ED710D" w:rsidP="002A025A">
      <w:pPr>
        <w:rPr>
          <w:rFonts w:asciiTheme="majorBidi" w:hAnsiTheme="majorBidi" w:cstheme="majorBidi"/>
          <w:szCs w:val="24"/>
        </w:rPr>
      </w:pPr>
      <w:r w:rsidRPr="002F64A6">
        <w:rPr>
          <w:rFonts w:asciiTheme="majorBidi" w:hAnsiTheme="majorBidi" w:cstheme="majorBidi"/>
          <w:szCs w:val="24"/>
        </w:rPr>
        <w:t xml:space="preserve">In the absence of a federal heat stress standard, OSHA relies on the non-specific GDC) to cite employers for failing to provide adequate safeguards against heat stress. In the most recent </w:t>
      </w:r>
      <w:r w:rsidR="00301DAB" w:rsidRPr="002F64A6">
        <w:rPr>
          <w:rFonts w:asciiTheme="majorBidi" w:hAnsiTheme="majorBidi" w:cstheme="majorBidi"/>
          <w:szCs w:val="24"/>
        </w:rPr>
        <w:t>six</w:t>
      </w:r>
      <w:r w:rsidRPr="002F64A6">
        <w:rPr>
          <w:rFonts w:asciiTheme="majorBidi" w:hAnsiTheme="majorBidi" w:cstheme="majorBidi"/>
          <w:szCs w:val="24"/>
        </w:rPr>
        <w:t>-year period (201</w:t>
      </w:r>
      <w:r w:rsidR="00301DAB" w:rsidRPr="002F64A6">
        <w:rPr>
          <w:rFonts w:asciiTheme="majorBidi" w:hAnsiTheme="majorBidi" w:cstheme="majorBidi"/>
          <w:szCs w:val="24"/>
        </w:rPr>
        <w:t>2</w:t>
      </w:r>
      <w:r w:rsidRPr="002F64A6">
        <w:rPr>
          <w:rFonts w:asciiTheme="majorBidi" w:hAnsiTheme="majorBidi" w:cstheme="majorBidi"/>
          <w:szCs w:val="24"/>
        </w:rPr>
        <w:t xml:space="preserve"> through 2017), OSHA conducted just </w:t>
      </w:r>
      <w:r w:rsidR="00301DAB" w:rsidRPr="002F64A6">
        <w:rPr>
          <w:rFonts w:asciiTheme="majorBidi" w:hAnsiTheme="majorBidi" w:cstheme="majorBidi"/>
          <w:szCs w:val="24"/>
        </w:rPr>
        <w:t xml:space="preserve">153 </w:t>
      </w:r>
      <w:r w:rsidRPr="002F64A6">
        <w:rPr>
          <w:rFonts w:asciiTheme="majorBidi" w:hAnsiTheme="majorBidi" w:cstheme="majorBidi"/>
          <w:szCs w:val="24"/>
        </w:rPr>
        <w:t>inspections resulting in at least one citation under the GDC for exposing workers to the risk of occupational heat stress.</w:t>
      </w:r>
      <w:r w:rsidRPr="002F64A6">
        <w:rPr>
          <w:rFonts w:asciiTheme="majorBidi" w:hAnsiTheme="majorBidi" w:cstheme="majorBidi"/>
          <w:szCs w:val="24"/>
          <w:vertAlign w:val="superscript"/>
        </w:rPr>
        <w:footnoteReference w:id="71"/>
      </w:r>
      <w:r w:rsidRPr="002F64A6">
        <w:rPr>
          <w:rFonts w:asciiTheme="majorBidi" w:hAnsiTheme="majorBidi" w:cstheme="majorBidi"/>
          <w:szCs w:val="24"/>
        </w:rPr>
        <w:t xml:space="preserve"> By comparison, Cal/OSHA completed 3,</w:t>
      </w:r>
      <w:r w:rsidR="00200661">
        <w:rPr>
          <w:rFonts w:asciiTheme="majorBidi" w:hAnsiTheme="majorBidi" w:cstheme="majorBidi"/>
          <w:szCs w:val="24"/>
        </w:rPr>
        <w:t>465</w:t>
      </w:r>
      <w:r w:rsidRPr="002F64A6">
        <w:rPr>
          <w:rFonts w:asciiTheme="majorBidi" w:hAnsiTheme="majorBidi" w:cstheme="majorBidi"/>
          <w:szCs w:val="24"/>
        </w:rPr>
        <w:t xml:space="preserve"> inspections resulting in at least one heat-stress-related citation in the first </w:t>
      </w:r>
      <w:r w:rsidR="00F32798">
        <w:rPr>
          <w:rFonts w:asciiTheme="majorBidi" w:hAnsiTheme="majorBidi" w:cstheme="majorBidi"/>
          <w:szCs w:val="24"/>
        </w:rPr>
        <w:t>six</w:t>
      </w:r>
      <w:r w:rsidRPr="002F64A6">
        <w:rPr>
          <w:rFonts w:asciiTheme="majorBidi" w:hAnsiTheme="majorBidi" w:cstheme="majorBidi"/>
          <w:szCs w:val="24"/>
        </w:rPr>
        <w:t>-year period (2006 through 201</w:t>
      </w:r>
      <w:r w:rsidR="000E737E">
        <w:rPr>
          <w:rFonts w:asciiTheme="majorBidi" w:hAnsiTheme="majorBidi" w:cstheme="majorBidi"/>
          <w:szCs w:val="24"/>
        </w:rPr>
        <w:t>1</w:t>
      </w:r>
      <w:r w:rsidRPr="002F64A6">
        <w:rPr>
          <w:rFonts w:asciiTheme="majorBidi" w:hAnsiTheme="majorBidi" w:cstheme="majorBidi"/>
          <w:szCs w:val="24"/>
        </w:rPr>
        <w:t>) following enactment of the state</w:t>
      </w:r>
      <w:r w:rsidR="00DB23CF">
        <w:rPr>
          <w:rFonts w:asciiTheme="majorBidi" w:hAnsiTheme="majorBidi" w:cstheme="majorBidi"/>
          <w:szCs w:val="24"/>
        </w:rPr>
        <w:t>’</w:t>
      </w:r>
      <w:r w:rsidRPr="002F64A6">
        <w:rPr>
          <w:rFonts w:asciiTheme="majorBidi" w:hAnsiTheme="majorBidi" w:cstheme="majorBidi"/>
          <w:szCs w:val="24"/>
        </w:rPr>
        <w:t>s outdoor heat stress standard.</w:t>
      </w:r>
      <w:r w:rsidRPr="002F64A6">
        <w:rPr>
          <w:rFonts w:asciiTheme="majorBidi" w:hAnsiTheme="majorBidi" w:cstheme="majorBidi"/>
          <w:szCs w:val="24"/>
          <w:vertAlign w:val="superscript"/>
        </w:rPr>
        <w:footnoteReference w:id="72"/>
      </w:r>
    </w:p>
    <w:p w14:paraId="7464B78F" w14:textId="188AE127" w:rsidR="00EB1B25" w:rsidRPr="002F64A6" w:rsidRDefault="00EB1B25" w:rsidP="00E325F1">
      <w:pPr>
        <w:pStyle w:val="L2"/>
      </w:pPr>
      <w:bookmarkStart w:id="21" w:name="_Toc517168452"/>
      <w:r w:rsidRPr="002F64A6">
        <w:lastRenderedPageBreak/>
        <w:t xml:space="preserve">U.S. military </w:t>
      </w:r>
      <w:r w:rsidR="00DD0664" w:rsidRPr="002F64A6">
        <w:t>guidelines</w:t>
      </w:r>
      <w:bookmarkEnd w:id="21"/>
    </w:p>
    <w:p w14:paraId="24C65359" w14:textId="68AEE941" w:rsidR="00D25781" w:rsidRPr="002F64A6" w:rsidRDefault="00740114" w:rsidP="00D25781">
      <w:bookmarkStart w:id="22" w:name="_Ref514858328"/>
      <w:r w:rsidRPr="002F64A6">
        <w:t>The U.S. Navy first developed Physiological Heat Exposure Limit (PHEL) curves based on metabolic and environmental heat load in 1973.</w:t>
      </w:r>
      <w:r w:rsidRPr="002F64A6">
        <w:rPr>
          <w:rStyle w:val="FootnoteReference"/>
        </w:rPr>
        <w:footnoteReference w:id="73"/>
      </w:r>
      <w:r w:rsidRPr="002F64A6">
        <w:t xml:space="preserve"> The PHELs represent </w:t>
      </w:r>
      <w:r w:rsidR="00DB23CF">
        <w:t>“</w:t>
      </w:r>
      <w:r w:rsidRPr="002F64A6">
        <w:t>maximum allowable</w:t>
      </w:r>
      <w:r w:rsidR="00DB23CF">
        <w:t>”</w:t>
      </w:r>
      <w:r w:rsidRPr="002F64A6">
        <w:t xml:space="preserve"> exposure limits</w:t>
      </w:r>
      <w:r w:rsidR="00FA4131">
        <w:t>.</w:t>
      </w:r>
      <w:r w:rsidRPr="002F64A6">
        <w:rPr>
          <w:rStyle w:val="FootnoteReference"/>
        </w:rPr>
        <w:footnoteReference w:id="74"/>
      </w:r>
      <w:r w:rsidRPr="002F64A6">
        <w:t xml:space="preserve"> See </w:t>
      </w:r>
      <w:r w:rsidR="00F50E34">
        <w:fldChar w:fldCharType="begin"/>
      </w:r>
      <w:r w:rsidR="00F50E34">
        <w:instrText xml:space="preserve"> REF _Ref515982683 \h </w:instrText>
      </w:r>
      <w:r w:rsidR="00F50E34">
        <w:fldChar w:fldCharType="separate"/>
      </w:r>
      <w:r w:rsidR="00806F98" w:rsidRPr="002F64A6">
        <w:t xml:space="preserve">Figure </w:t>
      </w:r>
      <w:r w:rsidR="00806F98">
        <w:rPr>
          <w:noProof/>
        </w:rPr>
        <w:t>7</w:t>
      </w:r>
      <w:r w:rsidR="00F50E34">
        <w:fldChar w:fldCharType="end"/>
      </w:r>
      <w:r w:rsidR="00F50E34">
        <w:t xml:space="preserve"> </w:t>
      </w:r>
      <w:r w:rsidRPr="002F64A6">
        <w:t xml:space="preserve">and </w:t>
      </w:r>
      <w:r w:rsidRPr="002F64A6">
        <w:fldChar w:fldCharType="begin"/>
      </w:r>
      <w:r w:rsidRPr="002F64A6">
        <w:instrText xml:space="preserve"> REF _Ref514867648 \h </w:instrText>
      </w:r>
      <w:r w:rsidR="00942E83" w:rsidRPr="002F64A6">
        <w:instrText xml:space="preserve"> \* MERGEFORMAT </w:instrText>
      </w:r>
      <w:r w:rsidRPr="002F64A6">
        <w:fldChar w:fldCharType="separate"/>
      </w:r>
      <w:r w:rsidR="00806F98" w:rsidRPr="002F64A6">
        <w:t xml:space="preserve">Table </w:t>
      </w:r>
      <w:r w:rsidR="00806F98">
        <w:rPr>
          <w:noProof/>
        </w:rPr>
        <w:t>10</w:t>
      </w:r>
      <w:r w:rsidRPr="002F64A6">
        <w:fldChar w:fldCharType="end"/>
      </w:r>
      <w:r w:rsidRPr="002F64A6">
        <w:t xml:space="preserve"> in the Appendix for the Navy</w:t>
      </w:r>
      <w:r w:rsidR="00DB23CF">
        <w:t>’</w:t>
      </w:r>
      <w:r w:rsidRPr="002F64A6">
        <w:t>s PHEL curves and a table of time limits for each curve.</w:t>
      </w:r>
      <w:r w:rsidR="00D25781">
        <w:t xml:space="preserve"> In addition, the Navy curtails training</w:t>
      </w:r>
      <w:r w:rsidR="00D25781" w:rsidRPr="002F64A6">
        <w:t xml:space="preserve"> as wet-bulb globe temperatures (WBGTs) rise, signified by colored flags flown at installations, with all nonessential outdoor activity halting at WBGTs greater than 90°F (</w:t>
      </w:r>
      <w:r w:rsidR="00407D7D">
        <w:fldChar w:fldCharType="begin"/>
      </w:r>
      <w:r w:rsidR="00407D7D">
        <w:instrText xml:space="preserve"> REF _Ref515971347 \h </w:instrText>
      </w:r>
      <w:r w:rsidR="00407D7D">
        <w:fldChar w:fldCharType="separate"/>
      </w:r>
      <w:r w:rsidR="00806F98" w:rsidRPr="002F64A6">
        <w:t xml:space="preserve">Table </w:t>
      </w:r>
      <w:r w:rsidR="00806F98">
        <w:rPr>
          <w:noProof/>
        </w:rPr>
        <w:t>4</w:t>
      </w:r>
      <w:r w:rsidR="00407D7D">
        <w:fldChar w:fldCharType="end"/>
      </w:r>
      <w:r w:rsidR="00D25781" w:rsidRPr="002F64A6">
        <w:t>).</w:t>
      </w:r>
    </w:p>
    <w:p w14:paraId="59AD147C" w14:textId="047D78C4" w:rsidR="00740114" w:rsidRPr="002F64A6" w:rsidRDefault="00E942BE" w:rsidP="00740114">
      <w:r>
        <w:t>T</w:t>
      </w:r>
      <w:r w:rsidRPr="002F64A6">
        <w:t xml:space="preserve">he U.S. Marine Corps </w:t>
      </w:r>
      <w:r>
        <w:t xml:space="preserve">has </w:t>
      </w:r>
      <w:r w:rsidR="00280430">
        <w:t xml:space="preserve">issued </w:t>
      </w:r>
      <w:r>
        <w:t>heat stress guidelines in the past and</w:t>
      </w:r>
      <w:r w:rsidR="00F2300F">
        <w:t xml:space="preserve"> </w:t>
      </w:r>
      <w:r w:rsidR="00343C53">
        <w:t>has been fo</w:t>
      </w:r>
      <w:r>
        <w:t>llowing the Navy</w:t>
      </w:r>
      <w:r w:rsidR="00DB23CF">
        <w:t>’</w:t>
      </w:r>
      <w:r>
        <w:t>s on an interim basis</w:t>
      </w:r>
      <w:r w:rsidR="00F2300F">
        <w:t xml:space="preserve"> since 2015</w:t>
      </w:r>
      <w:r>
        <w:t>.</w:t>
      </w:r>
      <w:r>
        <w:rPr>
          <w:rStyle w:val="FootnoteReference"/>
        </w:rPr>
        <w:footnoteReference w:id="75"/>
      </w:r>
      <w:r>
        <w:t xml:space="preserve"> </w:t>
      </w:r>
      <w:r w:rsidRPr="002F64A6">
        <w:t xml:space="preserve">The order </w:t>
      </w:r>
      <w:r>
        <w:t xml:space="preserve">issued by Base Quantico to implement Marine Corps guidelines </w:t>
      </w:r>
      <w:r w:rsidR="00E44FB0">
        <w:t xml:space="preserve">in 2002 </w:t>
      </w:r>
      <w:r w:rsidRPr="002F64A6">
        <w:t>note</w:t>
      </w:r>
      <w:r>
        <w:t>d</w:t>
      </w:r>
      <w:r w:rsidR="00740114" w:rsidRPr="002F64A6">
        <w:t xml:space="preserve"> that </w:t>
      </w:r>
      <w:r w:rsidR="00DB23CF">
        <w:t>“</w:t>
      </w:r>
      <w:r w:rsidR="00740114" w:rsidRPr="002F64A6">
        <w:t>each year</w:t>
      </w:r>
      <w:r w:rsidR="00DB23CF">
        <w:t>”</w:t>
      </w:r>
      <w:r w:rsidR="00740114" w:rsidRPr="002F64A6">
        <w:t xml:space="preserve"> personnel at the base experience</w:t>
      </w:r>
      <w:r w:rsidR="001100DA">
        <w:t>d</w:t>
      </w:r>
      <w:r w:rsidR="00740114" w:rsidRPr="002F64A6">
        <w:t xml:space="preserve"> </w:t>
      </w:r>
      <w:r w:rsidR="00DB23CF">
        <w:t>“</w:t>
      </w:r>
      <w:r w:rsidR="00740114" w:rsidRPr="002F64A6">
        <w:t>several heat casualties with many resulting in emergency MEDEVAC</w:t>
      </w:r>
      <w:r w:rsidR="00DB23CF">
        <w:t>”</w:t>
      </w:r>
      <w:r w:rsidR="00740114" w:rsidRPr="002F64A6">
        <w:t xml:space="preserve"> between May and September.</w:t>
      </w:r>
      <w:r w:rsidR="00740114" w:rsidRPr="002F64A6">
        <w:rPr>
          <w:rStyle w:val="FootnoteReference"/>
        </w:rPr>
        <w:footnoteReference w:id="76"/>
      </w:r>
    </w:p>
    <w:p w14:paraId="44AB76C9" w14:textId="55D68D0E" w:rsidR="002549CB" w:rsidRPr="002F64A6" w:rsidRDefault="002549CB" w:rsidP="002549CB">
      <w:pPr>
        <w:pStyle w:val="Caption"/>
      </w:pPr>
      <w:bookmarkStart w:id="23" w:name="_Ref515971347"/>
      <w:r w:rsidRPr="002F64A6">
        <w:t xml:space="preserve">Table </w:t>
      </w:r>
      <w:r w:rsidR="00E221DB">
        <w:fldChar w:fldCharType="begin"/>
      </w:r>
      <w:r w:rsidR="00E221DB">
        <w:instrText xml:space="preserve"> SE</w:instrText>
      </w:r>
      <w:r w:rsidR="00E221DB">
        <w:instrText xml:space="preserve">Q Table \* ARABIC </w:instrText>
      </w:r>
      <w:r w:rsidR="00E221DB">
        <w:fldChar w:fldCharType="separate"/>
      </w:r>
      <w:r w:rsidR="00806F98">
        <w:rPr>
          <w:noProof/>
        </w:rPr>
        <w:t>4</w:t>
      </w:r>
      <w:r w:rsidR="00E221DB">
        <w:rPr>
          <w:noProof/>
        </w:rPr>
        <w:fldChar w:fldCharType="end"/>
      </w:r>
      <w:bookmarkEnd w:id="22"/>
      <w:bookmarkEnd w:id="23"/>
      <w:r w:rsidRPr="002F64A6">
        <w:t>: U.S. Navy heat/flag ind</w:t>
      </w:r>
      <w:r w:rsidR="00655603">
        <w:t>ex</w:t>
      </w:r>
    </w:p>
    <w:tbl>
      <w:tblPr>
        <w:tblStyle w:val="LightShading-Accent5"/>
        <w:tblW w:w="4750" w:type="pct"/>
        <w:jc w:val="center"/>
        <w:tblLayout w:type="fixed"/>
        <w:tblLook w:val="04A0" w:firstRow="1" w:lastRow="0" w:firstColumn="1" w:lastColumn="0" w:noHBand="0" w:noVBand="1"/>
      </w:tblPr>
      <w:tblGrid>
        <w:gridCol w:w="1489"/>
        <w:gridCol w:w="1530"/>
        <w:gridCol w:w="6078"/>
      </w:tblGrid>
      <w:tr w:rsidR="006A1638" w:rsidRPr="002F64A6" w14:paraId="4883528B" w14:textId="77777777" w:rsidTr="007133E5">
        <w:trPr>
          <w:cnfStyle w:val="100000000000" w:firstRow="1" w:lastRow="0" w:firstColumn="0" w:lastColumn="0" w:oddVBand="0" w:evenVBand="0" w:oddHBand="0"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00F8E7B9" w14:textId="25E8E0FD" w:rsidR="006A1638" w:rsidRPr="002F64A6" w:rsidRDefault="006A1638" w:rsidP="0055085C">
            <w:pPr>
              <w:pStyle w:val="TableHeading"/>
            </w:pPr>
            <w:r w:rsidRPr="002F64A6">
              <w:t>Flag</w:t>
            </w:r>
            <w:r w:rsidRPr="002F64A6">
              <w:br/>
              <w:t>Condition</w:t>
            </w:r>
          </w:p>
        </w:tc>
        <w:tc>
          <w:tcPr>
            <w:tcW w:w="1530" w:type="dxa"/>
            <w:hideMark/>
          </w:tcPr>
          <w:p w14:paraId="67DE4A7E" w14:textId="77777777" w:rsidR="006A1638" w:rsidRPr="002F64A6" w:rsidRDefault="006A1638" w:rsidP="0055085C">
            <w:pPr>
              <w:pStyle w:val="TableHeading"/>
              <w:cnfStyle w:val="100000000000" w:firstRow="1" w:lastRow="0" w:firstColumn="0" w:lastColumn="0" w:oddVBand="0" w:evenVBand="0" w:oddHBand="0" w:evenHBand="0" w:firstRowFirstColumn="0" w:firstRowLastColumn="0" w:lastRowFirstColumn="0" w:lastRowLastColumn="0"/>
            </w:pPr>
            <w:r w:rsidRPr="002F64A6">
              <w:t>WBGT Index (°F)</w:t>
            </w:r>
          </w:p>
        </w:tc>
        <w:tc>
          <w:tcPr>
            <w:tcW w:w="6078" w:type="dxa"/>
            <w:hideMark/>
          </w:tcPr>
          <w:p w14:paraId="55DCBD02" w14:textId="77777777" w:rsidR="006A1638" w:rsidRPr="002F64A6" w:rsidRDefault="006A1638" w:rsidP="0055085C">
            <w:pPr>
              <w:pStyle w:val="TableHeading"/>
              <w:cnfStyle w:val="100000000000" w:firstRow="1" w:lastRow="0" w:firstColumn="0" w:lastColumn="0" w:oddVBand="0" w:evenVBand="0" w:oddHBand="0" w:evenHBand="0" w:firstRowFirstColumn="0" w:firstRowLastColumn="0" w:lastRowFirstColumn="0" w:lastRowLastColumn="0"/>
            </w:pPr>
            <w:r w:rsidRPr="002F64A6">
              <w:t>Navy</w:t>
            </w:r>
          </w:p>
        </w:tc>
      </w:tr>
      <w:tr w:rsidR="006A1638" w:rsidRPr="002F64A6" w14:paraId="4581D696"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710285E5" w14:textId="77777777" w:rsidR="006A1638" w:rsidRPr="002F64A6" w:rsidRDefault="006A1638" w:rsidP="0055085C">
            <w:pPr>
              <w:pStyle w:val="TableCenter"/>
            </w:pPr>
            <w:r w:rsidRPr="002F64A6">
              <w:t>Green</w:t>
            </w:r>
          </w:p>
        </w:tc>
        <w:tc>
          <w:tcPr>
            <w:tcW w:w="1530" w:type="dxa"/>
            <w:hideMark/>
          </w:tcPr>
          <w:p w14:paraId="08D79582"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80.0 – 84.9</w:t>
            </w:r>
          </w:p>
        </w:tc>
        <w:tc>
          <w:tcPr>
            <w:tcW w:w="6078" w:type="dxa"/>
            <w:hideMark/>
          </w:tcPr>
          <w:p w14:paraId="518F64AE" w14:textId="77777777" w:rsidR="006A1638" w:rsidRPr="002F64A6" w:rsidRDefault="006A1638" w:rsidP="0055085C">
            <w:pPr>
              <w:pStyle w:val="TableLeft"/>
              <w:cnfStyle w:val="000000100000" w:firstRow="0" w:lastRow="0" w:firstColumn="0" w:lastColumn="0" w:oddVBand="0" w:evenVBand="0" w:oddHBand="1" w:evenHBand="0" w:firstRowFirstColumn="0" w:firstRowLastColumn="0" w:lastRowFirstColumn="0" w:lastRowLastColumn="0"/>
            </w:pPr>
            <w:r w:rsidRPr="002F64A6">
              <w:t>Discretion required in planning heavy exercise for unseasoned personnel.</w:t>
            </w:r>
          </w:p>
        </w:tc>
      </w:tr>
      <w:tr w:rsidR="006A1638" w:rsidRPr="002F64A6" w14:paraId="0B6F65A5" w14:textId="77777777" w:rsidTr="007133E5">
        <w:trPr>
          <w:cnfStyle w:val="000000010000" w:firstRow="0" w:lastRow="0" w:firstColumn="0" w:lastColumn="0" w:oddVBand="0" w:evenVBand="0" w:oddHBand="0" w:evenHBand="1"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211222E4" w14:textId="77777777" w:rsidR="006A1638" w:rsidRPr="002F64A6" w:rsidRDefault="006A1638" w:rsidP="0055085C">
            <w:pPr>
              <w:pStyle w:val="TableCenter"/>
            </w:pPr>
            <w:r w:rsidRPr="002F64A6">
              <w:t>Yellow</w:t>
            </w:r>
          </w:p>
        </w:tc>
        <w:tc>
          <w:tcPr>
            <w:tcW w:w="1530" w:type="dxa"/>
            <w:hideMark/>
          </w:tcPr>
          <w:p w14:paraId="4FD15BF8"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85.0 – 87.9</w:t>
            </w:r>
          </w:p>
        </w:tc>
        <w:tc>
          <w:tcPr>
            <w:tcW w:w="6078" w:type="dxa"/>
            <w:hideMark/>
          </w:tcPr>
          <w:p w14:paraId="2DC21C73"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pPr>
            <w:r w:rsidRPr="002F64A6">
              <w:t xml:space="preserve">Strenuous exercise and activity (e.g., close order drill) should be curtailed for new and </w:t>
            </w:r>
            <w:proofErr w:type="spellStart"/>
            <w:r w:rsidRPr="002F64A6">
              <w:t>unacclimated</w:t>
            </w:r>
            <w:proofErr w:type="spellEnd"/>
            <w:r w:rsidRPr="002F64A6">
              <w:t xml:space="preserve"> personnel during the ﬁrst 3 weeks of heat exposure.</w:t>
            </w:r>
          </w:p>
        </w:tc>
      </w:tr>
      <w:tr w:rsidR="006A1638" w:rsidRPr="002F64A6" w14:paraId="79FA453E" w14:textId="77777777" w:rsidTr="007133E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hideMark/>
          </w:tcPr>
          <w:p w14:paraId="4B9B1C05" w14:textId="77777777" w:rsidR="006A1638" w:rsidRPr="002F64A6" w:rsidRDefault="006A1638" w:rsidP="0055085C">
            <w:pPr>
              <w:pStyle w:val="TableCenter"/>
            </w:pPr>
            <w:r w:rsidRPr="002F64A6">
              <w:t>Red</w:t>
            </w:r>
          </w:p>
        </w:tc>
        <w:tc>
          <w:tcPr>
            <w:tcW w:w="1530" w:type="dxa"/>
            <w:hideMark/>
          </w:tcPr>
          <w:p w14:paraId="188EC4AF" w14:textId="77777777" w:rsidR="006A1638" w:rsidRPr="002F64A6" w:rsidRDefault="006A1638" w:rsidP="0055085C">
            <w:pPr>
              <w:pStyle w:val="TableCenter"/>
              <w:cnfStyle w:val="000000100000" w:firstRow="0" w:lastRow="0" w:firstColumn="0" w:lastColumn="0" w:oddVBand="0" w:evenVBand="0" w:oddHBand="1" w:evenHBand="0" w:firstRowFirstColumn="0" w:firstRowLastColumn="0" w:lastRowFirstColumn="0" w:lastRowLastColumn="0"/>
            </w:pPr>
            <w:r w:rsidRPr="002F64A6">
              <w:t>88.0 – 89.9</w:t>
            </w:r>
          </w:p>
        </w:tc>
        <w:tc>
          <w:tcPr>
            <w:tcW w:w="6078" w:type="dxa"/>
            <w:hideMark/>
          </w:tcPr>
          <w:p w14:paraId="381C3163" w14:textId="7664B904" w:rsidR="006A1638" w:rsidRPr="002F64A6" w:rsidRDefault="006A1638" w:rsidP="0050105E">
            <w:pPr>
              <w:pStyle w:val="TableLeft"/>
              <w:cnfStyle w:val="000000100000" w:firstRow="0" w:lastRow="0" w:firstColumn="0" w:lastColumn="0" w:oddVBand="0" w:evenVBand="0" w:oddHBand="1" w:evenHBand="0" w:firstRowFirstColumn="0" w:firstRowLastColumn="0" w:lastRowFirstColumn="0" w:lastRowLastColumn="0"/>
            </w:pPr>
            <w:r w:rsidRPr="002F64A6">
              <w:t>Strenuous exercise curtailed for all personnel with less than 12 weeks training in hot weather.</w:t>
            </w:r>
          </w:p>
        </w:tc>
      </w:tr>
      <w:tr w:rsidR="006A1638" w:rsidRPr="002F64A6" w14:paraId="2FE3C81E" w14:textId="77777777" w:rsidTr="007133E5">
        <w:trPr>
          <w:cnfStyle w:val="000000010000" w:firstRow="0" w:lastRow="0" w:firstColumn="0" w:lastColumn="0" w:oddVBand="0" w:evenVBand="0" w:oddHBand="0" w:evenHBand="1"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1489" w:type="dxa"/>
            <w:tcBorders>
              <w:bottom w:val="single" w:sz="4" w:space="0" w:color="FFFFFF" w:themeColor="background1"/>
            </w:tcBorders>
            <w:hideMark/>
          </w:tcPr>
          <w:p w14:paraId="113F550F" w14:textId="77777777" w:rsidR="006A1638" w:rsidRPr="002F64A6" w:rsidRDefault="006A1638" w:rsidP="0055085C">
            <w:pPr>
              <w:pStyle w:val="TableCenter"/>
            </w:pPr>
            <w:r w:rsidRPr="002F64A6">
              <w:t>Black</w:t>
            </w:r>
          </w:p>
        </w:tc>
        <w:tc>
          <w:tcPr>
            <w:tcW w:w="1530" w:type="dxa"/>
            <w:tcBorders>
              <w:bottom w:val="single" w:sz="4" w:space="0" w:color="FFFFFF" w:themeColor="background1"/>
            </w:tcBorders>
            <w:hideMark/>
          </w:tcPr>
          <w:p w14:paraId="45AEEBE7" w14:textId="77777777" w:rsidR="006A1638" w:rsidRPr="002F64A6" w:rsidRDefault="006A1638" w:rsidP="0055085C">
            <w:pPr>
              <w:pStyle w:val="TableCenter"/>
              <w:cnfStyle w:val="000000010000" w:firstRow="0" w:lastRow="0" w:firstColumn="0" w:lastColumn="0" w:oddVBand="0" w:evenVBand="0" w:oddHBand="0" w:evenHBand="1" w:firstRowFirstColumn="0" w:firstRowLastColumn="0" w:lastRowFirstColumn="0" w:lastRowLastColumn="0"/>
            </w:pPr>
            <w:r w:rsidRPr="002F64A6">
              <w:t>90.0+</w:t>
            </w:r>
          </w:p>
        </w:tc>
        <w:tc>
          <w:tcPr>
            <w:tcW w:w="6078" w:type="dxa"/>
            <w:tcBorders>
              <w:bottom w:val="single" w:sz="4" w:space="0" w:color="FFFFFF" w:themeColor="background1"/>
            </w:tcBorders>
            <w:hideMark/>
          </w:tcPr>
          <w:p w14:paraId="629CD362" w14:textId="77777777" w:rsidR="006A1638" w:rsidRPr="002F64A6" w:rsidRDefault="006A1638" w:rsidP="0055085C">
            <w:pPr>
              <w:pStyle w:val="TableLeft"/>
              <w:cnfStyle w:val="000000010000" w:firstRow="0" w:lastRow="0" w:firstColumn="0" w:lastColumn="0" w:oddVBand="0" w:evenVBand="0" w:oddHBand="0" w:evenHBand="1" w:firstRowFirstColumn="0" w:firstRowLastColumn="0" w:lastRowFirstColumn="0" w:lastRowLastColumn="0"/>
              <w:rPr>
                <w:color w:val="FFFFFF" w:themeColor="background1"/>
              </w:rPr>
            </w:pPr>
            <w:r w:rsidRPr="002F64A6">
              <w:t>Physical training and strenuous exercise suspended for all personnel (excludes operational commitment not for training purposes).</w:t>
            </w:r>
          </w:p>
        </w:tc>
      </w:tr>
      <w:tr w:rsidR="006A1638" w:rsidRPr="002F64A6" w14:paraId="7BC1D579" w14:textId="77777777" w:rsidTr="007133E5">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097" w:type="dxa"/>
            <w:gridSpan w:val="3"/>
            <w:shd w:val="clear" w:color="auto" w:fill="auto"/>
            <w:noWrap/>
            <w:hideMark/>
          </w:tcPr>
          <w:p w14:paraId="2A233947" w14:textId="3EB0DE00" w:rsidR="006A1638" w:rsidRPr="002F64A6" w:rsidRDefault="00583B02" w:rsidP="0009019F">
            <w:pPr>
              <w:pStyle w:val="Asterisks"/>
              <w:jc w:val="left"/>
              <w:rPr>
                <w:bCs w:val="0"/>
              </w:rPr>
            </w:pPr>
            <w:r w:rsidRPr="002F64A6">
              <w:t xml:space="preserve">Adapted from </w:t>
            </w:r>
            <w:r w:rsidRPr="009A3EE0">
              <w:t>Manual of Naval Preventive Medicine</w:t>
            </w:r>
            <w:r>
              <w:rPr>
                <w:i/>
              </w:rPr>
              <w:t>.</w:t>
            </w:r>
            <w:r w:rsidRPr="002F64A6">
              <w:t xml:space="preserve"> </w:t>
            </w:r>
            <w:r w:rsidR="0009019F">
              <w:t xml:space="preserve">Department of the </w:t>
            </w:r>
            <w:r w:rsidR="0009019F" w:rsidRPr="002F64A6">
              <w:t>Navy</w:t>
            </w:r>
            <w:r w:rsidR="0009019F">
              <w:t xml:space="preserve">. </w:t>
            </w:r>
            <w:r w:rsidRPr="002F64A6">
              <w:t>NAVMED P-5010-3 (Rev. 2-2009)</w:t>
            </w:r>
            <w:r>
              <w:t>.</w:t>
            </w:r>
            <w:r w:rsidRPr="002F64A6">
              <w:t xml:space="preserve"> p. 3-15, Table 3-3.</w:t>
            </w:r>
          </w:p>
        </w:tc>
      </w:tr>
    </w:tbl>
    <w:p w14:paraId="449266EB" w14:textId="630DE778" w:rsidR="00084722" w:rsidRPr="00625F62" w:rsidRDefault="00084722" w:rsidP="00084722">
      <w:pPr>
        <w:rPr>
          <w:highlight w:val="yellow"/>
        </w:rPr>
      </w:pPr>
      <w:r w:rsidRPr="002F64A6">
        <w:t xml:space="preserve">In 2003, the </w:t>
      </w:r>
      <w:r w:rsidR="00102CC4" w:rsidRPr="002D7042">
        <w:t xml:space="preserve">U.S. Army and U.S. Air Force </w:t>
      </w:r>
      <w:r w:rsidR="0095681B" w:rsidRPr="002D7042">
        <w:t xml:space="preserve">issued </w:t>
      </w:r>
      <w:r w:rsidRPr="002D7042">
        <w:t>a technical bulletin on heat stress and effective measures to</w:t>
      </w:r>
      <w:r w:rsidR="00102CC4" w:rsidRPr="002D7042">
        <w:t xml:space="preserve"> </w:t>
      </w:r>
      <w:r w:rsidRPr="002D7042">
        <w:t>prevent heat-related injury in soldiers in both outdoor and indoor workplaces.</w:t>
      </w:r>
      <w:r w:rsidRPr="002D7042">
        <w:rPr>
          <w:rStyle w:val="FootnoteReference"/>
        </w:rPr>
        <w:footnoteReference w:id="77"/>
      </w:r>
      <w:r w:rsidR="00102CC4" w:rsidRPr="002D7042">
        <w:t xml:space="preserve"> </w:t>
      </w:r>
      <w:r w:rsidRPr="002D7042">
        <w:t xml:space="preserve">The main </w:t>
      </w:r>
      <w:r w:rsidR="00BD2164">
        <w:t xml:space="preserve">features </w:t>
      </w:r>
      <w:r w:rsidRPr="002D7042">
        <w:t>of the guidelines are outlined in</w:t>
      </w:r>
      <w:r w:rsidR="004B426B" w:rsidRPr="002D7042">
        <w:t xml:space="preserve"> </w:t>
      </w:r>
      <w:r w:rsidR="00BD2164">
        <w:fldChar w:fldCharType="begin"/>
      </w:r>
      <w:r w:rsidR="00BD2164">
        <w:instrText xml:space="preserve"> REF _Ref514923987 \h </w:instrText>
      </w:r>
      <w:r w:rsidR="00BD2164">
        <w:fldChar w:fldCharType="separate"/>
      </w:r>
      <w:r w:rsidR="00806F98" w:rsidRPr="002F64A6">
        <w:t xml:space="preserve">Table </w:t>
      </w:r>
      <w:r w:rsidR="00806F98">
        <w:rPr>
          <w:noProof/>
        </w:rPr>
        <w:t>1</w:t>
      </w:r>
      <w:r w:rsidR="00BD2164">
        <w:fldChar w:fldCharType="end"/>
      </w:r>
      <w:r w:rsidRPr="003B5355">
        <w:t xml:space="preserve">. The </w:t>
      </w:r>
      <w:r w:rsidR="009A7BC2" w:rsidRPr="003B5355">
        <w:t xml:space="preserve">bulletin </w:t>
      </w:r>
      <w:r w:rsidRPr="003B5355">
        <w:t>provides detailed instructions on</w:t>
      </w:r>
      <w:r w:rsidR="00102CC4" w:rsidRPr="003B5355">
        <w:t xml:space="preserve"> </w:t>
      </w:r>
      <w:r w:rsidRPr="003B5355">
        <w:t>acclimatization, with gradually increasing workload and environmental heat exposure over a</w:t>
      </w:r>
      <w:r w:rsidR="00102CC4" w:rsidRPr="003B5355">
        <w:t xml:space="preserve"> </w:t>
      </w:r>
      <w:r w:rsidRPr="003B5355">
        <w:t xml:space="preserve">two-week period. A rigorous WBGT threshold is calculated for differing work </w:t>
      </w:r>
      <w:r w:rsidRPr="003B5355">
        <w:lastRenderedPageBreak/>
        <w:t>intensities and</w:t>
      </w:r>
      <w:r w:rsidR="00102CC4" w:rsidRPr="003B5355">
        <w:t xml:space="preserve"> </w:t>
      </w:r>
      <w:r w:rsidRPr="003B5355">
        <w:t>environmental temperatures, with a recommended work-rest cycle developed based on these</w:t>
      </w:r>
      <w:r w:rsidR="00102CC4" w:rsidRPr="003B5355">
        <w:t xml:space="preserve"> </w:t>
      </w:r>
      <w:r w:rsidRPr="003B5355">
        <w:t>values.</w:t>
      </w:r>
      <w:r w:rsidRPr="003B5355">
        <w:rPr>
          <w:rStyle w:val="FootnoteReference"/>
        </w:rPr>
        <w:footnoteReference w:id="78"/>
      </w:r>
      <w:r w:rsidRPr="003B5355">
        <w:t xml:space="preserve"> The recommendations limit continuous work after temperatures rise above 82°F for </w:t>
      </w:r>
      <w:r w:rsidR="00DB23CF">
        <w:t>“</w:t>
      </w:r>
      <w:r w:rsidRPr="003B5355">
        <w:t>moderate</w:t>
      </w:r>
      <w:r w:rsidR="00DB23CF">
        <w:t>”</w:t>
      </w:r>
      <w:r w:rsidRPr="003B5355">
        <w:t xml:space="preserve"> intensity work and above 78°F for </w:t>
      </w:r>
      <w:r w:rsidR="00DB23CF">
        <w:t>“</w:t>
      </w:r>
      <w:r w:rsidRPr="003B5355">
        <w:t>hard</w:t>
      </w:r>
      <w:r w:rsidR="00DB23CF">
        <w:t>”</w:t>
      </w:r>
      <w:r w:rsidRPr="003B5355">
        <w:t xml:space="preserve"> work (</w:t>
      </w:r>
      <w:r w:rsidR="00AA1ED1">
        <w:fldChar w:fldCharType="begin"/>
      </w:r>
      <w:r w:rsidR="00AA1ED1">
        <w:instrText xml:space="preserve"> REF _Ref515971421 \h </w:instrText>
      </w:r>
      <w:r w:rsidR="00AA1ED1">
        <w:fldChar w:fldCharType="separate"/>
      </w:r>
      <w:r w:rsidR="00806F98" w:rsidRPr="002F64A6">
        <w:t xml:space="preserve">Table </w:t>
      </w:r>
      <w:r w:rsidR="00806F98">
        <w:rPr>
          <w:noProof/>
        </w:rPr>
        <w:t>5</w:t>
      </w:r>
      <w:r w:rsidR="00AA1ED1">
        <w:fldChar w:fldCharType="end"/>
      </w:r>
      <w:r w:rsidRPr="003B5355">
        <w:t>).</w:t>
      </w:r>
    </w:p>
    <w:p w14:paraId="2D14D94D" w14:textId="0136DB7C" w:rsidR="00D02393" w:rsidRPr="002F64A6" w:rsidRDefault="0070132B" w:rsidP="00D02393">
      <w:pPr>
        <w:pStyle w:val="Caption"/>
      </w:pPr>
      <w:bookmarkStart w:id="24" w:name="_Ref515971421"/>
      <w:r w:rsidRPr="002F64A6">
        <w:t xml:space="preserve">Table </w:t>
      </w:r>
      <w:r w:rsidR="00E221DB">
        <w:fldChar w:fldCharType="begin"/>
      </w:r>
      <w:r w:rsidR="00E221DB">
        <w:instrText xml:space="preserve"> SEQ Table \* ARABIC </w:instrText>
      </w:r>
      <w:r w:rsidR="00E221DB">
        <w:fldChar w:fldCharType="separate"/>
      </w:r>
      <w:r w:rsidR="00806F98">
        <w:rPr>
          <w:noProof/>
        </w:rPr>
        <w:t>5</w:t>
      </w:r>
      <w:r w:rsidR="00E221DB">
        <w:rPr>
          <w:noProof/>
        </w:rPr>
        <w:fldChar w:fldCharType="end"/>
      </w:r>
      <w:bookmarkEnd w:id="24"/>
      <w:r w:rsidRPr="002F64A6">
        <w:t>. U.S. Army</w:t>
      </w:r>
      <w:r w:rsidR="00AB571B">
        <w:t xml:space="preserve"> and</w:t>
      </w:r>
      <w:r w:rsidRPr="002F64A6">
        <w:t xml:space="preserve"> U.S. Air Force</w:t>
      </w:r>
      <w:r w:rsidR="00AB571B">
        <w:t xml:space="preserve"> </w:t>
      </w:r>
      <w:r w:rsidRPr="002F64A6">
        <w:t>fluid replacement and</w:t>
      </w:r>
      <w:r w:rsidRPr="002F64A6">
        <w:br/>
        <w:t>work/rest guidelines for warm weather training conditions</w:t>
      </w:r>
    </w:p>
    <w:tbl>
      <w:tblPr>
        <w:tblStyle w:val="LightShading-Accent5"/>
        <w:tblW w:w="4750" w:type="pct"/>
        <w:jc w:val="center"/>
        <w:tblLayout w:type="fixed"/>
        <w:tblLook w:val="04A0" w:firstRow="1" w:lastRow="0" w:firstColumn="1" w:lastColumn="0" w:noHBand="0" w:noVBand="1"/>
      </w:tblPr>
      <w:tblGrid>
        <w:gridCol w:w="1137"/>
        <w:gridCol w:w="1137"/>
        <w:gridCol w:w="758"/>
        <w:gridCol w:w="379"/>
        <w:gridCol w:w="1137"/>
        <w:gridCol w:w="1137"/>
        <w:gridCol w:w="379"/>
        <w:gridCol w:w="758"/>
        <w:gridCol w:w="1137"/>
        <w:gridCol w:w="1138"/>
      </w:tblGrid>
      <w:tr w:rsidR="00F91A87" w:rsidRPr="002F64A6" w14:paraId="12967387" w14:textId="77777777" w:rsidTr="00F21286">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274" w:type="dxa"/>
            <w:gridSpan w:val="2"/>
          </w:tcPr>
          <w:p w14:paraId="321F5598" w14:textId="77777777" w:rsidR="009653C6" w:rsidRPr="002F64A6" w:rsidRDefault="009653C6" w:rsidP="009653C6">
            <w:pPr>
              <w:pStyle w:val="TableHeading"/>
              <w:rPr>
                <w:sz w:val="20"/>
                <w:szCs w:val="20"/>
              </w:rPr>
            </w:pPr>
          </w:p>
        </w:tc>
        <w:tc>
          <w:tcPr>
            <w:tcW w:w="2274" w:type="dxa"/>
            <w:gridSpan w:val="3"/>
          </w:tcPr>
          <w:p w14:paraId="67CBFE9B"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Easy Work</w:t>
            </w:r>
          </w:p>
          <w:p w14:paraId="256CEBB7" w14:textId="17F3804A"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(250 W)</w:t>
            </w:r>
          </w:p>
        </w:tc>
        <w:tc>
          <w:tcPr>
            <w:tcW w:w="2274" w:type="dxa"/>
            <w:gridSpan w:val="3"/>
          </w:tcPr>
          <w:p w14:paraId="738D53A6"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Moderate Work</w:t>
            </w:r>
          </w:p>
          <w:p w14:paraId="0EBE4A8A" w14:textId="0FCEED10"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(425 W)</w:t>
            </w:r>
          </w:p>
        </w:tc>
        <w:tc>
          <w:tcPr>
            <w:tcW w:w="2275" w:type="dxa"/>
            <w:gridSpan w:val="2"/>
          </w:tcPr>
          <w:p w14:paraId="106925B4" w14:textId="77777777"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Hard Work</w:t>
            </w:r>
          </w:p>
          <w:p w14:paraId="33DF24E0" w14:textId="2CD82848" w:rsidR="009653C6" w:rsidRPr="002F64A6" w:rsidRDefault="009653C6" w:rsidP="009653C6">
            <w:pPr>
              <w:pStyle w:val="TableHeading"/>
              <w:cnfStyle w:val="100000000000" w:firstRow="1" w:lastRow="0" w:firstColumn="0" w:lastColumn="0" w:oddVBand="0" w:evenVBand="0" w:oddHBand="0" w:evenHBand="0" w:firstRowFirstColumn="0" w:firstRowLastColumn="0" w:lastRowFirstColumn="0" w:lastRowLastColumn="0"/>
              <w:rPr>
                <w:sz w:val="20"/>
                <w:szCs w:val="20"/>
              </w:rPr>
            </w:pPr>
            <w:r w:rsidRPr="002F64A6">
              <w:rPr>
                <w:sz w:val="20"/>
                <w:szCs w:val="20"/>
              </w:rPr>
              <w:t>(600 W)</w:t>
            </w:r>
          </w:p>
        </w:tc>
      </w:tr>
      <w:tr w:rsidR="008B693E" w:rsidRPr="002F64A6" w14:paraId="696820D8"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shd w:val="clear" w:color="auto" w:fill="4F81BD"/>
            <w:vAlign w:val="bottom"/>
          </w:tcPr>
          <w:p w14:paraId="30DAC6D4" w14:textId="74121F68" w:rsidR="009653C6" w:rsidRPr="002F64A6" w:rsidRDefault="00093CBA" w:rsidP="008B693E">
            <w:pPr>
              <w:pStyle w:val="TableHeading"/>
              <w:rPr>
                <w:sz w:val="20"/>
                <w:szCs w:val="20"/>
              </w:rPr>
            </w:pPr>
            <w:r w:rsidRPr="002F64A6">
              <w:rPr>
                <w:sz w:val="20"/>
                <w:szCs w:val="20"/>
              </w:rPr>
              <w:t>Heat</w:t>
            </w:r>
            <w:r w:rsidRPr="002F64A6">
              <w:rPr>
                <w:sz w:val="20"/>
                <w:szCs w:val="20"/>
              </w:rPr>
              <w:br/>
            </w:r>
            <w:r w:rsidR="009653C6" w:rsidRPr="002F64A6">
              <w:rPr>
                <w:sz w:val="20"/>
                <w:szCs w:val="20"/>
              </w:rPr>
              <w:t>Category</w:t>
            </w:r>
          </w:p>
        </w:tc>
        <w:tc>
          <w:tcPr>
            <w:tcW w:w="1137" w:type="dxa"/>
            <w:shd w:val="clear" w:color="auto" w:fill="4F81BD"/>
            <w:vAlign w:val="bottom"/>
          </w:tcPr>
          <w:p w14:paraId="540A831D" w14:textId="44EDB51D"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WBGT</w:t>
            </w:r>
            <w:r w:rsidR="00A31FD1" w:rsidRPr="002F64A6">
              <w:rPr>
                <w:sz w:val="20"/>
                <w:szCs w:val="20"/>
              </w:rPr>
              <w:t xml:space="preserve"> </w:t>
            </w:r>
            <w:r w:rsidRPr="002F64A6">
              <w:rPr>
                <w:sz w:val="20"/>
                <w:szCs w:val="20"/>
              </w:rPr>
              <w:t>Index (°F)</w:t>
            </w:r>
          </w:p>
        </w:tc>
        <w:tc>
          <w:tcPr>
            <w:tcW w:w="1137" w:type="dxa"/>
            <w:gridSpan w:val="2"/>
            <w:shd w:val="clear" w:color="auto" w:fill="4F81BD"/>
            <w:vAlign w:val="bottom"/>
          </w:tcPr>
          <w:p w14:paraId="3254D00B" w14:textId="27F6AADB"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vertAlign w:val="superscript"/>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A31FD1" w:rsidRPr="002F64A6">
              <w:rPr>
                <w:sz w:val="20"/>
                <w:szCs w:val="20"/>
              </w:rPr>
              <w:t xml:space="preserve"> (minutes)</w:t>
            </w:r>
          </w:p>
        </w:tc>
        <w:tc>
          <w:tcPr>
            <w:tcW w:w="1137" w:type="dxa"/>
            <w:shd w:val="clear" w:color="auto" w:fill="4F81BD"/>
            <w:vAlign w:val="bottom"/>
          </w:tcPr>
          <w:p w14:paraId="7ABE0E09" w14:textId="649F6913" w:rsidR="009653C6" w:rsidRPr="002F64A6" w:rsidRDefault="009653C6" w:rsidP="00A31FD1">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w:t>
            </w:r>
            <w:r w:rsidR="00A31FD1" w:rsidRPr="002F64A6">
              <w:rPr>
                <w:sz w:val="20"/>
                <w:szCs w:val="20"/>
              </w:rPr>
              <w:t xml:space="preserve"> </w:t>
            </w:r>
            <w:r w:rsidRPr="002F64A6">
              <w:rPr>
                <w:sz w:val="20"/>
                <w:szCs w:val="20"/>
              </w:rPr>
              <w:t>Intake (</w:t>
            </w:r>
            <w:proofErr w:type="spellStart"/>
            <w:r w:rsidRPr="002F64A6">
              <w:rPr>
                <w:sz w:val="20"/>
                <w:szCs w:val="20"/>
              </w:rPr>
              <w:t>qt</w:t>
            </w:r>
            <w:proofErr w:type="spellEnd"/>
            <w:r w:rsidRPr="002F64A6">
              <w:rPr>
                <w:sz w:val="20"/>
                <w:szCs w:val="20"/>
              </w:rPr>
              <w:t>/</w:t>
            </w:r>
            <w:proofErr w:type="spellStart"/>
            <w:r w:rsidRPr="002F64A6">
              <w:rPr>
                <w:sz w:val="20"/>
                <w:szCs w:val="20"/>
              </w:rPr>
              <w:t>hr</w:t>
            </w:r>
            <w:proofErr w:type="spellEnd"/>
            <w:r w:rsidRPr="002F64A6">
              <w:rPr>
                <w:sz w:val="20"/>
                <w:szCs w:val="20"/>
              </w:rPr>
              <w:t>)</w:t>
            </w:r>
          </w:p>
        </w:tc>
        <w:tc>
          <w:tcPr>
            <w:tcW w:w="1137" w:type="dxa"/>
            <w:shd w:val="clear" w:color="auto" w:fill="4F81BD"/>
            <w:vAlign w:val="bottom"/>
          </w:tcPr>
          <w:p w14:paraId="5B0DEC84" w14:textId="77777777"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p>
          <w:p w14:paraId="682D5984" w14:textId="403757B9" w:rsidR="00521BB8" w:rsidRPr="002F64A6" w:rsidRDefault="00521BB8"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(minutes)</w:t>
            </w:r>
          </w:p>
        </w:tc>
        <w:tc>
          <w:tcPr>
            <w:tcW w:w="1137" w:type="dxa"/>
            <w:gridSpan w:val="2"/>
            <w:shd w:val="clear" w:color="auto" w:fill="4F81BD"/>
            <w:vAlign w:val="bottom"/>
          </w:tcPr>
          <w:p w14:paraId="2ED00CAC" w14:textId="0B58FBF4"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w:t>
            </w:r>
            <w:proofErr w:type="spellStart"/>
            <w:r w:rsidRPr="002F64A6">
              <w:rPr>
                <w:sz w:val="20"/>
                <w:szCs w:val="20"/>
              </w:rPr>
              <w:t>qt</w:t>
            </w:r>
            <w:proofErr w:type="spellEnd"/>
            <w:r w:rsidRPr="002F64A6">
              <w:rPr>
                <w:sz w:val="20"/>
                <w:szCs w:val="20"/>
              </w:rPr>
              <w:t>/</w:t>
            </w:r>
            <w:proofErr w:type="spellStart"/>
            <w:r w:rsidRPr="002F64A6">
              <w:rPr>
                <w:sz w:val="20"/>
                <w:szCs w:val="20"/>
              </w:rPr>
              <w:t>hr</w:t>
            </w:r>
            <w:proofErr w:type="spellEnd"/>
            <w:r w:rsidRPr="002F64A6">
              <w:rPr>
                <w:sz w:val="20"/>
                <w:szCs w:val="20"/>
              </w:rPr>
              <w:t>)</w:t>
            </w:r>
          </w:p>
        </w:tc>
        <w:tc>
          <w:tcPr>
            <w:tcW w:w="1137" w:type="dxa"/>
            <w:shd w:val="clear" w:color="auto" w:fill="4F81BD"/>
            <w:vAlign w:val="bottom"/>
          </w:tcPr>
          <w:p w14:paraId="7E82F5A7" w14:textId="6DB5C66F"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Work</w:t>
            </w:r>
            <w:r w:rsidR="008B693E" w:rsidRPr="002F64A6">
              <w:rPr>
                <w:sz w:val="20"/>
                <w:szCs w:val="20"/>
              </w:rPr>
              <w:t xml:space="preserve"> </w:t>
            </w:r>
            <w:r w:rsidRPr="002F64A6">
              <w:rPr>
                <w:sz w:val="20"/>
                <w:szCs w:val="20"/>
              </w:rPr>
              <w:t>/</w:t>
            </w:r>
            <w:r w:rsidR="008B693E" w:rsidRPr="002F64A6">
              <w:rPr>
                <w:sz w:val="20"/>
                <w:szCs w:val="20"/>
              </w:rPr>
              <w:t xml:space="preserve"> </w:t>
            </w:r>
            <w:r w:rsidRPr="002F64A6">
              <w:rPr>
                <w:sz w:val="20"/>
                <w:szCs w:val="20"/>
              </w:rPr>
              <w:t>Rest</w:t>
            </w:r>
            <w:r w:rsidR="008F350C" w:rsidRPr="002F64A6">
              <w:rPr>
                <w:sz w:val="20"/>
                <w:szCs w:val="20"/>
              </w:rPr>
              <w:t xml:space="preserve"> (minutes)</w:t>
            </w:r>
          </w:p>
        </w:tc>
        <w:tc>
          <w:tcPr>
            <w:tcW w:w="1138" w:type="dxa"/>
            <w:shd w:val="clear" w:color="auto" w:fill="4F81BD"/>
            <w:vAlign w:val="bottom"/>
          </w:tcPr>
          <w:p w14:paraId="0116F957" w14:textId="29AE696B" w:rsidR="009653C6" w:rsidRPr="002F64A6" w:rsidRDefault="009653C6" w:rsidP="008B693E">
            <w:pPr>
              <w:pStyle w:val="TableHeading"/>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Water Intake (at/</w:t>
            </w:r>
            <w:proofErr w:type="spellStart"/>
            <w:r w:rsidRPr="002F64A6">
              <w:rPr>
                <w:sz w:val="20"/>
                <w:szCs w:val="20"/>
              </w:rPr>
              <w:t>hr</w:t>
            </w:r>
            <w:proofErr w:type="spellEnd"/>
            <w:r w:rsidRPr="002F64A6">
              <w:rPr>
                <w:sz w:val="20"/>
                <w:szCs w:val="20"/>
              </w:rPr>
              <w:t>)</w:t>
            </w:r>
          </w:p>
        </w:tc>
      </w:tr>
      <w:tr w:rsidR="00F91A87" w:rsidRPr="002F64A6" w14:paraId="0C46E4D3"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5AC0FF0C" w14:textId="413FE8FA" w:rsidR="009653C6" w:rsidRPr="002F64A6" w:rsidRDefault="009653C6" w:rsidP="009653C6">
            <w:pPr>
              <w:pStyle w:val="TableCenter"/>
              <w:rPr>
                <w:sz w:val="20"/>
                <w:szCs w:val="20"/>
              </w:rPr>
            </w:pPr>
            <w:r w:rsidRPr="002F64A6">
              <w:rPr>
                <w:sz w:val="20"/>
                <w:szCs w:val="20"/>
              </w:rPr>
              <w:t>1</w:t>
            </w:r>
          </w:p>
        </w:tc>
        <w:tc>
          <w:tcPr>
            <w:tcW w:w="1137" w:type="dxa"/>
            <w:vAlign w:val="bottom"/>
          </w:tcPr>
          <w:p w14:paraId="390548F9" w14:textId="79A8A4E3"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78 – 81.9</w:t>
            </w:r>
          </w:p>
        </w:tc>
        <w:tc>
          <w:tcPr>
            <w:tcW w:w="1137" w:type="dxa"/>
            <w:gridSpan w:val="2"/>
            <w:vAlign w:val="bottom"/>
          </w:tcPr>
          <w:p w14:paraId="1ACD5B97" w14:textId="4FCFC57C" w:rsidR="009653C6" w:rsidRPr="002F64A6" w:rsidRDefault="009653C6" w:rsidP="00A31FD1">
            <w:pPr>
              <w:pStyle w:val="TableCenter"/>
              <w:cnfStyle w:val="000000010000" w:firstRow="0" w:lastRow="0" w:firstColumn="0" w:lastColumn="0" w:oddVBand="0" w:evenVBand="0" w:oddHBand="0" w:evenHBand="1" w:firstRowFirstColumn="0" w:firstRowLastColumn="0" w:lastRowFirstColumn="0" w:lastRowLastColumn="0"/>
              <w:rPr>
                <w:sz w:val="20"/>
                <w:szCs w:val="20"/>
                <w:vertAlign w:val="superscript"/>
              </w:rPr>
            </w:pPr>
            <w:r w:rsidRPr="002F64A6">
              <w:rPr>
                <w:sz w:val="20"/>
                <w:szCs w:val="20"/>
              </w:rPr>
              <w:t>NL</w:t>
            </w:r>
            <w:r w:rsidR="00A31FD1" w:rsidRPr="002F64A6">
              <w:rPr>
                <w:sz w:val="20"/>
                <w:szCs w:val="20"/>
              </w:rPr>
              <w:t>*</w:t>
            </w:r>
          </w:p>
        </w:tc>
        <w:tc>
          <w:tcPr>
            <w:tcW w:w="1137" w:type="dxa"/>
            <w:vAlign w:val="bottom"/>
          </w:tcPr>
          <w:p w14:paraId="533F6F3E" w14:textId="7E95259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0.5</w:t>
            </w:r>
          </w:p>
        </w:tc>
        <w:tc>
          <w:tcPr>
            <w:tcW w:w="1137" w:type="dxa"/>
            <w:vAlign w:val="bottom"/>
          </w:tcPr>
          <w:p w14:paraId="439B90FD" w14:textId="7A8DA795"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gridSpan w:val="2"/>
            <w:vAlign w:val="bottom"/>
          </w:tcPr>
          <w:p w14:paraId="4216103A" w14:textId="4F56015E"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63796480" w14:textId="3F93A9AD"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(70)**</w:t>
            </w:r>
          </w:p>
        </w:tc>
        <w:tc>
          <w:tcPr>
            <w:tcW w:w="1138" w:type="dxa"/>
            <w:vAlign w:val="bottom"/>
          </w:tcPr>
          <w:p w14:paraId="43115DC3" w14:textId="3D2549D4" w:rsidR="009653C6" w:rsidRPr="002F64A6" w:rsidRDefault="003A64D9"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r>
      <w:tr w:rsidR="00F91A87" w:rsidRPr="002F64A6" w14:paraId="46E05AA3"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16C5241C" w14:textId="4BD999DC" w:rsidR="009653C6" w:rsidRPr="002F64A6" w:rsidRDefault="009653C6" w:rsidP="009653C6">
            <w:pPr>
              <w:pStyle w:val="TableCenter"/>
              <w:rPr>
                <w:sz w:val="20"/>
                <w:szCs w:val="20"/>
              </w:rPr>
            </w:pPr>
            <w:r w:rsidRPr="002F64A6">
              <w:rPr>
                <w:sz w:val="20"/>
                <w:szCs w:val="20"/>
              </w:rPr>
              <w:t>2 (green)</w:t>
            </w:r>
          </w:p>
        </w:tc>
        <w:tc>
          <w:tcPr>
            <w:tcW w:w="1137" w:type="dxa"/>
            <w:vAlign w:val="bottom"/>
          </w:tcPr>
          <w:p w14:paraId="2406F527" w14:textId="55CA9CF0"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82 – 84.9</w:t>
            </w:r>
          </w:p>
        </w:tc>
        <w:tc>
          <w:tcPr>
            <w:tcW w:w="1137" w:type="dxa"/>
            <w:gridSpan w:val="2"/>
            <w:vAlign w:val="bottom"/>
          </w:tcPr>
          <w:p w14:paraId="39F7AEBD" w14:textId="3BC8404D"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6DF74CC4" w14:textId="1F5D35FF"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0.5</w:t>
            </w:r>
          </w:p>
        </w:tc>
        <w:tc>
          <w:tcPr>
            <w:tcW w:w="1137" w:type="dxa"/>
            <w:vAlign w:val="bottom"/>
          </w:tcPr>
          <w:p w14:paraId="4348FFAD" w14:textId="19A37E8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50/10</w:t>
            </w:r>
            <w:r w:rsidR="00A31FD1" w:rsidRPr="002F64A6">
              <w:rPr>
                <w:sz w:val="20"/>
                <w:szCs w:val="20"/>
              </w:rPr>
              <w:t xml:space="preserve"> (150)**</w:t>
            </w:r>
          </w:p>
        </w:tc>
        <w:tc>
          <w:tcPr>
            <w:tcW w:w="1137" w:type="dxa"/>
            <w:gridSpan w:val="2"/>
            <w:vAlign w:val="bottom"/>
          </w:tcPr>
          <w:p w14:paraId="62856F14" w14:textId="0BA1B031"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34034D4D" w14:textId="39F35AD7" w:rsidR="009653C6" w:rsidRPr="002F64A6" w:rsidRDefault="009653C6"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(65)**</w:t>
            </w:r>
          </w:p>
        </w:tc>
        <w:tc>
          <w:tcPr>
            <w:tcW w:w="1138" w:type="dxa"/>
            <w:vAlign w:val="bottom"/>
          </w:tcPr>
          <w:p w14:paraId="7DB94030" w14:textId="782468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CAC2D27"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2801F9F4" w14:textId="75F05AFF" w:rsidR="009653C6" w:rsidRPr="002F64A6" w:rsidRDefault="009653C6" w:rsidP="009653C6">
            <w:pPr>
              <w:pStyle w:val="TableCenter"/>
              <w:rPr>
                <w:sz w:val="20"/>
                <w:szCs w:val="20"/>
              </w:rPr>
            </w:pPr>
            <w:r w:rsidRPr="002F64A6">
              <w:rPr>
                <w:sz w:val="20"/>
                <w:szCs w:val="20"/>
              </w:rPr>
              <w:t>3 (yellow)</w:t>
            </w:r>
          </w:p>
        </w:tc>
        <w:tc>
          <w:tcPr>
            <w:tcW w:w="1137" w:type="dxa"/>
            <w:vAlign w:val="bottom"/>
          </w:tcPr>
          <w:p w14:paraId="6EDEDE34" w14:textId="58F3826C"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85 – 87.9</w:t>
            </w:r>
          </w:p>
        </w:tc>
        <w:tc>
          <w:tcPr>
            <w:tcW w:w="1137" w:type="dxa"/>
            <w:gridSpan w:val="2"/>
            <w:vAlign w:val="bottom"/>
          </w:tcPr>
          <w:p w14:paraId="76FF658D" w14:textId="0C57990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NL</w:t>
            </w:r>
          </w:p>
        </w:tc>
        <w:tc>
          <w:tcPr>
            <w:tcW w:w="1137" w:type="dxa"/>
            <w:vAlign w:val="bottom"/>
          </w:tcPr>
          <w:p w14:paraId="3EE7CB62" w14:textId="3827D875"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p>
        </w:tc>
        <w:tc>
          <w:tcPr>
            <w:tcW w:w="1137" w:type="dxa"/>
            <w:vAlign w:val="bottom"/>
          </w:tcPr>
          <w:p w14:paraId="5D723D80" w14:textId="5D238312"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40/20</w:t>
            </w:r>
            <w:r w:rsidR="00A31FD1" w:rsidRPr="002F64A6">
              <w:rPr>
                <w:sz w:val="20"/>
                <w:szCs w:val="20"/>
              </w:rPr>
              <w:t xml:space="preserve"> (100)**</w:t>
            </w:r>
          </w:p>
        </w:tc>
        <w:tc>
          <w:tcPr>
            <w:tcW w:w="1137" w:type="dxa"/>
            <w:gridSpan w:val="2"/>
            <w:vAlign w:val="bottom"/>
          </w:tcPr>
          <w:p w14:paraId="02AE3B9C" w14:textId="54B4AB50" w:rsidR="009653C6" w:rsidRPr="002F64A6" w:rsidRDefault="00917A48"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0.75</w:t>
            </w:r>
            <w:r w:rsidR="00A31FD1" w:rsidRPr="002F64A6">
              <w:rPr>
                <w:sz w:val="20"/>
                <w:szCs w:val="20"/>
              </w:rPr>
              <w:t xml:space="preserve"> (1)**</w:t>
            </w:r>
          </w:p>
        </w:tc>
        <w:tc>
          <w:tcPr>
            <w:tcW w:w="1137" w:type="dxa"/>
            <w:vAlign w:val="bottom"/>
          </w:tcPr>
          <w:p w14:paraId="7131768F" w14:textId="1F00AED7" w:rsidR="009653C6" w:rsidRPr="002F64A6" w:rsidRDefault="009653C6"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30/30</w:t>
            </w:r>
            <w:r w:rsidR="00A31FD1" w:rsidRPr="002F64A6">
              <w:rPr>
                <w:sz w:val="20"/>
                <w:szCs w:val="20"/>
              </w:rPr>
              <w:t xml:space="preserve"> (55)**</w:t>
            </w:r>
          </w:p>
        </w:tc>
        <w:tc>
          <w:tcPr>
            <w:tcW w:w="1138" w:type="dxa"/>
            <w:vAlign w:val="bottom"/>
          </w:tcPr>
          <w:p w14:paraId="119E3035" w14:textId="4F0D4609"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72B79F1F"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vAlign w:val="bottom"/>
          </w:tcPr>
          <w:p w14:paraId="744D3171" w14:textId="20DFCCD1" w:rsidR="009653C6" w:rsidRPr="002F64A6" w:rsidRDefault="009653C6" w:rsidP="009653C6">
            <w:pPr>
              <w:pStyle w:val="TableCenter"/>
              <w:rPr>
                <w:sz w:val="20"/>
                <w:szCs w:val="20"/>
              </w:rPr>
            </w:pPr>
            <w:r w:rsidRPr="002F64A6">
              <w:rPr>
                <w:sz w:val="20"/>
                <w:szCs w:val="20"/>
              </w:rPr>
              <w:t>4 (red)</w:t>
            </w:r>
          </w:p>
        </w:tc>
        <w:tc>
          <w:tcPr>
            <w:tcW w:w="1137" w:type="dxa"/>
            <w:vAlign w:val="bottom"/>
          </w:tcPr>
          <w:p w14:paraId="506EBB0E" w14:textId="10DF3DE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88 – 89.9</w:t>
            </w:r>
          </w:p>
        </w:tc>
        <w:tc>
          <w:tcPr>
            <w:tcW w:w="1137" w:type="dxa"/>
            <w:gridSpan w:val="2"/>
            <w:vAlign w:val="bottom"/>
          </w:tcPr>
          <w:p w14:paraId="430ADD6E" w14:textId="179646DC"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NL</w:t>
            </w:r>
          </w:p>
        </w:tc>
        <w:tc>
          <w:tcPr>
            <w:tcW w:w="1137" w:type="dxa"/>
            <w:vAlign w:val="bottom"/>
          </w:tcPr>
          <w:p w14:paraId="12DD9A88" w14:textId="7646A4FD"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p>
        </w:tc>
        <w:tc>
          <w:tcPr>
            <w:tcW w:w="1137" w:type="dxa"/>
            <w:vAlign w:val="bottom"/>
          </w:tcPr>
          <w:p w14:paraId="5A7E1784" w14:textId="21085650"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30/30</w:t>
            </w:r>
            <w:r w:rsidR="00A31FD1" w:rsidRPr="002F64A6">
              <w:rPr>
                <w:sz w:val="20"/>
                <w:szCs w:val="20"/>
              </w:rPr>
              <w:t xml:space="preserve"> (80)**</w:t>
            </w:r>
          </w:p>
        </w:tc>
        <w:tc>
          <w:tcPr>
            <w:tcW w:w="1137" w:type="dxa"/>
            <w:gridSpan w:val="2"/>
            <w:vAlign w:val="bottom"/>
          </w:tcPr>
          <w:p w14:paraId="32590110" w14:textId="62FA3F7C" w:rsidR="009653C6" w:rsidRPr="002F64A6" w:rsidRDefault="00917A48"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0.75</w:t>
            </w:r>
            <w:r w:rsidR="00A31FD1" w:rsidRPr="002F64A6">
              <w:rPr>
                <w:sz w:val="20"/>
                <w:szCs w:val="20"/>
              </w:rPr>
              <w:t xml:space="preserve"> (1.25)**</w:t>
            </w:r>
          </w:p>
        </w:tc>
        <w:tc>
          <w:tcPr>
            <w:tcW w:w="1137" w:type="dxa"/>
            <w:vAlign w:val="bottom"/>
          </w:tcPr>
          <w:p w14:paraId="1B8AA20D" w14:textId="1CEE4976" w:rsidR="009653C6" w:rsidRPr="002F64A6" w:rsidRDefault="008F350C" w:rsidP="008F350C">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20/40</w:t>
            </w:r>
            <w:r w:rsidR="00A31FD1" w:rsidRPr="002F64A6">
              <w:rPr>
                <w:sz w:val="20"/>
                <w:szCs w:val="20"/>
              </w:rPr>
              <w:t xml:space="preserve"> (50)**</w:t>
            </w:r>
          </w:p>
        </w:tc>
        <w:tc>
          <w:tcPr>
            <w:tcW w:w="1138" w:type="dxa"/>
            <w:vAlign w:val="bottom"/>
          </w:tcPr>
          <w:p w14:paraId="30777B08" w14:textId="121EE778" w:rsidR="009653C6" w:rsidRPr="002F64A6" w:rsidRDefault="009653C6"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r>
      <w:tr w:rsidR="00F91A87" w:rsidRPr="002F64A6" w14:paraId="2EC84B68"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137" w:type="dxa"/>
            <w:tcBorders>
              <w:bottom w:val="single" w:sz="4" w:space="0" w:color="FFFFFF" w:themeColor="background1"/>
            </w:tcBorders>
            <w:vAlign w:val="bottom"/>
          </w:tcPr>
          <w:p w14:paraId="09605177" w14:textId="44C14238" w:rsidR="009653C6" w:rsidRPr="002F64A6" w:rsidRDefault="009653C6" w:rsidP="009653C6">
            <w:pPr>
              <w:pStyle w:val="TableCenter"/>
              <w:rPr>
                <w:sz w:val="20"/>
                <w:szCs w:val="20"/>
              </w:rPr>
            </w:pPr>
            <w:r w:rsidRPr="002F64A6">
              <w:rPr>
                <w:sz w:val="20"/>
                <w:szCs w:val="20"/>
              </w:rPr>
              <w:t>5 (black)</w:t>
            </w:r>
          </w:p>
        </w:tc>
        <w:tc>
          <w:tcPr>
            <w:tcW w:w="1137" w:type="dxa"/>
            <w:tcBorders>
              <w:bottom w:val="single" w:sz="4" w:space="0" w:color="FFFFFF" w:themeColor="background1"/>
            </w:tcBorders>
            <w:vAlign w:val="bottom"/>
          </w:tcPr>
          <w:p w14:paraId="4F21F69B" w14:textId="5F56AA7F"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&gt;90</w:t>
            </w:r>
          </w:p>
        </w:tc>
        <w:tc>
          <w:tcPr>
            <w:tcW w:w="1137" w:type="dxa"/>
            <w:gridSpan w:val="2"/>
            <w:tcBorders>
              <w:bottom w:val="single" w:sz="4" w:space="0" w:color="FFFFFF" w:themeColor="background1"/>
            </w:tcBorders>
            <w:vAlign w:val="bottom"/>
          </w:tcPr>
          <w:p w14:paraId="551AD023" w14:textId="77777777"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50/10</w:t>
            </w:r>
          </w:p>
          <w:p w14:paraId="64FE70DF" w14:textId="6AFCC82B" w:rsidR="00A31FD1" w:rsidRPr="002F64A6" w:rsidRDefault="00A31FD1"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(180)**</w:t>
            </w:r>
          </w:p>
        </w:tc>
        <w:tc>
          <w:tcPr>
            <w:tcW w:w="1137" w:type="dxa"/>
            <w:tcBorders>
              <w:bottom w:val="single" w:sz="4" w:space="0" w:color="FFFFFF" w:themeColor="background1"/>
            </w:tcBorders>
            <w:vAlign w:val="bottom"/>
          </w:tcPr>
          <w:p w14:paraId="103D0FAE" w14:textId="5113AAD6"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p>
        </w:tc>
        <w:tc>
          <w:tcPr>
            <w:tcW w:w="1137" w:type="dxa"/>
            <w:tcBorders>
              <w:bottom w:val="single" w:sz="4" w:space="0" w:color="FFFFFF" w:themeColor="background1"/>
            </w:tcBorders>
            <w:vAlign w:val="bottom"/>
          </w:tcPr>
          <w:p w14:paraId="118F3292" w14:textId="2AADD637" w:rsidR="009653C6" w:rsidRPr="002F64A6" w:rsidRDefault="008F350C"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20/40</w:t>
            </w:r>
            <w:r w:rsidR="00A31FD1" w:rsidRPr="002F64A6">
              <w:rPr>
                <w:sz w:val="20"/>
                <w:szCs w:val="20"/>
              </w:rPr>
              <w:t xml:space="preserve"> (70)**</w:t>
            </w:r>
          </w:p>
        </w:tc>
        <w:tc>
          <w:tcPr>
            <w:tcW w:w="1137" w:type="dxa"/>
            <w:gridSpan w:val="2"/>
            <w:tcBorders>
              <w:bottom w:val="single" w:sz="4" w:space="0" w:color="FFFFFF" w:themeColor="background1"/>
            </w:tcBorders>
            <w:vAlign w:val="bottom"/>
          </w:tcPr>
          <w:p w14:paraId="3D93D2E5" w14:textId="11C42420"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(1.25)**</w:t>
            </w:r>
          </w:p>
        </w:tc>
        <w:tc>
          <w:tcPr>
            <w:tcW w:w="1137" w:type="dxa"/>
            <w:tcBorders>
              <w:bottom w:val="single" w:sz="4" w:space="0" w:color="FFFFFF" w:themeColor="background1"/>
            </w:tcBorders>
            <w:vAlign w:val="bottom"/>
          </w:tcPr>
          <w:p w14:paraId="6B0E7C72" w14:textId="298BFF15" w:rsidR="009653C6" w:rsidRPr="002F64A6" w:rsidRDefault="008F350C" w:rsidP="008F350C">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10/50</w:t>
            </w:r>
            <w:r w:rsidR="00A31FD1" w:rsidRPr="002F64A6">
              <w:rPr>
                <w:sz w:val="20"/>
                <w:szCs w:val="20"/>
              </w:rPr>
              <w:t xml:space="preserve"> (45)**</w:t>
            </w:r>
          </w:p>
        </w:tc>
        <w:tc>
          <w:tcPr>
            <w:tcW w:w="1138" w:type="dxa"/>
            <w:tcBorders>
              <w:bottom w:val="single" w:sz="4" w:space="0" w:color="FFFFFF" w:themeColor="background1"/>
            </w:tcBorders>
            <w:vAlign w:val="bottom"/>
          </w:tcPr>
          <w:p w14:paraId="25C918C7" w14:textId="06679BC7" w:rsidR="009653C6" w:rsidRPr="002F64A6" w:rsidRDefault="009653C6" w:rsidP="009653C6">
            <w:pPr>
              <w:pStyle w:val="TableCenter"/>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1</w:t>
            </w:r>
            <w:r w:rsidR="00A31FD1" w:rsidRPr="002F64A6">
              <w:rPr>
                <w:sz w:val="20"/>
                <w:szCs w:val="20"/>
              </w:rPr>
              <w:t xml:space="preserve"> (1.5)**</w:t>
            </w:r>
          </w:p>
        </w:tc>
      </w:tr>
      <w:tr w:rsidR="00E16990" w:rsidRPr="002F64A6" w14:paraId="2215C5A1"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bottom"/>
          </w:tcPr>
          <w:p w14:paraId="7463AC79" w14:textId="57A57CFC" w:rsidR="00E16990" w:rsidRPr="002F64A6" w:rsidRDefault="00E16990" w:rsidP="009653C6">
            <w:pPr>
              <w:pStyle w:val="TableCenter"/>
              <w:rPr>
                <w:bCs/>
                <w:sz w:val="20"/>
                <w:szCs w:val="20"/>
              </w:rPr>
            </w:pPr>
            <w:r w:rsidRPr="002F64A6">
              <w:rPr>
                <w:bCs/>
                <w:sz w:val="20"/>
                <w:szCs w:val="20"/>
              </w:rPr>
              <w:t>Easy Work</w:t>
            </w:r>
          </w:p>
        </w:tc>
        <w:tc>
          <w:tcPr>
            <w:tcW w:w="3032" w:type="dxa"/>
            <w:gridSpan w:val="4"/>
            <w:tcBorders>
              <w:bottom w:val="single" w:sz="4" w:space="0" w:color="FFFFFF" w:themeColor="background1"/>
            </w:tcBorders>
            <w:vAlign w:val="bottom"/>
          </w:tcPr>
          <w:p w14:paraId="2EDC98EA" w14:textId="02B8B5A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bCs w:val="0"/>
                <w:sz w:val="20"/>
                <w:szCs w:val="20"/>
              </w:rPr>
            </w:pPr>
            <w:r w:rsidRPr="002F64A6">
              <w:rPr>
                <w:bCs w:val="0"/>
                <w:sz w:val="20"/>
                <w:szCs w:val="20"/>
              </w:rPr>
              <w:t>Moderate Work</w:t>
            </w:r>
          </w:p>
        </w:tc>
        <w:tc>
          <w:tcPr>
            <w:tcW w:w="3033" w:type="dxa"/>
            <w:gridSpan w:val="3"/>
            <w:tcBorders>
              <w:bottom w:val="single" w:sz="4" w:space="0" w:color="FFFFFF" w:themeColor="background1"/>
            </w:tcBorders>
            <w:vAlign w:val="bottom"/>
          </w:tcPr>
          <w:p w14:paraId="2C9D1AB1" w14:textId="031E776E" w:rsidR="00E16990" w:rsidRPr="002F64A6" w:rsidRDefault="00E16990" w:rsidP="009653C6">
            <w:pPr>
              <w:pStyle w:val="TableCenter"/>
              <w:cnfStyle w:val="000000100000" w:firstRow="0" w:lastRow="0" w:firstColumn="0" w:lastColumn="0" w:oddVBand="0" w:evenVBand="0" w:oddHBand="1" w:evenHBand="0" w:firstRowFirstColumn="0" w:firstRowLastColumn="0" w:lastRowFirstColumn="0" w:lastRowLastColumn="0"/>
              <w:rPr>
                <w:sz w:val="20"/>
                <w:szCs w:val="20"/>
              </w:rPr>
            </w:pPr>
            <w:r w:rsidRPr="002F64A6">
              <w:rPr>
                <w:sz w:val="20"/>
                <w:szCs w:val="20"/>
              </w:rPr>
              <w:t>Hard Work</w:t>
            </w:r>
          </w:p>
        </w:tc>
      </w:tr>
      <w:tr w:rsidR="00E16990" w:rsidRPr="002F64A6" w14:paraId="5441BB3C" w14:textId="77777777" w:rsidTr="00F21286">
        <w:trPr>
          <w:cnfStyle w:val="000000010000" w:firstRow="0" w:lastRow="0" w:firstColumn="0" w:lastColumn="0" w:oddVBand="0" w:evenVBand="0" w:oddHBand="0" w:evenHBand="1"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032" w:type="dxa"/>
            <w:gridSpan w:val="3"/>
            <w:tcBorders>
              <w:bottom w:val="single" w:sz="4" w:space="0" w:color="FFFFFF" w:themeColor="background1"/>
            </w:tcBorders>
            <w:vAlign w:val="top"/>
          </w:tcPr>
          <w:p w14:paraId="199B9D71" w14:textId="77777777" w:rsidR="00E16990" w:rsidRPr="002F64A6" w:rsidRDefault="00E16990" w:rsidP="00E16990">
            <w:pPr>
              <w:pStyle w:val="TableBullet"/>
              <w:rPr>
                <w:bCs/>
                <w:sz w:val="20"/>
                <w:szCs w:val="20"/>
              </w:rPr>
            </w:pPr>
            <w:r w:rsidRPr="002F64A6">
              <w:rPr>
                <w:bCs/>
                <w:sz w:val="20"/>
                <w:szCs w:val="20"/>
              </w:rPr>
              <w:t>Weapon maintenance</w:t>
            </w:r>
          </w:p>
          <w:p w14:paraId="01F3BAF7" w14:textId="35EE5210" w:rsidR="00E16990" w:rsidRPr="002F64A6" w:rsidRDefault="00E16990" w:rsidP="00E16990">
            <w:pPr>
              <w:pStyle w:val="TableBullet"/>
              <w:rPr>
                <w:bCs/>
                <w:sz w:val="20"/>
                <w:szCs w:val="20"/>
              </w:rPr>
            </w:pPr>
            <w:r w:rsidRPr="002F64A6">
              <w:rPr>
                <w:bCs/>
                <w:sz w:val="20"/>
                <w:szCs w:val="20"/>
              </w:rPr>
              <w:t>Walking hard surface at 2.5 mph, &lt; 30 pound (</w:t>
            </w:r>
            <w:proofErr w:type="spellStart"/>
            <w:r w:rsidRPr="002F64A6">
              <w:rPr>
                <w:bCs/>
                <w:sz w:val="20"/>
                <w:szCs w:val="20"/>
              </w:rPr>
              <w:t>lb</w:t>
            </w:r>
            <w:proofErr w:type="spellEnd"/>
            <w:r w:rsidRPr="002F64A6">
              <w:rPr>
                <w:bCs/>
                <w:sz w:val="20"/>
                <w:szCs w:val="20"/>
              </w:rPr>
              <w:t>) load</w:t>
            </w:r>
            <w:r w:rsidR="00AA1C0F" w:rsidRPr="002F64A6">
              <w:rPr>
                <w:bCs/>
                <w:sz w:val="20"/>
                <w:szCs w:val="20"/>
              </w:rPr>
              <w:t xml:space="preserve"> </w:t>
            </w:r>
          </w:p>
          <w:p w14:paraId="7E585112" w14:textId="77777777" w:rsidR="00E16990" w:rsidRPr="002F64A6" w:rsidRDefault="00E16990" w:rsidP="00E16990">
            <w:pPr>
              <w:pStyle w:val="TableBullet"/>
              <w:rPr>
                <w:bCs/>
                <w:sz w:val="20"/>
                <w:szCs w:val="20"/>
              </w:rPr>
            </w:pPr>
            <w:r w:rsidRPr="002F64A6">
              <w:rPr>
                <w:bCs/>
                <w:sz w:val="20"/>
                <w:szCs w:val="20"/>
              </w:rPr>
              <w:t>Manual of arms</w:t>
            </w:r>
          </w:p>
          <w:p w14:paraId="1D2B1A5A" w14:textId="77777777" w:rsidR="00E16990" w:rsidRPr="002F64A6" w:rsidRDefault="00E16990" w:rsidP="00E16990">
            <w:pPr>
              <w:pStyle w:val="TableBullet"/>
              <w:rPr>
                <w:bCs/>
                <w:sz w:val="20"/>
                <w:szCs w:val="20"/>
              </w:rPr>
            </w:pPr>
            <w:r w:rsidRPr="002F64A6">
              <w:rPr>
                <w:bCs/>
                <w:sz w:val="20"/>
                <w:szCs w:val="20"/>
              </w:rPr>
              <w:t xml:space="preserve">Marksmanship training </w:t>
            </w:r>
          </w:p>
          <w:p w14:paraId="04009392" w14:textId="199EAE03" w:rsidR="00E16990" w:rsidRPr="002F64A6" w:rsidRDefault="00E16990" w:rsidP="00E16990">
            <w:pPr>
              <w:pStyle w:val="TableBullet"/>
              <w:rPr>
                <w:bCs/>
                <w:sz w:val="20"/>
                <w:szCs w:val="20"/>
              </w:rPr>
            </w:pPr>
            <w:r w:rsidRPr="002F64A6">
              <w:rPr>
                <w:bCs/>
                <w:sz w:val="20"/>
                <w:szCs w:val="20"/>
              </w:rPr>
              <w:t>Drill and ceremony</w:t>
            </w:r>
          </w:p>
        </w:tc>
        <w:tc>
          <w:tcPr>
            <w:tcW w:w="3032" w:type="dxa"/>
            <w:gridSpan w:val="4"/>
            <w:tcBorders>
              <w:bottom w:val="single" w:sz="4" w:space="0" w:color="FFFFFF" w:themeColor="background1"/>
            </w:tcBorders>
            <w:vAlign w:val="top"/>
          </w:tcPr>
          <w:p w14:paraId="2C3364F2" w14:textId="5BAD96D4"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loose sand at 2.5 mph,</w:t>
            </w:r>
            <w:r w:rsidR="00AA1C0F" w:rsidRPr="002F64A6">
              <w:rPr>
                <w:sz w:val="20"/>
                <w:szCs w:val="20"/>
              </w:rPr>
              <w:t xml:space="preserve"> </w:t>
            </w:r>
            <w:r w:rsidRPr="002F64A6">
              <w:rPr>
                <w:sz w:val="20"/>
                <w:szCs w:val="20"/>
              </w:rPr>
              <w:t>no</w:t>
            </w:r>
            <w:r w:rsidR="00AA1C0F" w:rsidRPr="002F64A6">
              <w:rPr>
                <w:sz w:val="20"/>
                <w:szCs w:val="20"/>
              </w:rPr>
              <w:t xml:space="preserve"> </w:t>
            </w:r>
            <w:r w:rsidRPr="002F64A6">
              <w:rPr>
                <w:sz w:val="20"/>
                <w:szCs w:val="20"/>
              </w:rPr>
              <w:t xml:space="preserve">load </w:t>
            </w:r>
          </w:p>
          <w:p w14:paraId="4AB4628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Walking hard surface at 3.5 mph, &lt; 40lb load</w:t>
            </w:r>
          </w:p>
          <w:p w14:paraId="0535450B"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Calisthenics</w:t>
            </w:r>
          </w:p>
          <w:p w14:paraId="67A6629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Patrolling</w:t>
            </w:r>
          </w:p>
          <w:p w14:paraId="7521A335"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Individual movement techniques, that is low crawl, high crawl</w:t>
            </w:r>
          </w:p>
          <w:p w14:paraId="252A0243" w14:textId="267F0C5C"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Defensive position construction</w:t>
            </w:r>
          </w:p>
        </w:tc>
        <w:tc>
          <w:tcPr>
            <w:tcW w:w="3033" w:type="dxa"/>
            <w:gridSpan w:val="3"/>
            <w:tcBorders>
              <w:bottom w:val="single" w:sz="4" w:space="0" w:color="FFFFFF" w:themeColor="background1"/>
            </w:tcBorders>
            <w:vAlign w:val="top"/>
          </w:tcPr>
          <w:p w14:paraId="14C0A7CA"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hard surface at 3.5 mph, ≥ 40 </w:t>
            </w:r>
            <w:proofErr w:type="spellStart"/>
            <w:r w:rsidRPr="002F64A6">
              <w:rPr>
                <w:sz w:val="20"/>
                <w:szCs w:val="20"/>
              </w:rPr>
              <w:t>lb</w:t>
            </w:r>
            <w:proofErr w:type="spellEnd"/>
            <w:r w:rsidRPr="002F64A6">
              <w:rPr>
                <w:sz w:val="20"/>
                <w:szCs w:val="20"/>
              </w:rPr>
              <w:t xml:space="preserve"> load </w:t>
            </w:r>
          </w:p>
          <w:p w14:paraId="3DF1BBFC" w14:textId="77777777"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 xml:space="preserve">Walking loose sand at 2.5 mph with load </w:t>
            </w:r>
          </w:p>
          <w:p w14:paraId="0EF47BE5" w14:textId="7DC596F3" w:rsidR="00E16990" w:rsidRPr="002F64A6" w:rsidRDefault="00E16990" w:rsidP="00E16990">
            <w:pPr>
              <w:pStyle w:val="TableBullet"/>
              <w:cnfStyle w:val="000000010000" w:firstRow="0" w:lastRow="0" w:firstColumn="0" w:lastColumn="0" w:oddVBand="0" w:evenVBand="0" w:oddHBand="0" w:evenHBand="1" w:firstRowFirstColumn="0" w:firstRowLastColumn="0" w:lastRowFirstColumn="0" w:lastRowLastColumn="0"/>
              <w:rPr>
                <w:sz w:val="20"/>
                <w:szCs w:val="20"/>
              </w:rPr>
            </w:pPr>
            <w:r w:rsidRPr="002F64A6">
              <w:rPr>
                <w:sz w:val="20"/>
                <w:szCs w:val="20"/>
              </w:rPr>
              <w:t>Field Assaults</w:t>
            </w:r>
          </w:p>
        </w:tc>
      </w:tr>
      <w:tr w:rsidR="009653C6" w:rsidRPr="002F64A6" w14:paraId="410BD464" w14:textId="77777777" w:rsidTr="00F21286">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97" w:type="dxa"/>
            <w:gridSpan w:val="10"/>
            <w:shd w:val="clear" w:color="auto" w:fill="auto"/>
          </w:tcPr>
          <w:p w14:paraId="07D4E481" w14:textId="4119146E" w:rsidR="00A31FD1" w:rsidRPr="002F64A6" w:rsidRDefault="00A31FD1" w:rsidP="00C262A6">
            <w:pPr>
              <w:pStyle w:val="Asterisks"/>
              <w:jc w:val="left"/>
            </w:pPr>
            <w:r w:rsidRPr="002F64A6">
              <w:t>*</w:t>
            </w:r>
            <w:r w:rsidR="009E05D0" w:rsidRPr="002F64A6">
              <w:t xml:space="preserve"> </w:t>
            </w:r>
            <w:r w:rsidRPr="002F64A6">
              <w:t xml:space="preserve">NL = No limit equals no limit to work time per hour for up to 4 continuous hours. </w:t>
            </w:r>
          </w:p>
          <w:p w14:paraId="523D8525" w14:textId="7B614798" w:rsidR="00421195" w:rsidRPr="002F64A6" w:rsidRDefault="00A31FD1" w:rsidP="00421195">
            <w:pPr>
              <w:pStyle w:val="Asterisks"/>
              <w:jc w:val="left"/>
            </w:pPr>
            <w:r w:rsidRPr="002F64A6">
              <w:t>**</w:t>
            </w:r>
            <w:r w:rsidR="009E05D0" w:rsidRPr="002F64A6">
              <w:t xml:space="preserve"> </w:t>
            </w:r>
            <w:r w:rsidR="00421195" w:rsidRPr="002F64A6">
              <w:t>Use the amounts in parentheses for continuous work when rest breaks are not possible.</w:t>
            </w:r>
          </w:p>
          <w:p w14:paraId="74A03485" w14:textId="25F65068" w:rsidR="00D31B71" w:rsidRPr="002F64A6" w:rsidRDefault="00C262A6" w:rsidP="0009019F">
            <w:pPr>
              <w:pStyle w:val="Asterisks"/>
              <w:jc w:val="left"/>
            </w:pPr>
            <w:r w:rsidRPr="002F64A6">
              <w:t>Source</w:t>
            </w:r>
            <w:r w:rsidR="00F92B52" w:rsidRPr="002F64A6">
              <w:t>s</w:t>
            </w:r>
            <w:r w:rsidRPr="002F64A6">
              <w:t xml:space="preserve">: </w:t>
            </w:r>
            <w:r w:rsidR="001C47C9" w:rsidRPr="001C47C9">
              <w:t xml:space="preserve">Adapted from </w:t>
            </w:r>
            <w:r w:rsidR="00FA24DA" w:rsidRPr="00FA24DA">
              <w:t>Technical Bulletin: Heat Stress Control and Heat Casualty Management. Headquarters, Departments of the Army and Air Force. TB MED 507 / AFPAM 48-152 (I). March 7, 2003.</w:t>
            </w:r>
            <w:r w:rsidR="001C47C9" w:rsidRPr="001C47C9">
              <w:t xml:space="preserve"> p. 13, Table 3-1, p. 17, Table 3-3; Defense Health Agency. Work/Rest Times and Fluid Replacement Guide. Medical </w:t>
            </w:r>
            <w:proofErr w:type="spellStart"/>
            <w:r w:rsidR="001C47C9" w:rsidRPr="001C47C9">
              <w:t>Mo</w:t>
            </w:r>
            <w:r w:rsidR="00DB23CF">
              <w:t>’</w:t>
            </w:r>
            <w:r w:rsidR="001C47C9" w:rsidRPr="001C47C9">
              <w:t>ly</w:t>
            </w:r>
            <w:proofErr w:type="spellEnd"/>
            <w:r w:rsidR="001C47C9" w:rsidRPr="001C47C9">
              <w:t xml:space="preserve"> Surveillance Report Vol. 25 No. 4. April 2018. p. 12.</w:t>
            </w:r>
          </w:p>
        </w:tc>
      </w:tr>
    </w:tbl>
    <w:p w14:paraId="63B8ED43" w14:textId="4B47E7F7" w:rsidR="00594C78" w:rsidRPr="002F64A6" w:rsidRDefault="00A65C52" w:rsidP="004B1046">
      <w:r w:rsidRPr="002F64A6">
        <w:t>Weaknesses of the military</w:t>
      </w:r>
      <w:r w:rsidR="00B41197" w:rsidRPr="00625F62">
        <w:t xml:space="preserve"> guidelines </w:t>
      </w:r>
      <w:r w:rsidRPr="00625F62">
        <w:t xml:space="preserve">include </w:t>
      </w:r>
      <w:r w:rsidR="00EF574E" w:rsidRPr="00625F62">
        <w:t xml:space="preserve">the </w:t>
      </w:r>
      <w:r w:rsidR="00A57262" w:rsidRPr="00625F62">
        <w:t>absence</w:t>
      </w:r>
      <w:r w:rsidR="00EF574E" w:rsidRPr="00625F62">
        <w:t xml:space="preserve"> </w:t>
      </w:r>
      <w:r w:rsidR="00427025" w:rsidRPr="00625F62">
        <w:t xml:space="preserve">of </w:t>
      </w:r>
      <w:r w:rsidR="00EF574E" w:rsidRPr="00625F62">
        <w:t xml:space="preserve">record-keeping </w:t>
      </w:r>
      <w:r w:rsidRPr="00625F62">
        <w:t xml:space="preserve">requirements to verify compliance, </w:t>
      </w:r>
      <w:r w:rsidR="00BD6803" w:rsidRPr="00625F62">
        <w:t>the</w:t>
      </w:r>
      <w:r w:rsidR="00F6493C" w:rsidRPr="00625F62">
        <w:t xml:space="preserve"> lack of </w:t>
      </w:r>
      <w:r w:rsidRPr="00625F62">
        <w:t xml:space="preserve">shade requirements, </w:t>
      </w:r>
      <w:r w:rsidR="00F6493C" w:rsidRPr="00625F62">
        <w:t xml:space="preserve">and the lack of </w:t>
      </w:r>
      <w:r w:rsidRPr="00625F62">
        <w:t>exposure limit</w:t>
      </w:r>
      <w:r w:rsidR="00B138A0" w:rsidRPr="00625F62">
        <w:t>s</w:t>
      </w:r>
      <w:r w:rsidRPr="00625F62">
        <w:t xml:space="preserve">, with the </w:t>
      </w:r>
      <w:r w:rsidRPr="00625F62">
        <w:lastRenderedPageBreak/>
        <w:t>exception of the Navy</w:t>
      </w:r>
      <w:r w:rsidR="00DB23CF">
        <w:t>’</w:t>
      </w:r>
      <w:r w:rsidRPr="00625F62">
        <w:t xml:space="preserve">s PHEL. Also, it is unclear on reading the </w:t>
      </w:r>
      <w:r w:rsidR="005559DD" w:rsidRPr="00625F62">
        <w:t xml:space="preserve">military materials </w:t>
      </w:r>
      <w:r w:rsidR="001E50AA" w:rsidRPr="00625F62">
        <w:t xml:space="preserve">whether they </w:t>
      </w:r>
      <w:r w:rsidR="005559DD" w:rsidRPr="00625F62">
        <w:t>are merely advisory and, if so, the extent of compliance.</w:t>
      </w:r>
      <w:r w:rsidRPr="00625F62">
        <w:t xml:space="preserve"> Nevertheless, the military</w:t>
      </w:r>
      <w:r w:rsidR="00DB23CF">
        <w:t>’</w:t>
      </w:r>
      <w:r w:rsidRPr="00625F62">
        <w:t>s work-rest cycle and acclimatization protocols, in addition to the Navy</w:t>
      </w:r>
      <w:r w:rsidR="00DB23CF">
        <w:t>’</w:t>
      </w:r>
      <w:r w:rsidRPr="00625F62">
        <w:t xml:space="preserve">s PHEL, clearly represent rigorous and feasible model provisions on which to base a </w:t>
      </w:r>
      <w:r w:rsidR="006F1140" w:rsidRPr="00625F62">
        <w:t xml:space="preserve">nationwide </w:t>
      </w:r>
      <w:r w:rsidRPr="00625F62">
        <w:t>federal standard.</w:t>
      </w:r>
    </w:p>
    <w:p w14:paraId="5174CC9E" w14:textId="49D90C7B" w:rsidR="00E325F1" w:rsidRPr="002F64A6" w:rsidRDefault="00ED710D" w:rsidP="00E325F1">
      <w:pPr>
        <w:pStyle w:val="L2"/>
      </w:pPr>
      <w:bookmarkStart w:id="25" w:name="_Toc517168453"/>
      <w:r w:rsidRPr="002F64A6">
        <w:t>Heat stress standards in other countries</w:t>
      </w:r>
      <w:bookmarkEnd w:id="25"/>
    </w:p>
    <w:p w14:paraId="1F8D0A39" w14:textId="60AF0BAB" w:rsidR="0068084A" w:rsidRDefault="00ED710D" w:rsidP="00765087">
      <w:pPr>
        <w:rPr>
          <w:rFonts w:asciiTheme="majorBidi" w:hAnsiTheme="majorBidi" w:cstheme="majorBidi"/>
          <w:szCs w:val="24"/>
        </w:rPr>
      </w:pPr>
      <w:r w:rsidRPr="002F64A6">
        <w:rPr>
          <w:rFonts w:asciiTheme="majorBidi" w:hAnsiTheme="majorBidi" w:cstheme="majorBidi"/>
          <w:szCs w:val="24"/>
        </w:rPr>
        <w:t xml:space="preserve">Other industrialized countries also have implemented heat stress standards. </w:t>
      </w:r>
      <w:r w:rsidR="003F0B72">
        <w:rPr>
          <w:rFonts w:asciiTheme="majorBidi" w:hAnsiTheme="majorBidi" w:cstheme="majorBidi"/>
          <w:szCs w:val="24"/>
        </w:rPr>
        <w:t xml:space="preserve">Most </w:t>
      </w:r>
      <w:r w:rsidR="003F0B72" w:rsidRPr="002F64A6">
        <w:rPr>
          <w:rFonts w:asciiTheme="majorBidi" w:hAnsiTheme="majorBidi" w:cstheme="majorBidi"/>
          <w:szCs w:val="24"/>
        </w:rPr>
        <w:t xml:space="preserve">Canadian provinces have </w:t>
      </w:r>
      <w:r w:rsidR="003F0B72">
        <w:rPr>
          <w:rFonts w:asciiTheme="majorBidi" w:hAnsiTheme="majorBidi" w:cstheme="majorBidi"/>
          <w:szCs w:val="24"/>
        </w:rPr>
        <w:t>adopted, as either rules or guidelines, Threshold Limit Values based on those recommended by the American Conference of Governmental and Industrial Hygienists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_Ref515980640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806F98">
        <w:t xml:space="preserve">Table </w:t>
      </w:r>
      <w:r w:rsidR="00806F98">
        <w:rPr>
          <w:noProof/>
        </w:rPr>
        <w:t>6</w:t>
      </w:r>
      <w:r w:rsidR="003F0B72">
        <w:rPr>
          <w:rFonts w:asciiTheme="majorBidi" w:hAnsiTheme="majorBidi" w:cstheme="majorBidi"/>
          <w:szCs w:val="24"/>
        </w:rPr>
        <w:fldChar w:fldCharType="end"/>
      </w:r>
      <w:r w:rsidR="003F0B72">
        <w:rPr>
          <w:rFonts w:asciiTheme="majorBidi" w:hAnsiTheme="majorBidi" w:cstheme="majorBidi"/>
          <w:szCs w:val="24"/>
        </w:rPr>
        <w:t>)</w:t>
      </w:r>
      <w:r w:rsidR="003F0B72" w:rsidRPr="002F64A6">
        <w:rPr>
          <w:rFonts w:asciiTheme="majorBidi" w:hAnsiTheme="majorBidi" w:cstheme="majorBidi"/>
          <w:szCs w:val="24"/>
        </w:rPr>
        <w:t>.</w:t>
      </w:r>
      <w:r w:rsidR="003F0B72" w:rsidRPr="002F64A6">
        <w:rPr>
          <w:rStyle w:val="FootnoteReference"/>
          <w:rFonts w:asciiTheme="majorBidi" w:hAnsiTheme="majorBidi" w:cstheme="majorBidi"/>
          <w:szCs w:val="24"/>
        </w:rPr>
        <w:footnoteReference w:id="79"/>
      </w:r>
      <w:r w:rsidR="003F0B72">
        <w:rPr>
          <w:rFonts w:asciiTheme="majorBidi" w:hAnsiTheme="majorBidi" w:cstheme="majorBidi"/>
          <w:szCs w:val="24"/>
        </w:rPr>
        <w:t xml:space="preserve"> For the basic provisions of the Canadian provinces</w:t>
      </w:r>
      <w:r w:rsidR="00DB23CF">
        <w:rPr>
          <w:rFonts w:asciiTheme="majorBidi" w:hAnsiTheme="majorBidi" w:cstheme="majorBidi"/>
          <w:szCs w:val="24"/>
        </w:rPr>
        <w:t>’</w:t>
      </w:r>
      <w:r w:rsidR="003F0B72">
        <w:rPr>
          <w:rFonts w:asciiTheme="majorBidi" w:hAnsiTheme="majorBidi" w:cstheme="majorBidi"/>
          <w:szCs w:val="24"/>
        </w:rPr>
        <w:t xml:space="preserve"> heat stress standards, see </w:t>
      </w:r>
      <w:r w:rsidR="003F0B72">
        <w:rPr>
          <w:rFonts w:asciiTheme="majorBidi" w:hAnsiTheme="majorBidi" w:cstheme="majorBidi"/>
          <w:szCs w:val="24"/>
        </w:rPr>
        <w:fldChar w:fldCharType="begin"/>
      </w:r>
      <w:r w:rsidR="003F0B72">
        <w:rPr>
          <w:rFonts w:asciiTheme="majorBidi" w:hAnsiTheme="majorBidi" w:cstheme="majorBidi"/>
          <w:szCs w:val="24"/>
        </w:rPr>
        <w:instrText xml:space="preserve"> REF _Ref515982349 \h </w:instrText>
      </w:r>
      <w:r w:rsidR="003F0B72">
        <w:rPr>
          <w:rFonts w:asciiTheme="majorBidi" w:hAnsiTheme="majorBidi" w:cstheme="majorBidi"/>
          <w:szCs w:val="24"/>
        </w:rPr>
      </w:r>
      <w:r w:rsidR="003F0B72">
        <w:rPr>
          <w:rFonts w:asciiTheme="majorBidi" w:hAnsiTheme="majorBidi" w:cstheme="majorBidi"/>
          <w:szCs w:val="24"/>
        </w:rPr>
        <w:fldChar w:fldCharType="separate"/>
      </w:r>
      <w:r w:rsidR="00806F98">
        <w:t xml:space="preserve">Table </w:t>
      </w:r>
      <w:r w:rsidR="00806F98">
        <w:rPr>
          <w:noProof/>
        </w:rPr>
        <w:t>9</w:t>
      </w:r>
      <w:r w:rsidR="003F0B72">
        <w:rPr>
          <w:rFonts w:asciiTheme="majorBidi" w:hAnsiTheme="majorBidi" w:cstheme="majorBidi"/>
          <w:szCs w:val="24"/>
        </w:rPr>
        <w:fldChar w:fldCharType="end"/>
      </w:r>
      <w:r w:rsidR="003F0B72">
        <w:rPr>
          <w:rFonts w:asciiTheme="majorBidi" w:hAnsiTheme="majorBidi" w:cstheme="majorBidi"/>
          <w:szCs w:val="24"/>
        </w:rPr>
        <w:t xml:space="preserve"> in the Appendix.</w:t>
      </w:r>
      <w:r w:rsidR="0046650A">
        <w:rPr>
          <w:rFonts w:asciiTheme="majorBidi" w:hAnsiTheme="majorBidi" w:cstheme="majorBidi"/>
          <w:szCs w:val="24"/>
        </w:rPr>
        <w:t xml:space="preserve"> </w:t>
      </w:r>
      <w:r w:rsidR="0046650A" w:rsidRPr="002F64A6">
        <w:rPr>
          <w:rFonts w:asciiTheme="majorBidi" w:hAnsiTheme="majorBidi" w:cstheme="majorBidi"/>
          <w:szCs w:val="24"/>
        </w:rPr>
        <w:t>Canada</w:t>
      </w:r>
      <w:r w:rsidR="00DB23CF">
        <w:rPr>
          <w:rFonts w:asciiTheme="majorBidi" w:hAnsiTheme="majorBidi" w:cstheme="majorBidi"/>
          <w:szCs w:val="24"/>
        </w:rPr>
        <w:t>’</w:t>
      </w:r>
      <w:r w:rsidR="0046650A" w:rsidRPr="002F64A6">
        <w:rPr>
          <w:rFonts w:asciiTheme="majorBidi" w:hAnsiTheme="majorBidi" w:cstheme="majorBidi"/>
          <w:szCs w:val="24"/>
        </w:rPr>
        <w:t xml:space="preserve">s federal government has </w:t>
      </w:r>
      <w:r w:rsidR="0046650A">
        <w:rPr>
          <w:rFonts w:asciiTheme="majorBidi" w:hAnsiTheme="majorBidi" w:cstheme="majorBidi"/>
          <w:szCs w:val="24"/>
        </w:rPr>
        <w:t>established permissible temperature ranges for food service workers</w:t>
      </w:r>
      <w:r w:rsidR="0046650A">
        <w:rPr>
          <w:rStyle w:val="FootnoteReference"/>
          <w:rFonts w:asciiTheme="majorBidi" w:hAnsiTheme="majorBidi" w:cstheme="majorBidi"/>
          <w:szCs w:val="24"/>
        </w:rPr>
        <w:footnoteReference w:id="80"/>
      </w:r>
      <w:r w:rsidR="0046650A">
        <w:rPr>
          <w:rFonts w:asciiTheme="majorBidi" w:hAnsiTheme="majorBidi" w:cstheme="majorBidi"/>
          <w:szCs w:val="24"/>
        </w:rPr>
        <w:t xml:space="preserve"> and workplace first aid rooms,</w:t>
      </w:r>
      <w:r w:rsidR="0046650A">
        <w:rPr>
          <w:rStyle w:val="FootnoteReference"/>
          <w:rFonts w:asciiTheme="majorBidi" w:hAnsiTheme="majorBidi" w:cstheme="majorBidi"/>
          <w:szCs w:val="24"/>
        </w:rPr>
        <w:footnoteReference w:id="81"/>
      </w:r>
      <w:r w:rsidR="0046650A">
        <w:rPr>
          <w:rFonts w:asciiTheme="majorBidi" w:hAnsiTheme="majorBidi" w:cstheme="majorBidi"/>
          <w:szCs w:val="24"/>
        </w:rPr>
        <w:t xml:space="preserve"> as well as a temperature at which a heat barrier must be provided to protect the operator of motorized materials handling equipment.</w:t>
      </w:r>
      <w:r w:rsidR="0046650A">
        <w:rPr>
          <w:rStyle w:val="FootnoteReference"/>
          <w:rFonts w:asciiTheme="majorBidi" w:hAnsiTheme="majorBidi" w:cstheme="majorBidi"/>
          <w:szCs w:val="24"/>
        </w:rPr>
        <w:footnoteReference w:id="82"/>
      </w:r>
    </w:p>
    <w:p w14:paraId="31F43313" w14:textId="3D31CF5C" w:rsidR="001F1E3A" w:rsidRDefault="001F1E3A" w:rsidP="005A54A2">
      <w:pPr>
        <w:pStyle w:val="Caption"/>
        <w:ind w:left="720" w:right="720"/>
      </w:pPr>
      <w:bookmarkStart w:id="26" w:name="_Ref515980640"/>
      <w:r>
        <w:t xml:space="preserve">Table </w:t>
      </w:r>
      <w:r w:rsidR="00E221DB">
        <w:fldChar w:fldCharType="begin"/>
      </w:r>
      <w:r w:rsidR="00E221DB">
        <w:instrText xml:space="preserve"> SEQ Table \* ARABIC </w:instrText>
      </w:r>
      <w:r w:rsidR="00E221DB">
        <w:fldChar w:fldCharType="separate"/>
      </w:r>
      <w:r w:rsidR="00806F98">
        <w:rPr>
          <w:noProof/>
        </w:rPr>
        <w:t>6</w:t>
      </w:r>
      <w:r w:rsidR="00E221DB">
        <w:rPr>
          <w:noProof/>
        </w:rPr>
        <w:fldChar w:fldCharType="end"/>
      </w:r>
      <w:bookmarkEnd w:id="26"/>
      <w:r>
        <w:t xml:space="preserve">. </w:t>
      </w:r>
      <w:r w:rsidR="004E3EC6">
        <w:t>Canadian t</w:t>
      </w:r>
      <w:r>
        <w:t>hreshold limit values for W</w:t>
      </w:r>
      <w:r w:rsidR="005A54A2">
        <w:t>BGTs</w:t>
      </w:r>
      <w:r w:rsidR="007239EE">
        <w:t xml:space="preserve"> </w:t>
      </w:r>
      <w:r>
        <w:t>in hot conditions</w:t>
      </w:r>
      <w:r w:rsidR="007239EE">
        <w:br/>
      </w:r>
      <w:r w:rsidR="00EE7C2F">
        <w:t>(</w:t>
      </w:r>
      <w:r w:rsidR="005A54A2">
        <w:t>based on ACGIH recommendations</w:t>
      </w:r>
      <w:r w:rsidR="00EE7C2F">
        <w:t>)</w:t>
      </w:r>
    </w:p>
    <w:tbl>
      <w:tblPr>
        <w:tblStyle w:val="LightShading-Accent5"/>
        <w:tblW w:w="4500" w:type="pct"/>
        <w:jc w:val="center"/>
        <w:tblLayout w:type="fixed"/>
        <w:tblLook w:val="04A0" w:firstRow="1" w:lastRow="0" w:firstColumn="1" w:lastColumn="0" w:noHBand="0" w:noVBand="1"/>
      </w:tblPr>
      <w:tblGrid>
        <w:gridCol w:w="1919"/>
        <w:gridCol w:w="1674"/>
        <w:gridCol w:w="1675"/>
        <w:gridCol w:w="1675"/>
        <w:gridCol w:w="1675"/>
      </w:tblGrid>
      <w:tr w:rsidR="00937F43" w:rsidRPr="00BD3868" w14:paraId="7C20DBAE" w14:textId="77777777" w:rsidTr="00937F43">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273499EC" w14:textId="1F5BCF4C" w:rsidR="00BD3868" w:rsidRPr="00BD3868" w:rsidRDefault="00BD3868" w:rsidP="00055FBF">
            <w:pPr>
              <w:pStyle w:val="TableHeading"/>
            </w:pPr>
            <w:r w:rsidRPr="00BD3868">
              <w:t xml:space="preserve">Work/rest ratio </w:t>
            </w:r>
            <w:r w:rsidR="00055FBF">
              <w:t>(mins</w:t>
            </w:r>
            <w:r w:rsidRPr="00BD3868">
              <w:t xml:space="preserve"> per hour)</w:t>
            </w:r>
          </w:p>
        </w:tc>
        <w:tc>
          <w:tcPr>
            <w:tcW w:w="1674" w:type="dxa"/>
            <w:noWrap/>
            <w:hideMark/>
          </w:tcPr>
          <w:p w14:paraId="2801ADB4" w14:textId="375B7A82" w:rsidR="00BD3868" w:rsidRPr="00BD3868" w:rsidRDefault="00BD3868" w:rsidP="00812EBE">
            <w:pPr>
              <w:pStyle w:val="TableHeading"/>
              <w:cnfStyle w:val="100000000000" w:firstRow="1" w:lastRow="0" w:firstColumn="0" w:lastColumn="0" w:oddVBand="0" w:evenVBand="0" w:oddHBand="0" w:evenHBand="0" w:firstRowFirstColumn="0" w:firstRowLastColumn="0" w:lastRowFirstColumn="0" w:lastRowLastColumn="0"/>
            </w:pPr>
            <w:r w:rsidRPr="00BD3868">
              <w:t>Light, °C (65</w:t>
            </w:r>
            <w:r w:rsidR="00812EBE">
              <w:t>–</w:t>
            </w:r>
            <w:r w:rsidRPr="00BD3868">
              <w:t>130 W/m</w:t>
            </w:r>
            <w:r w:rsidRPr="00BD3868">
              <w:rPr>
                <w:vertAlign w:val="superscript"/>
              </w:rPr>
              <w:t>2</w:t>
            </w:r>
            <w:r w:rsidRPr="00BD3868">
              <w:t>)</w:t>
            </w:r>
          </w:p>
        </w:tc>
        <w:tc>
          <w:tcPr>
            <w:tcW w:w="1675" w:type="dxa"/>
            <w:noWrap/>
            <w:hideMark/>
          </w:tcPr>
          <w:p w14:paraId="6371AA5B"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Moderate, °C (130–200 W/m</w:t>
            </w:r>
            <w:r w:rsidRPr="00BD3868">
              <w:rPr>
                <w:vertAlign w:val="superscript"/>
              </w:rPr>
              <w:t>2</w:t>
            </w:r>
            <w:r w:rsidRPr="00BD3868">
              <w:t>)</w:t>
            </w:r>
          </w:p>
        </w:tc>
        <w:tc>
          <w:tcPr>
            <w:tcW w:w="1675" w:type="dxa"/>
            <w:noWrap/>
            <w:hideMark/>
          </w:tcPr>
          <w:p w14:paraId="1AA14857" w14:textId="77777777"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Heavy, °C (200–260 W/m</w:t>
            </w:r>
            <w:r w:rsidRPr="00BD3868">
              <w:rPr>
                <w:vertAlign w:val="superscript"/>
              </w:rPr>
              <w:t>2</w:t>
            </w:r>
            <w:r w:rsidRPr="00BD3868">
              <w:t>)</w:t>
            </w:r>
          </w:p>
        </w:tc>
        <w:tc>
          <w:tcPr>
            <w:tcW w:w="1675" w:type="dxa"/>
            <w:noWrap/>
            <w:hideMark/>
          </w:tcPr>
          <w:p w14:paraId="3860FEEF" w14:textId="280E6243" w:rsidR="00BD3868" w:rsidRPr="00BD3868" w:rsidRDefault="00BD3868" w:rsidP="00BD3868">
            <w:pPr>
              <w:pStyle w:val="TableHeading"/>
              <w:cnfStyle w:val="100000000000" w:firstRow="1" w:lastRow="0" w:firstColumn="0" w:lastColumn="0" w:oddVBand="0" w:evenVBand="0" w:oddHBand="0" w:evenHBand="0" w:firstRowFirstColumn="0" w:firstRowLastColumn="0" w:lastRowFirstColumn="0" w:lastRowLastColumn="0"/>
            </w:pPr>
            <w:r w:rsidRPr="00BD3868">
              <w:t>Very heavy, °C (&gt;260</w:t>
            </w:r>
            <w:r>
              <w:t xml:space="preserve"> </w:t>
            </w:r>
            <w:r w:rsidRPr="00BD3868">
              <w:t>W/m</w:t>
            </w:r>
            <w:r w:rsidRPr="00BD3868">
              <w:rPr>
                <w:vertAlign w:val="superscript"/>
              </w:rPr>
              <w:t>2</w:t>
            </w:r>
            <w:r w:rsidRPr="00BD3868">
              <w:t>)</w:t>
            </w:r>
          </w:p>
        </w:tc>
      </w:tr>
      <w:tr w:rsidR="00BD3868" w:rsidRPr="00BD3868" w14:paraId="0CE30CFE"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2EEE73F3" w14:textId="64927F2D" w:rsidR="00BD3868" w:rsidRPr="00BD3868" w:rsidRDefault="00BD3868" w:rsidP="00BD3868">
            <w:pPr>
              <w:pStyle w:val="TableLeft"/>
              <w:rPr>
                <w:rFonts w:eastAsia="Times New Roman"/>
                <w:sz w:val="20"/>
                <w:szCs w:val="20"/>
              </w:rPr>
            </w:pPr>
            <w:r w:rsidRPr="00BD3868">
              <w:t>Acclimatized</w:t>
            </w:r>
          </w:p>
        </w:tc>
      </w:tr>
      <w:tr w:rsidR="00937F43" w:rsidRPr="00BD3868" w14:paraId="213CE272"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7D762C55" w14:textId="77777777" w:rsidR="00BD3868" w:rsidRPr="00BD3868" w:rsidRDefault="00BD3868" w:rsidP="00BD3868">
            <w:pPr>
              <w:pStyle w:val="TableCenter"/>
            </w:pPr>
            <w:r w:rsidRPr="00BD3868">
              <w:t>60/0</w:t>
            </w:r>
          </w:p>
        </w:tc>
        <w:tc>
          <w:tcPr>
            <w:tcW w:w="1674" w:type="dxa"/>
            <w:noWrap/>
            <w:hideMark/>
          </w:tcPr>
          <w:p w14:paraId="398FC4B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5B79B86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c>
          <w:tcPr>
            <w:tcW w:w="1675" w:type="dxa"/>
            <w:noWrap/>
            <w:hideMark/>
          </w:tcPr>
          <w:p w14:paraId="67A43C27"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w:t>
            </w:r>
          </w:p>
        </w:tc>
        <w:tc>
          <w:tcPr>
            <w:tcW w:w="1675" w:type="dxa"/>
            <w:noWrap/>
            <w:hideMark/>
          </w:tcPr>
          <w:p w14:paraId="22A4A439" w14:textId="6EDEBA85"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508BA05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7C7EAAF" w14:textId="77777777" w:rsidR="00BD3868" w:rsidRPr="00BD3868" w:rsidRDefault="00BD3868" w:rsidP="00BD3868">
            <w:pPr>
              <w:pStyle w:val="TableCenter"/>
            </w:pPr>
            <w:r w:rsidRPr="00BD3868">
              <w:t>45/15</w:t>
            </w:r>
          </w:p>
        </w:tc>
        <w:tc>
          <w:tcPr>
            <w:tcW w:w="1674" w:type="dxa"/>
            <w:noWrap/>
            <w:hideMark/>
          </w:tcPr>
          <w:p w14:paraId="0B83090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30.5</w:t>
            </w:r>
          </w:p>
        </w:tc>
        <w:tc>
          <w:tcPr>
            <w:tcW w:w="1675" w:type="dxa"/>
            <w:noWrap/>
            <w:hideMark/>
          </w:tcPr>
          <w:p w14:paraId="3CFF0A8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28.5</w:t>
            </w:r>
          </w:p>
        </w:tc>
        <w:tc>
          <w:tcPr>
            <w:tcW w:w="1675" w:type="dxa"/>
            <w:noWrap/>
            <w:hideMark/>
          </w:tcPr>
          <w:p w14:paraId="1F435F25"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76A5C536" w14:textId="35496676"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4C5ED91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179380BA" w14:textId="77777777" w:rsidR="00BD3868" w:rsidRPr="00BD3868" w:rsidRDefault="00BD3868" w:rsidP="00BD3868">
            <w:pPr>
              <w:pStyle w:val="TableCenter"/>
            </w:pPr>
            <w:r w:rsidRPr="00BD3868">
              <w:t>30/30</w:t>
            </w:r>
          </w:p>
        </w:tc>
        <w:tc>
          <w:tcPr>
            <w:tcW w:w="1674" w:type="dxa"/>
            <w:noWrap/>
            <w:hideMark/>
          </w:tcPr>
          <w:p w14:paraId="10BE25D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31.5</w:t>
            </w:r>
          </w:p>
        </w:tc>
        <w:tc>
          <w:tcPr>
            <w:tcW w:w="1675" w:type="dxa"/>
            <w:noWrap/>
            <w:hideMark/>
          </w:tcPr>
          <w:p w14:paraId="69BF0491"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29.5</w:t>
            </w:r>
          </w:p>
        </w:tc>
        <w:tc>
          <w:tcPr>
            <w:tcW w:w="1675" w:type="dxa"/>
            <w:noWrap/>
            <w:hideMark/>
          </w:tcPr>
          <w:p w14:paraId="601F2FD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28.5</w:t>
            </w:r>
          </w:p>
        </w:tc>
        <w:tc>
          <w:tcPr>
            <w:tcW w:w="1675" w:type="dxa"/>
            <w:noWrap/>
            <w:hideMark/>
          </w:tcPr>
          <w:p w14:paraId="277B9DBB"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27.5</w:t>
            </w:r>
          </w:p>
        </w:tc>
      </w:tr>
      <w:tr w:rsidR="00937F43" w:rsidRPr="00BD3868" w14:paraId="792B830A"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DBC00A1" w14:textId="77777777" w:rsidR="00BD3868" w:rsidRPr="00BD3868" w:rsidRDefault="00BD3868" w:rsidP="00BD3868">
            <w:pPr>
              <w:pStyle w:val="TableCenter"/>
            </w:pPr>
            <w:r w:rsidRPr="00BD3868">
              <w:t>15/45</w:t>
            </w:r>
          </w:p>
        </w:tc>
        <w:tc>
          <w:tcPr>
            <w:tcW w:w="1674" w:type="dxa"/>
            <w:noWrap/>
            <w:hideMark/>
          </w:tcPr>
          <w:p w14:paraId="60710B2F"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32.5</w:t>
            </w:r>
          </w:p>
        </w:tc>
        <w:tc>
          <w:tcPr>
            <w:tcW w:w="1675" w:type="dxa"/>
            <w:noWrap/>
            <w:hideMark/>
          </w:tcPr>
          <w:p w14:paraId="6BC6FD16"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31</w:t>
            </w:r>
          </w:p>
        </w:tc>
        <w:tc>
          <w:tcPr>
            <w:tcW w:w="1675" w:type="dxa"/>
            <w:noWrap/>
            <w:hideMark/>
          </w:tcPr>
          <w:p w14:paraId="4BE82E3A"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25423D0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29.5</w:t>
            </w:r>
          </w:p>
        </w:tc>
      </w:tr>
      <w:tr w:rsidR="00BD3868" w:rsidRPr="00BD3868" w14:paraId="0C2AF72D"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618" w:type="dxa"/>
            <w:gridSpan w:val="5"/>
            <w:noWrap/>
            <w:hideMark/>
          </w:tcPr>
          <w:p w14:paraId="043BFB79" w14:textId="3C3887E3" w:rsidR="00BD3868" w:rsidRPr="00BD3868" w:rsidRDefault="00BD3868" w:rsidP="00BD3868">
            <w:pPr>
              <w:pStyle w:val="TableLeft"/>
              <w:rPr>
                <w:rFonts w:eastAsia="Times New Roman"/>
                <w:sz w:val="20"/>
                <w:szCs w:val="20"/>
              </w:rPr>
            </w:pPr>
            <w:r w:rsidRPr="00BD3868">
              <w:t>Not acclimatized</w:t>
            </w:r>
          </w:p>
        </w:tc>
      </w:tr>
      <w:tr w:rsidR="00937F43" w:rsidRPr="00BD3868" w14:paraId="77F2CBD1"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67591EE2" w14:textId="77777777" w:rsidR="00BD3868" w:rsidRPr="00BD3868" w:rsidRDefault="00BD3868" w:rsidP="00BD3868">
            <w:pPr>
              <w:pStyle w:val="TableCenter"/>
            </w:pPr>
            <w:r w:rsidRPr="00BD3868">
              <w:t>60/0</w:t>
            </w:r>
          </w:p>
        </w:tc>
        <w:tc>
          <w:tcPr>
            <w:tcW w:w="1674" w:type="dxa"/>
            <w:noWrap/>
            <w:hideMark/>
          </w:tcPr>
          <w:p w14:paraId="6102C46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27.5</w:t>
            </w:r>
          </w:p>
        </w:tc>
        <w:tc>
          <w:tcPr>
            <w:tcW w:w="1675" w:type="dxa"/>
            <w:noWrap/>
            <w:hideMark/>
          </w:tcPr>
          <w:p w14:paraId="423495E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c>
          <w:tcPr>
            <w:tcW w:w="1675" w:type="dxa"/>
            <w:noWrap/>
            <w:hideMark/>
          </w:tcPr>
          <w:p w14:paraId="7666AE01"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22.5</w:t>
            </w:r>
          </w:p>
        </w:tc>
        <w:tc>
          <w:tcPr>
            <w:tcW w:w="1675" w:type="dxa"/>
            <w:noWrap/>
            <w:hideMark/>
          </w:tcPr>
          <w:p w14:paraId="5C2E5153" w14:textId="2AA004F8"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t>–</w:t>
            </w:r>
          </w:p>
        </w:tc>
      </w:tr>
      <w:tr w:rsidR="00937F43" w:rsidRPr="00BD3868" w14:paraId="1640C5C6"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821BFE" w14:textId="77777777" w:rsidR="00BD3868" w:rsidRPr="00BD3868" w:rsidRDefault="00BD3868" w:rsidP="00BD3868">
            <w:pPr>
              <w:pStyle w:val="TableCenter"/>
            </w:pPr>
            <w:r w:rsidRPr="00BD3868">
              <w:t>45/15</w:t>
            </w:r>
          </w:p>
        </w:tc>
        <w:tc>
          <w:tcPr>
            <w:tcW w:w="1674" w:type="dxa"/>
            <w:noWrap/>
            <w:hideMark/>
          </w:tcPr>
          <w:p w14:paraId="7278BDE8"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1D1A56EF"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1685C6CC"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c>
          <w:tcPr>
            <w:tcW w:w="1675" w:type="dxa"/>
            <w:noWrap/>
            <w:hideMark/>
          </w:tcPr>
          <w:p w14:paraId="25284DE3" w14:textId="056CE66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t>–</w:t>
            </w:r>
          </w:p>
        </w:tc>
      </w:tr>
      <w:tr w:rsidR="00937F43" w:rsidRPr="00BD3868" w14:paraId="09A5CAB9" w14:textId="77777777" w:rsidTr="00937F4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4DEFFB45" w14:textId="77777777" w:rsidR="00BD3868" w:rsidRPr="00BD3868" w:rsidRDefault="00BD3868" w:rsidP="00BD3868">
            <w:pPr>
              <w:pStyle w:val="TableCenter"/>
            </w:pPr>
            <w:r w:rsidRPr="00BD3868">
              <w:t>30/30</w:t>
            </w:r>
          </w:p>
        </w:tc>
        <w:tc>
          <w:tcPr>
            <w:tcW w:w="1674" w:type="dxa"/>
            <w:noWrap/>
            <w:hideMark/>
          </w:tcPr>
          <w:p w14:paraId="0A8764B4"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30</w:t>
            </w:r>
          </w:p>
        </w:tc>
        <w:tc>
          <w:tcPr>
            <w:tcW w:w="1675" w:type="dxa"/>
            <w:noWrap/>
            <w:hideMark/>
          </w:tcPr>
          <w:p w14:paraId="072F10AE"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339F9B09"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28</w:t>
            </w:r>
          </w:p>
        </w:tc>
        <w:tc>
          <w:tcPr>
            <w:tcW w:w="1675" w:type="dxa"/>
            <w:noWrap/>
            <w:hideMark/>
          </w:tcPr>
          <w:p w14:paraId="0D0B681D" w14:textId="77777777" w:rsidR="00BD3868" w:rsidRPr="00BD3868" w:rsidRDefault="00BD3868" w:rsidP="00BD3868">
            <w:pPr>
              <w:pStyle w:val="TableCenter"/>
              <w:cnfStyle w:val="000000100000" w:firstRow="0" w:lastRow="0" w:firstColumn="0" w:lastColumn="0" w:oddVBand="0" w:evenVBand="0" w:oddHBand="1" w:evenHBand="0" w:firstRowFirstColumn="0" w:firstRowLastColumn="0" w:lastRowFirstColumn="0" w:lastRowLastColumn="0"/>
            </w:pPr>
            <w:r w:rsidRPr="00BD3868">
              <w:t>25</w:t>
            </w:r>
          </w:p>
        </w:tc>
      </w:tr>
      <w:tr w:rsidR="00937F43" w:rsidRPr="00BD3868" w14:paraId="44C91963" w14:textId="77777777" w:rsidTr="00937F43">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19" w:type="dxa"/>
            <w:noWrap/>
            <w:hideMark/>
          </w:tcPr>
          <w:p w14:paraId="385ED8CD" w14:textId="77777777" w:rsidR="00BD3868" w:rsidRPr="00BD3868" w:rsidRDefault="00BD3868" w:rsidP="00BD3868">
            <w:pPr>
              <w:pStyle w:val="TableCenter"/>
            </w:pPr>
            <w:r w:rsidRPr="00BD3868">
              <w:t>15/45</w:t>
            </w:r>
          </w:p>
        </w:tc>
        <w:tc>
          <w:tcPr>
            <w:tcW w:w="1674" w:type="dxa"/>
            <w:noWrap/>
            <w:hideMark/>
          </w:tcPr>
          <w:p w14:paraId="29AFEFCA"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31</w:t>
            </w:r>
          </w:p>
        </w:tc>
        <w:tc>
          <w:tcPr>
            <w:tcW w:w="1675" w:type="dxa"/>
            <w:noWrap/>
            <w:hideMark/>
          </w:tcPr>
          <w:p w14:paraId="5D8EDE8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4CFB4864"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29</w:t>
            </w:r>
          </w:p>
        </w:tc>
        <w:tc>
          <w:tcPr>
            <w:tcW w:w="1675" w:type="dxa"/>
            <w:noWrap/>
            <w:hideMark/>
          </w:tcPr>
          <w:p w14:paraId="5F150762" w14:textId="77777777" w:rsidR="00BD3868" w:rsidRPr="00BD3868" w:rsidRDefault="00BD3868" w:rsidP="00BD3868">
            <w:pPr>
              <w:pStyle w:val="TableCenter"/>
              <w:cnfStyle w:val="000000010000" w:firstRow="0" w:lastRow="0" w:firstColumn="0" w:lastColumn="0" w:oddVBand="0" w:evenVBand="0" w:oddHBand="0" w:evenHBand="1" w:firstRowFirstColumn="0" w:firstRowLastColumn="0" w:lastRowFirstColumn="0" w:lastRowLastColumn="0"/>
            </w:pPr>
            <w:r w:rsidRPr="00BD3868">
              <w:t>26.5</w:t>
            </w:r>
          </w:p>
        </w:tc>
      </w:tr>
    </w:tbl>
    <w:p w14:paraId="5E7E453B" w14:textId="77777777" w:rsidR="00513C93" w:rsidRDefault="00937F43" w:rsidP="00513C93">
      <w:pPr>
        <w:pStyle w:val="Asterisks"/>
        <w:ind w:left="540" w:right="450"/>
      </w:pPr>
      <w:r>
        <w:t>Assumes an 8-hr working day in a 5-day week. Examples of work rates are standing with moderate arm movements at machine or bench (light); walking with moderate lifting or pushing (moderate); shoveling dry sand or intermittent heavy lifting (heavy); shoveling wet sand or constant heavy lifting (very heavy).</w:t>
      </w:r>
    </w:p>
    <w:p w14:paraId="777FA153" w14:textId="2D32C306" w:rsidR="0068084A" w:rsidRDefault="00643F88" w:rsidP="00513C93">
      <w:pPr>
        <w:pStyle w:val="Asterisks"/>
        <w:ind w:left="540" w:right="450"/>
      </w:pPr>
      <w:r>
        <w:t xml:space="preserve">Source: </w:t>
      </w:r>
      <w:r w:rsidR="003C7F42">
        <w:t>Jay and Kenny. p. 846, Table II</w:t>
      </w:r>
      <w:r w:rsidR="00BB2504">
        <w:t>.</w:t>
      </w:r>
      <w:r w:rsidR="003C7F42">
        <w:t xml:space="preserve"> </w:t>
      </w:r>
    </w:p>
    <w:p w14:paraId="275922A2" w14:textId="0BBB187C"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lastRenderedPageBreak/>
        <w:t xml:space="preserve">Japan also has implemented occupational exposure limits for heat stress, </w:t>
      </w:r>
      <w:r w:rsidR="00C902EC" w:rsidRPr="002F64A6">
        <w:rPr>
          <w:rFonts w:asciiTheme="majorBidi" w:hAnsiTheme="majorBidi" w:cstheme="majorBidi"/>
          <w:szCs w:val="24"/>
        </w:rPr>
        <w:t>setting temperature</w:t>
      </w:r>
      <w:r w:rsidR="001E1C8D" w:rsidRPr="002F64A6">
        <w:rPr>
          <w:rFonts w:asciiTheme="majorBidi" w:hAnsiTheme="majorBidi" w:cstheme="majorBidi"/>
          <w:szCs w:val="24"/>
        </w:rPr>
        <w:t xml:space="preserve"> exposure limits</w:t>
      </w:r>
      <w:r w:rsidR="00C902EC" w:rsidRPr="002F64A6">
        <w:rPr>
          <w:rFonts w:asciiTheme="majorBidi" w:hAnsiTheme="majorBidi" w:cstheme="majorBidi"/>
          <w:szCs w:val="24"/>
        </w:rPr>
        <w:t xml:space="preserve"> that </w:t>
      </w:r>
      <w:r w:rsidR="001E1C8D" w:rsidRPr="002F64A6">
        <w:rPr>
          <w:rFonts w:asciiTheme="majorBidi" w:hAnsiTheme="majorBidi" w:cstheme="majorBidi"/>
          <w:szCs w:val="24"/>
        </w:rPr>
        <w:t xml:space="preserve">decline </w:t>
      </w:r>
      <w:r w:rsidR="00C902EC" w:rsidRPr="002F64A6">
        <w:rPr>
          <w:rFonts w:asciiTheme="majorBidi" w:hAnsiTheme="majorBidi" w:cstheme="majorBidi"/>
          <w:szCs w:val="24"/>
        </w:rPr>
        <w:t>with increased workloads</w:t>
      </w:r>
      <w:r w:rsidR="00DD4E41" w:rsidRPr="002F64A6">
        <w:rPr>
          <w:rFonts w:asciiTheme="majorBidi" w:hAnsiTheme="majorBidi" w:cstheme="majorBidi"/>
          <w:szCs w:val="24"/>
        </w:rPr>
        <w:t>,</w:t>
      </w:r>
      <w:r w:rsidR="00C902EC" w:rsidRPr="002F64A6">
        <w:rPr>
          <w:rFonts w:asciiTheme="majorBidi" w:hAnsiTheme="majorBidi" w:cstheme="majorBidi"/>
          <w:szCs w:val="24"/>
        </w:rPr>
        <w:t xml:space="preserve"> </w:t>
      </w:r>
      <w:r w:rsidR="00856D02" w:rsidRPr="002F64A6">
        <w:rPr>
          <w:rFonts w:asciiTheme="majorBidi" w:hAnsiTheme="majorBidi" w:cstheme="majorBidi"/>
          <w:szCs w:val="24"/>
        </w:rPr>
        <w:t>similar to NIOSH</w:t>
      </w:r>
      <w:r w:rsidR="00DB23CF">
        <w:rPr>
          <w:rFonts w:asciiTheme="majorBidi" w:hAnsiTheme="majorBidi" w:cstheme="majorBidi"/>
          <w:szCs w:val="24"/>
        </w:rPr>
        <w:t>’</w:t>
      </w:r>
      <w:r w:rsidR="00856D02" w:rsidRPr="002F64A6">
        <w:rPr>
          <w:rFonts w:asciiTheme="majorBidi" w:hAnsiTheme="majorBidi" w:cstheme="majorBidi"/>
          <w:szCs w:val="24"/>
        </w:rPr>
        <w:t>s</w:t>
      </w:r>
      <w:r w:rsidR="00FA1E77" w:rsidRPr="002F64A6">
        <w:rPr>
          <w:rFonts w:asciiTheme="majorBidi" w:hAnsiTheme="majorBidi" w:cstheme="majorBidi"/>
          <w:szCs w:val="24"/>
        </w:rPr>
        <w:t xml:space="preserve"> recommended RELs for acclimatized workers</w:t>
      </w:r>
      <w:r w:rsidR="00C83EE3" w:rsidRPr="002F64A6">
        <w:rPr>
          <w:rFonts w:asciiTheme="majorBidi" w:hAnsiTheme="majorBidi" w:cstheme="majorBidi"/>
          <w:szCs w:val="24"/>
        </w:rPr>
        <w:t xml:space="preserve">, </w:t>
      </w:r>
      <w:r w:rsidR="000062D5" w:rsidRPr="002F64A6">
        <w:rPr>
          <w:rFonts w:asciiTheme="majorBidi" w:hAnsiTheme="majorBidi" w:cstheme="majorBidi"/>
          <w:szCs w:val="24"/>
        </w:rPr>
        <w:t>as shown in</w:t>
      </w:r>
      <w:r w:rsidR="003C68E1" w:rsidRPr="002F64A6">
        <w:rPr>
          <w:rFonts w:asciiTheme="majorBidi" w:hAnsiTheme="majorBidi" w:cstheme="majorBidi"/>
          <w:szCs w:val="24"/>
        </w:rPr>
        <w:t xml:space="preserve"> </w:t>
      </w:r>
      <w:r w:rsidR="003C68E1" w:rsidRPr="002F64A6">
        <w:rPr>
          <w:rFonts w:asciiTheme="majorBidi" w:hAnsiTheme="majorBidi" w:cstheme="majorBidi"/>
          <w:szCs w:val="24"/>
        </w:rPr>
        <w:fldChar w:fldCharType="begin"/>
      </w:r>
      <w:r w:rsidR="003C68E1" w:rsidRPr="002F64A6">
        <w:rPr>
          <w:rFonts w:asciiTheme="majorBidi" w:hAnsiTheme="majorBidi" w:cstheme="majorBidi"/>
          <w:szCs w:val="24"/>
        </w:rPr>
        <w:instrText xml:space="preserve"> REF _Ref514869503 \h </w:instrText>
      </w:r>
      <w:r w:rsidR="00F30950" w:rsidRPr="002F64A6">
        <w:rPr>
          <w:rFonts w:asciiTheme="majorBidi" w:hAnsiTheme="majorBidi" w:cstheme="majorBidi"/>
          <w:szCs w:val="24"/>
        </w:rPr>
        <w:instrText xml:space="preserve"> \* MERGEFORMAT </w:instrText>
      </w:r>
      <w:r w:rsidR="003C68E1" w:rsidRPr="002F64A6">
        <w:rPr>
          <w:rFonts w:asciiTheme="majorBidi" w:hAnsiTheme="majorBidi" w:cstheme="majorBidi"/>
          <w:szCs w:val="24"/>
        </w:rPr>
      </w:r>
      <w:r w:rsidR="003C68E1" w:rsidRPr="002F64A6">
        <w:rPr>
          <w:rFonts w:asciiTheme="majorBidi" w:hAnsiTheme="majorBidi" w:cstheme="majorBidi"/>
          <w:szCs w:val="24"/>
        </w:rPr>
        <w:fldChar w:fldCharType="separate"/>
      </w:r>
      <w:r w:rsidR="00806F98" w:rsidRPr="003B5355">
        <w:t xml:space="preserve">Table </w:t>
      </w:r>
      <w:r w:rsidR="00806F98">
        <w:rPr>
          <w:noProof/>
        </w:rPr>
        <w:t>7</w:t>
      </w:r>
      <w:r w:rsidR="003C68E1" w:rsidRPr="002F64A6">
        <w:rPr>
          <w:rFonts w:asciiTheme="majorBidi" w:hAnsiTheme="majorBidi" w:cstheme="majorBidi"/>
          <w:szCs w:val="24"/>
        </w:rPr>
        <w:fldChar w:fldCharType="end"/>
      </w:r>
      <w:r w:rsidRPr="002F64A6">
        <w:rPr>
          <w:rFonts w:asciiTheme="majorBidi" w:hAnsiTheme="majorBidi" w:cstheme="majorBidi"/>
          <w:szCs w:val="24"/>
        </w:rPr>
        <w:t>.</w:t>
      </w:r>
    </w:p>
    <w:p w14:paraId="4E3A375C" w14:textId="5A9D9166" w:rsidR="00896E92" w:rsidRPr="002F64A6" w:rsidRDefault="008E3476" w:rsidP="00896E92">
      <w:pPr>
        <w:pStyle w:val="Caption"/>
      </w:pPr>
      <w:bookmarkStart w:id="27" w:name="_Ref514869503"/>
      <w:r w:rsidRPr="003B5355">
        <w:t xml:space="preserve">Table </w:t>
      </w:r>
      <w:r w:rsidR="00E221DB">
        <w:fldChar w:fldCharType="begin"/>
      </w:r>
      <w:r w:rsidR="00E221DB">
        <w:instrText xml:space="preserve"> SEQ Table \* ARABIC </w:instrText>
      </w:r>
      <w:r w:rsidR="00E221DB">
        <w:fldChar w:fldCharType="separate"/>
      </w:r>
      <w:r w:rsidR="00806F98">
        <w:rPr>
          <w:noProof/>
        </w:rPr>
        <w:t>7</w:t>
      </w:r>
      <w:r w:rsidR="00E221DB">
        <w:rPr>
          <w:noProof/>
        </w:rPr>
        <w:fldChar w:fldCharType="end"/>
      </w:r>
      <w:bookmarkEnd w:id="27"/>
      <w:r w:rsidRPr="002F64A6">
        <w:t>. Occupational exposure limits for heat stress in Japan compared</w:t>
      </w:r>
      <w:r w:rsidRPr="002F64A6">
        <w:br/>
        <w:t>with NIOSH</w:t>
      </w:r>
      <w:r w:rsidR="00DB23CF">
        <w:t>’</w:t>
      </w:r>
      <w:r w:rsidRPr="002F64A6">
        <w:t>s recommended limits for the same workloads</w:t>
      </w:r>
    </w:p>
    <w:tbl>
      <w:tblPr>
        <w:tblStyle w:val="LightShading-Accent5"/>
        <w:tblW w:w="4000" w:type="pct"/>
        <w:jc w:val="center"/>
        <w:tblLook w:val="04A0" w:firstRow="1" w:lastRow="0" w:firstColumn="1" w:lastColumn="0" w:noHBand="0" w:noVBand="1"/>
      </w:tblPr>
      <w:tblGrid>
        <w:gridCol w:w="3291"/>
        <w:gridCol w:w="1456"/>
        <w:gridCol w:w="1457"/>
        <w:gridCol w:w="1457"/>
      </w:tblGrid>
      <w:tr w:rsidR="00E03D34" w:rsidRPr="002F64A6" w14:paraId="17739F21" w14:textId="37C6B0DA" w:rsidTr="006B063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0E146CC8" w14:textId="77777777" w:rsidR="00E03D34" w:rsidRPr="002F64A6" w:rsidRDefault="00E03D34" w:rsidP="00C950A1">
            <w:pPr>
              <w:pStyle w:val="TableHeading"/>
            </w:pPr>
          </w:p>
        </w:tc>
        <w:tc>
          <w:tcPr>
            <w:tcW w:w="4370" w:type="dxa"/>
            <w:gridSpan w:val="3"/>
            <w:tcBorders>
              <w:bottom w:val="nil"/>
            </w:tcBorders>
          </w:tcPr>
          <w:p w14:paraId="5C7B67C5" w14:textId="1DEC9357" w:rsidR="00E03D34" w:rsidRPr="002F64A6" w:rsidRDefault="003B4050" w:rsidP="006B0638">
            <w:pPr>
              <w:pStyle w:val="TableHeading"/>
              <w:cnfStyle w:val="100000000000" w:firstRow="1" w:lastRow="0" w:firstColumn="0" w:lastColumn="0" w:oddVBand="0" w:evenVBand="0" w:oddHBand="0" w:evenHBand="0" w:firstRowFirstColumn="0" w:firstRowLastColumn="0" w:lastRowFirstColumn="0" w:lastRowLastColumn="0"/>
            </w:pPr>
            <w:r w:rsidRPr="002F64A6">
              <w:t>Exposure Limit</w:t>
            </w:r>
            <w:r w:rsidR="00880D1B" w:rsidRPr="002F64A6">
              <w:t xml:space="preserve"> (</w:t>
            </w:r>
            <w:r w:rsidR="00811AC4" w:rsidRPr="002F64A6">
              <w:t>WBGT</w:t>
            </w:r>
            <w:r w:rsidR="00880D1B" w:rsidRPr="002F64A6">
              <w:t xml:space="preserve"> (°C))</w:t>
            </w:r>
          </w:p>
        </w:tc>
      </w:tr>
      <w:tr w:rsidR="00444204" w:rsidRPr="002F64A6" w14:paraId="5B774090" w14:textId="0548E2D6"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top w:val="nil"/>
            </w:tcBorders>
            <w:shd w:val="clear" w:color="auto" w:fill="4F81BD"/>
          </w:tcPr>
          <w:p w14:paraId="49AC7B1F" w14:textId="79B8E98C" w:rsidR="00E03D34" w:rsidRPr="002F64A6" w:rsidRDefault="00E03D34" w:rsidP="006B0638">
            <w:pPr>
              <w:pStyle w:val="TableHeading"/>
            </w:pPr>
            <w:r w:rsidRPr="002F64A6">
              <w:t>Workload</w:t>
            </w:r>
          </w:p>
        </w:tc>
        <w:tc>
          <w:tcPr>
            <w:tcW w:w="1456" w:type="dxa"/>
            <w:tcBorders>
              <w:top w:val="nil"/>
            </w:tcBorders>
            <w:shd w:val="clear" w:color="auto" w:fill="4F81BD"/>
          </w:tcPr>
          <w:p w14:paraId="78FC2EB2" w14:textId="21089581"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Japan</w:t>
            </w:r>
            <w:r w:rsidR="00FC620B" w:rsidRPr="002F64A6">
              <w:rPr>
                <w:rStyle w:val="FootnoteReference"/>
              </w:rPr>
              <w:footnoteReference w:id="83"/>
            </w:r>
          </w:p>
        </w:tc>
        <w:tc>
          <w:tcPr>
            <w:tcW w:w="1457" w:type="dxa"/>
            <w:tcBorders>
              <w:top w:val="nil"/>
            </w:tcBorders>
            <w:shd w:val="clear" w:color="auto" w:fill="4F81BD"/>
          </w:tcPr>
          <w:p w14:paraId="7D986C14" w14:textId="6C29C995"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NIOSH REL</w:t>
            </w:r>
          </w:p>
        </w:tc>
        <w:tc>
          <w:tcPr>
            <w:tcW w:w="1457" w:type="dxa"/>
            <w:tcBorders>
              <w:top w:val="nil"/>
            </w:tcBorders>
            <w:shd w:val="clear" w:color="auto" w:fill="4F81BD"/>
          </w:tcPr>
          <w:p w14:paraId="5832DF4B" w14:textId="06C9A664" w:rsidR="00E03D34" w:rsidRPr="002F64A6" w:rsidRDefault="00E03D34" w:rsidP="00C950A1">
            <w:pPr>
              <w:pStyle w:val="TableHeading"/>
              <w:cnfStyle w:val="000000100000" w:firstRow="0" w:lastRow="0" w:firstColumn="0" w:lastColumn="0" w:oddVBand="0" w:evenVBand="0" w:oddHBand="1" w:evenHBand="0" w:firstRowFirstColumn="0" w:firstRowLastColumn="0" w:lastRowFirstColumn="0" w:lastRowLastColumn="0"/>
            </w:pPr>
            <w:r w:rsidRPr="002F64A6">
              <w:t>Difference</w:t>
            </w:r>
          </w:p>
        </w:tc>
      </w:tr>
      <w:tr w:rsidR="00444204" w:rsidRPr="002F64A6" w14:paraId="769EA8F5" w14:textId="32AD18E3"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08F4B38D" w14:textId="68FC5D93" w:rsidR="00E03D34" w:rsidRPr="002F64A6" w:rsidRDefault="00E03D34" w:rsidP="006B0638">
            <w:pPr>
              <w:pStyle w:val="TableLeft"/>
            </w:pPr>
            <w:r w:rsidRPr="002F64A6">
              <w:t>RMR*–1 (Very light, –130 kcal/h)</w:t>
            </w:r>
          </w:p>
        </w:tc>
        <w:tc>
          <w:tcPr>
            <w:tcW w:w="1456" w:type="dxa"/>
          </w:tcPr>
          <w:p w14:paraId="2E98D688" w14:textId="3E52A4A0"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32.5</w:t>
            </w:r>
          </w:p>
        </w:tc>
        <w:tc>
          <w:tcPr>
            <w:tcW w:w="1457" w:type="dxa"/>
          </w:tcPr>
          <w:p w14:paraId="386ADCA0" w14:textId="2048A8F8"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31.6</w:t>
            </w:r>
          </w:p>
        </w:tc>
        <w:tc>
          <w:tcPr>
            <w:tcW w:w="1457" w:type="dxa"/>
          </w:tcPr>
          <w:p w14:paraId="35A091BC" w14:textId="5E7837C3" w:rsidR="00E03D34" w:rsidRPr="002F64A6" w:rsidRDefault="00E03D34" w:rsidP="006B0638">
            <w:pPr>
              <w:pStyle w:val="TableCenter"/>
              <w:cnfStyle w:val="000000010000" w:firstRow="0" w:lastRow="0" w:firstColumn="0" w:lastColumn="0" w:oddVBand="0" w:evenVBand="0" w:oddHBand="0" w:evenHBand="1" w:firstRowFirstColumn="0" w:firstRowLastColumn="0" w:lastRowFirstColumn="0" w:lastRowLastColumn="0"/>
            </w:pPr>
            <w:r w:rsidRPr="002F64A6">
              <w:t>0.9</w:t>
            </w:r>
          </w:p>
        </w:tc>
      </w:tr>
      <w:tr w:rsidR="00444204" w:rsidRPr="002F64A6" w14:paraId="74EF8C1B" w14:textId="6C03A7E5"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3FC4C01B" w14:textId="283F3480" w:rsidR="00E03D34" w:rsidRPr="002F64A6" w:rsidRDefault="00E03D34" w:rsidP="007F4E0A">
            <w:pPr>
              <w:pStyle w:val="TableLeft"/>
            </w:pPr>
            <w:r w:rsidRPr="002F64A6">
              <w:t>RMR–2 (Light, –190 kcal/h)</w:t>
            </w:r>
          </w:p>
        </w:tc>
        <w:tc>
          <w:tcPr>
            <w:tcW w:w="1456" w:type="dxa"/>
          </w:tcPr>
          <w:p w14:paraId="7A0AA472" w14:textId="038267E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30.5</w:t>
            </w:r>
          </w:p>
        </w:tc>
        <w:tc>
          <w:tcPr>
            <w:tcW w:w="1457" w:type="dxa"/>
          </w:tcPr>
          <w:p w14:paraId="0553A50D" w14:textId="212840BF"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29.8</w:t>
            </w:r>
          </w:p>
        </w:tc>
        <w:tc>
          <w:tcPr>
            <w:tcW w:w="1457" w:type="dxa"/>
          </w:tcPr>
          <w:p w14:paraId="634CEAC9" w14:textId="4500286E"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0.7</w:t>
            </w:r>
          </w:p>
        </w:tc>
      </w:tr>
      <w:tr w:rsidR="00444204" w:rsidRPr="002F64A6" w14:paraId="4D349581" w14:textId="18D7FEC2"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24DEE457" w14:textId="22798083" w:rsidR="00E03D34" w:rsidRPr="002F64A6" w:rsidRDefault="00E03D34" w:rsidP="007F4E0A">
            <w:pPr>
              <w:pStyle w:val="TableLeft"/>
            </w:pPr>
            <w:r w:rsidRPr="002F64A6">
              <w:t>RMR–3 (</w:t>
            </w:r>
            <w:r w:rsidR="00242800" w:rsidRPr="002F64A6">
              <w:t>Moderate</w:t>
            </w:r>
            <w:r w:rsidRPr="002F64A6">
              <w:t>, –250 kcal/h)</w:t>
            </w:r>
          </w:p>
        </w:tc>
        <w:tc>
          <w:tcPr>
            <w:tcW w:w="1456" w:type="dxa"/>
          </w:tcPr>
          <w:p w14:paraId="15EAB340" w14:textId="3CD86088"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29.0</w:t>
            </w:r>
          </w:p>
        </w:tc>
        <w:tc>
          <w:tcPr>
            <w:tcW w:w="1457" w:type="dxa"/>
          </w:tcPr>
          <w:p w14:paraId="67EB6953" w14:textId="54461F36"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28.4</w:t>
            </w:r>
          </w:p>
        </w:tc>
        <w:tc>
          <w:tcPr>
            <w:tcW w:w="1457" w:type="dxa"/>
          </w:tcPr>
          <w:p w14:paraId="315514DF" w14:textId="321BCFB7"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0.6</w:t>
            </w:r>
          </w:p>
        </w:tc>
      </w:tr>
      <w:tr w:rsidR="00444204" w:rsidRPr="002F64A6" w14:paraId="3E7E699A" w14:textId="280E71ED"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Pr>
          <w:p w14:paraId="75585578" w14:textId="6E91E26C" w:rsidR="00E03D34" w:rsidRPr="002F64A6" w:rsidRDefault="00E03D34" w:rsidP="007F4E0A">
            <w:pPr>
              <w:pStyle w:val="TableLeft"/>
            </w:pPr>
            <w:r w:rsidRPr="002F64A6">
              <w:t>RMR–4 (</w:t>
            </w:r>
            <w:r w:rsidR="00242800" w:rsidRPr="002F64A6">
              <w:t>Moderate</w:t>
            </w:r>
            <w:r w:rsidRPr="002F64A6">
              <w:t>, –310 kcal/h)</w:t>
            </w:r>
          </w:p>
        </w:tc>
        <w:tc>
          <w:tcPr>
            <w:tcW w:w="1456" w:type="dxa"/>
          </w:tcPr>
          <w:p w14:paraId="58D3D41A" w14:textId="53FC1EEA"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27.5</w:t>
            </w:r>
          </w:p>
        </w:tc>
        <w:tc>
          <w:tcPr>
            <w:tcW w:w="1457" w:type="dxa"/>
          </w:tcPr>
          <w:p w14:paraId="517CDEDB" w14:textId="79EB55C3"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27.3</w:t>
            </w:r>
          </w:p>
        </w:tc>
        <w:tc>
          <w:tcPr>
            <w:tcW w:w="1457" w:type="dxa"/>
          </w:tcPr>
          <w:p w14:paraId="4D354C71" w14:textId="6FFC6B75" w:rsidR="00E03D34" w:rsidRPr="002F64A6" w:rsidRDefault="00E03D34" w:rsidP="00082AF3">
            <w:pPr>
              <w:pStyle w:val="TableCenter"/>
              <w:cnfStyle w:val="000000100000" w:firstRow="0" w:lastRow="0" w:firstColumn="0" w:lastColumn="0" w:oddVBand="0" w:evenVBand="0" w:oddHBand="1" w:evenHBand="0" w:firstRowFirstColumn="0" w:firstRowLastColumn="0" w:lastRowFirstColumn="0" w:lastRowLastColumn="0"/>
            </w:pPr>
            <w:r w:rsidRPr="002F64A6">
              <w:t>0.2</w:t>
            </w:r>
          </w:p>
        </w:tc>
      </w:tr>
      <w:tr w:rsidR="00444204" w:rsidRPr="002F64A6" w14:paraId="44E48928" w14:textId="10C25F80" w:rsidTr="006B0638">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91" w:type="dxa"/>
            <w:tcBorders>
              <w:bottom w:val="nil"/>
            </w:tcBorders>
          </w:tcPr>
          <w:p w14:paraId="12A5FDF5" w14:textId="0487CA7D" w:rsidR="00E03D34" w:rsidRPr="002F64A6" w:rsidRDefault="00E03D34" w:rsidP="007F4E0A">
            <w:pPr>
              <w:pStyle w:val="TableLeft"/>
            </w:pPr>
            <w:r w:rsidRPr="002F64A6">
              <w:t>RMR–5 (</w:t>
            </w:r>
            <w:r w:rsidR="00242800" w:rsidRPr="002F64A6">
              <w:t>Heavy</w:t>
            </w:r>
            <w:r w:rsidRPr="002F64A6">
              <w:t>, –370 kcal/h)</w:t>
            </w:r>
          </w:p>
        </w:tc>
        <w:tc>
          <w:tcPr>
            <w:tcW w:w="1456" w:type="dxa"/>
            <w:tcBorders>
              <w:bottom w:val="nil"/>
            </w:tcBorders>
          </w:tcPr>
          <w:p w14:paraId="050C5EA6" w14:textId="0A3AEB3A"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26.5</w:t>
            </w:r>
          </w:p>
        </w:tc>
        <w:tc>
          <w:tcPr>
            <w:tcW w:w="1457" w:type="dxa"/>
            <w:tcBorders>
              <w:bottom w:val="nil"/>
            </w:tcBorders>
          </w:tcPr>
          <w:p w14:paraId="4697B416" w14:textId="115EB8FC"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26.4</w:t>
            </w:r>
          </w:p>
        </w:tc>
        <w:tc>
          <w:tcPr>
            <w:tcW w:w="1457" w:type="dxa"/>
            <w:tcBorders>
              <w:bottom w:val="nil"/>
            </w:tcBorders>
          </w:tcPr>
          <w:p w14:paraId="0BD659D1" w14:textId="41B34863" w:rsidR="00E03D34" w:rsidRPr="002F64A6" w:rsidRDefault="00E03D34" w:rsidP="00082AF3">
            <w:pPr>
              <w:pStyle w:val="TableCenter"/>
              <w:cnfStyle w:val="000000010000" w:firstRow="0" w:lastRow="0" w:firstColumn="0" w:lastColumn="0" w:oddVBand="0" w:evenVBand="0" w:oddHBand="0" w:evenHBand="1" w:firstRowFirstColumn="0" w:firstRowLastColumn="0" w:lastRowFirstColumn="0" w:lastRowLastColumn="0"/>
            </w:pPr>
            <w:r w:rsidRPr="002F64A6">
              <w:t>0.1</w:t>
            </w:r>
          </w:p>
        </w:tc>
      </w:tr>
      <w:tr w:rsidR="00082AF3" w:rsidRPr="002F64A6" w14:paraId="01EB5267" w14:textId="77777777" w:rsidTr="006B063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661" w:type="dxa"/>
            <w:gridSpan w:val="4"/>
            <w:tcBorders>
              <w:top w:val="nil"/>
            </w:tcBorders>
            <w:shd w:val="clear" w:color="auto" w:fill="FFFFFF" w:themeFill="background1"/>
          </w:tcPr>
          <w:p w14:paraId="1F54591C" w14:textId="4C74B189" w:rsidR="00082AF3" w:rsidRPr="002F64A6" w:rsidRDefault="00082AF3" w:rsidP="00512D01">
            <w:pPr>
              <w:pStyle w:val="Asterisks"/>
              <w:jc w:val="left"/>
            </w:pPr>
            <w:r w:rsidRPr="002F64A6">
              <w:t>*</w:t>
            </w:r>
            <w:r w:rsidR="009E05D0" w:rsidRPr="002F64A6">
              <w:t xml:space="preserve"> </w:t>
            </w:r>
            <w:r w:rsidRPr="002F64A6">
              <w:t>Relative Metabolic Rate (RMR) = (Metabolic energy expenditure during work</w:t>
            </w:r>
            <w:r w:rsidR="00F856F0" w:rsidRPr="002F64A6">
              <w:t xml:space="preserve">—Metabolic energy </w:t>
            </w:r>
            <w:r w:rsidRPr="002F64A6">
              <w:t>expenditure at rest)/Basal metabolic rate corresponding to the work period.</w:t>
            </w:r>
          </w:p>
        </w:tc>
      </w:tr>
    </w:tbl>
    <w:p w14:paraId="45BC666F" w14:textId="77777777" w:rsidR="00360794" w:rsidRPr="002F64A6" w:rsidRDefault="00360794" w:rsidP="00360794">
      <w:pPr>
        <w:pStyle w:val="L1"/>
      </w:pPr>
      <w:bookmarkStart w:id="28" w:name="_Toc517168454"/>
      <w:r w:rsidRPr="002F64A6">
        <w:t>NIOSH criteria for a recommended standard</w:t>
      </w:r>
      <w:bookmarkEnd w:id="28"/>
    </w:p>
    <w:p w14:paraId="67B28E82" w14:textId="597688D8"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In 2016, NIOSH issued the third iteration of its </w:t>
      </w:r>
      <w:r w:rsidR="00323648" w:rsidRPr="002F64A6">
        <w:rPr>
          <w:rFonts w:asciiTheme="majorBidi" w:hAnsiTheme="majorBidi" w:cstheme="majorBidi"/>
          <w:szCs w:val="24"/>
        </w:rPr>
        <w:t>c</w:t>
      </w:r>
      <w:r w:rsidRPr="002F64A6">
        <w:rPr>
          <w:rFonts w:asciiTheme="majorBidi" w:hAnsiTheme="majorBidi" w:cstheme="majorBidi"/>
          <w:szCs w:val="24"/>
        </w:rPr>
        <w:t xml:space="preserve">riteria for a </w:t>
      </w:r>
      <w:r w:rsidR="00323648" w:rsidRPr="002F64A6">
        <w:rPr>
          <w:rFonts w:asciiTheme="majorBidi" w:hAnsiTheme="majorBidi" w:cstheme="majorBidi"/>
          <w:szCs w:val="24"/>
        </w:rPr>
        <w:t>r</w:t>
      </w:r>
      <w:r w:rsidRPr="002F64A6">
        <w:rPr>
          <w:rFonts w:asciiTheme="majorBidi" w:hAnsiTheme="majorBidi" w:cstheme="majorBidi"/>
          <w:szCs w:val="24"/>
        </w:rPr>
        <w:t xml:space="preserve">ecommended </w:t>
      </w:r>
      <w:r w:rsidR="00323648" w:rsidRPr="002F64A6">
        <w:rPr>
          <w:rFonts w:asciiTheme="majorBidi" w:hAnsiTheme="majorBidi" w:cstheme="majorBidi"/>
          <w:szCs w:val="24"/>
        </w:rPr>
        <w:t>s</w:t>
      </w:r>
      <w:r w:rsidRPr="002F64A6">
        <w:rPr>
          <w:rFonts w:asciiTheme="majorBidi" w:hAnsiTheme="majorBidi" w:cstheme="majorBidi"/>
          <w:szCs w:val="24"/>
        </w:rPr>
        <w:t xml:space="preserve">tandard </w:t>
      </w:r>
      <w:r w:rsidR="00323648" w:rsidRPr="002F64A6">
        <w:rPr>
          <w:rFonts w:asciiTheme="majorBidi" w:hAnsiTheme="majorBidi" w:cstheme="majorBidi"/>
          <w:szCs w:val="24"/>
        </w:rPr>
        <w:t>for occupational exposure to heat and hot environments</w:t>
      </w:r>
      <w:r w:rsidRPr="002F64A6">
        <w:rPr>
          <w:rFonts w:asciiTheme="majorBidi" w:hAnsiTheme="majorBidi" w:cstheme="majorBidi"/>
          <w:szCs w:val="24"/>
        </w:rPr>
        <w:t>, which includes the following elements:</w:t>
      </w:r>
      <w:r w:rsidRPr="002F64A6">
        <w:rPr>
          <w:rFonts w:asciiTheme="majorBidi" w:hAnsiTheme="majorBidi" w:cstheme="majorBidi"/>
          <w:szCs w:val="24"/>
          <w:vertAlign w:val="superscript"/>
        </w:rPr>
        <w:footnoteReference w:id="84"/>
      </w:r>
      <w:r w:rsidRPr="002F64A6">
        <w:rPr>
          <w:rFonts w:asciiTheme="majorBidi" w:hAnsiTheme="majorBidi" w:cstheme="majorBidi"/>
          <w:szCs w:val="24"/>
        </w:rPr>
        <w:t xml:space="preserve"> heat stress threshold; rest breaks; hydration; shade; heat acclimatization plan; PPE; exposure monitoring; hazard notification; worker training; medical monitoring; injury surveillance; and recordkeeping. More detail on each of these recommended provisions, in addition to an additional whistleblower provision, is provided in this section.</w:t>
      </w:r>
    </w:p>
    <w:p w14:paraId="4811F76E" w14:textId="77777777" w:rsidR="00360794" w:rsidRPr="002F64A6" w:rsidRDefault="00360794" w:rsidP="00360794">
      <w:pPr>
        <w:pStyle w:val="L2"/>
      </w:pPr>
      <w:bookmarkStart w:id="29" w:name="_Toc517168455"/>
      <w:r w:rsidRPr="002F64A6">
        <w:t>Heat stress threshold, mandatory rest breaks, shade, and Personal Protective Equipment</w:t>
      </w:r>
      <w:bookmarkEnd w:id="29"/>
      <w:r w:rsidRPr="002F64A6">
        <w:t xml:space="preserve"> </w:t>
      </w:r>
    </w:p>
    <w:p w14:paraId="744E0782" w14:textId="1C7BD7F3"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NIOSH recommended that no worker be </w:t>
      </w:r>
      <w:r w:rsidR="00DB23CF">
        <w:rPr>
          <w:rFonts w:asciiTheme="majorBidi" w:hAnsiTheme="majorBidi" w:cstheme="majorBidi"/>
          <w:szCs w:val="24"/>
        </w:rPr>
        <w:t>“</w:t>
      </w:r>
      <w:r w:rsidRPr="002F64A6">
        <w:rPr>
          <w:rFonts w:asciiTheme="majorBidi" w:hAnsiTheme="majorBidi" w:cstheme="majorBidi"/>
          <w:szCs w:val="24"/>
        </w:rPr>
        <w:t>exposed to combinations of metabolic and environmental heat greater than</w:t>
      </w:r>
      <w:r w:rsidR="00DB23CF">
        <w:rPr>
          <w:rFonts w:asciiTheme="majorBidi" w:hAnsiTheme="majorBidi" w:cstheme="majorBidi"/>
          <w:szCs w:val="24"/>
        </w:rPr>
        <w:t>”</w:t>
      </w:r>
      <w:r w:rsidRPr="002F64A6">
        <w:rPr>
          <w:rFonts w:asciiTheme="majorBidi" w:hAnsiTheme="majorBidi" w:cstheme="majorBidi"/>
          <w:szCs w:val="24"/>
        </w:rPr>
        <w:t xml:space="preserve"> the applicable recommended alert limits (RALs) or recommended exposure limits (RELs), for unacclimatized and acclimatized workers, respectively (</w:t>
      </w:r>
      <w:r w:rsidRPr="002F64A6">
        <w:rPr>
          <w:rFonts w:asciiTheme="majorBidi" w:hAnsiTheme="majorBidi" w:cstheme="majorBidi"/>
          <w:bCs/>
          <w:szCs w:val="24"/>
        </w:rPr>
        <w:fldChar w:fldCharType="begin"/>
      </w:r>
      <w:r w:rsidRPr="002F64A6">
        <w:rPr>
          <w:rFonts w:asciiTheme="majorBidi" w:hAnsiTheme="majorBidi" w:cstheme="majorBidi"/>
          <w:bCs/>
          <w:szCs w:val="24"/>
        </w:rPr>
        <w:instrText xml:space="preserve"> REF _Ref514579409 \h  \* MERGEFORMAT </w:instrText>
      </w:r>
      <w:r w:rsidRPr="002F64A6">
        <w:rPr>
          <w:rFonts w:asciiTheme="majorBidi" w:hAnsiTheme="majorBidi" w:cstheme="majorBidi"/>
          <w:bCs/>
          <w:szCs w:val="24"/>
        </w:rPr>
      </w:r>
      <w:r w:rsidRPr="002F64A6">
        <w:rPr>
          <w:rFonts w:asciiTheme="majorBidi" w:hAnsiTheme="majorBidi" w:cstheme="majorBidi"/>
          <w:bCs/>
          <w:szCs w:val="24"/>
        </w:rPr>
        <w:fldChar w:fldCharType="separate"/>
      </w:r>
      <w:r w:rsidR="00806F98" w:rsidRPr="00806F98">
        <w:t xml:space="preserve">Figure </w:t>
      </w:r>
      <w:r w:rsidR="00806F98" w:rsidRPr="00806F98">
        <w:rPr>
          <w:noProof/>
        </w:rPr>
        <w:t>5</w:t>
      </w:r>
      <w:r w:rsidRPr="002F64A6">
        <w:rPr>
          <w:rFonts w:asciiTheme="majorBidi" w:hAnsiTheme="majorBidi" w:cstheme="majorBidi"/>
          <w:bCs/>
          <w:szCs w:val="24"/>
        </w:rPr>
        <w:fldChar w:fldCharType="end"/>
      </w:r>
      <w:r w:rsidR="008C5081" w:rsidRPr="002F64A6">
        <w:rPr>
          <w:rFonts w:asciiTheme="majorBidi" w:hAnsiTheme="majorBidi" w:cstheme="majorBidi"/>
          <w:bCs/>
          <w:szCs w:val="24"/>
        </w:rPr>
        <w:t xml:space="preserve"> and </w:t>
      </w:r>
      <w:r w:rsidR="008C5081" w:rsidRPr="002F64A6">
        <w:rPr>
          <w:rFonts w:asciiTheme="majorBidi" w:hAnsiTheme="majorBidi" w:cstheme="majorBidi"/>
          <w:bCs/>
          <w:szCs w:val="24"/>
        </w:rPr>
        <w:fldChar w:fldCharType="begin"/>
      </w:r>
      <w:r w:rsidR="008C5081" w:rsidRPr="002F64A6">
        <w:rPr>
          <w:rFonts w:asciiTheme="majorBidi" w:hAnsiTheme="majorBidi" w:cstheme="majorBidi"/>
          <w:bCs/>
          <w:szCs w:val="24"/>
        </w:rPr>
        <w:instrText xml:space="preserve"> REF _Ref514579447 \h  \* MERGEFORMAT </w:instrText>
      </w:r>
      <w:r w:rsidR="008C5081" w:rsidRPr="002F64A6">
        <w:rPr>
          <w:rFonts w:asciiTheme="majorBidi" w:hAnsiTheme="majorBidi" w:cstheme="majorBidi"/>
          <w:bCs/>
          <w:szCs w:val="24"/>
        </w:rPr>
      </w:r>
      <w:r w:rsidR="008C5081" w:rsidRPr="002F64A6">
        <w:rPr>
          <w:rFonts w:asciiTheme="majorBidi" w:hAnsiTheme="majorBidi" w:cstheme="majorBidi"/>
          <w:bCs/>
          <w:szCs w:val="24"/>
        </w:rPr>
        <w:fldChar w:fldCharType="separate"/>
      </w:r>
      <w:r w:rsidR="00806F98" w:rsidRPr="00806F98">
        <w:t xml:space="preserve">Figure </w:t>
      </w:r>
      <w:r w:rsidR="00806F98" w:rsidRPr="00806F98">
        <w:rPr>
          <w:noProof/>
        </w:rPr>
        <w:t>6</w:t>
      </w:r>
      <w:r w:rsidR="008C5081" w:rsidRPr="002F64A6">
        <w:rPr>
          <w:rFonts w:asciiTheme="majorBidi" w:hAnsiTheme="majorBidi" w:cstheme="majorBidi"/>
          <w:bCs/>
          <w:szCs w:val="24"/>
        </w:rPr>
        <w:fldChar w:fldCharType="end"/>
      </w:r>
      <w:r w:rsidRPr="002F64A6">
        <w:rPr>
          <w:rFonts w:asciiTheme="majorBidi" w:hAnsiTheme="majorBidi" w:cstheme="majorBidi"/>
          <w:szCs w:val="24"/>
        </w:rPr>
        <w:t>).</w:t>
      </w: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74D99E46"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7082EA2E" w14:textId="5E1CD99A" w:rsidR="00360794" w:rsidRPr="002F64A6" w:rsidRDefault="00360794" w:rsidP="00A206A3">
            <w:pPr>
              <w:pStyle w:val="Caption"/>
              <w:rPr>
                <w:b/>
              </w:rPr>
            </w:pPr>
            <w:bookmarkStart w:id="30" w:name="_Ref514579409"/>
            <w:bookmarkStart w:id="31" w:name="_Ref51457939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806F98">
              <w:rPr>
                <w:b/>
                <w:noProof/>
              </w:rPr>
              <w:t>5</w:t>
            </w:r>
            <w:r w:rsidR="00683706">
              <w:fldChar w:fldCharType="end"/>
            </w:r>
            <w:bookmarkEnd w:id="30"/>
            <w:r w:rsidRPr="002F64A6">
              <w:rPr>
                <w:b/>
              </w:rPr>
              <w:t xml:space="preserve">. Recommended heat stress </w:t>
            </w:r>
            <w:r w:rsidR="00390A2D" w:rsidRPr="002F64A6">
              <w:rPr>
                <w:b/>
              </w:rPr>
              <w:t xml:space="preserve">alert </w:t>
            </w:r>
            <w:r w:rsidRPr="002F64A6">
              <w:rPr>
                <w:b/>
              </w:rPr>
              <w:t>limits (R</w:t>
            </w:r>
            <w:r w:rsidR="00390A2D" w:rsidRPr="002F64A6">
              <w:rPr>
                <w:b/>
              </w:rPr>
              <w:t>A</w:t>
            </w:r>
            <w:r w:rsidRPr="002F64A6">
              <w:rPr>
                <w:b/>
              </w:rPr>
              <w:t>Ls)</w:t>
            </w:r>
            <w:r w:rsidRPr="002F64A6">
              <w:rPr>
                <w:b/>
              </w:rPr>
              <w:br/>
              <w:t xml:space="preserve">for </w:t>
            </w:r>
            <w:r w:rsidR="00390A2D" w:rsidRPr="002F64A6">
              <w:rPr>
                <w:b/>
              </w:rPr>
              <w:t>un</w:t>
            </w:r>
            <w:r w:rsidRPr="002F64A6">
              <w:rPr>
                <w:b/>
              </w:rPr>
              <w:t>acclimatized workers*</w:t>
            </w:r>
            <w:r w:rsidRPr="002F64A6">
              <w:rPr>
                <w:b/>
                <w:vertAlign w:val="superscript"/>
              </w:rPr>
              <w:t>,</w:t>
            </w:r>
            <w:r w:rsidRPr="002F64A6">
              <w:rPr>
                <w:rStyle w:val="FootnoteReference"/>
                <w:b/>
              </w:rPr>
              <w:footnoteReference w:id="85"/>
            </w:r>
            <w:bookmarkEnd w:id="31"/>
          </w:p>
          <w:p w14:paraId="695ECC89"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7B08F555" wp14:editId="21B8B3E5">
                  <wp:extent cx="4919472" cy="5047488"/>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19472" cy="5047488"/>
                          </a:xfrm>
                          <a:prstGeom prst="rect">
                            <a:avLst/>
                          </a:prstGeom>
                        </pic:spPr>
                      </pic:pic>
                    </a:graphicData>
                  </a:graphic>
                </wp:inline>
              </w:drawing>
            </w:r>
          </w:p>
        </w:tc>
      </w:tr>
      <w:tr w:rsidR="00360794" w:rsidRPr="002F64A6" w14:paraId="39A4B0D7" w14:textId="77777777" w:rsidTr="00A206A3">
        <w:trPr>
          <w:jc w:val="center"/>
        </w:trPr>
        <w:tc>
          <w:tcPr>
            <w:tcW w:w="7963" w:type="dxa"/>
          </w:tcPr>
          <w:p w14:paraId="5B99E2F5" w14:textId="482367EA" w:rsidR="00360794" w:rsidRPr="002F64A6" w:rsidRDefault="00360794" w:rsidP="00A206A3">
            <w:pPr>
              <w:pStyle w:val="Asterisks"/>
              <w:jc w:val="left"/>
              <w:rPr>
                <w:rFonts w:asciiTheme="majorBidi" w:hAnsiTheme="majorBidi"/>
                <w:szCs w:val="24"/>
              </w:rPr>
            </w:pPr>
            <w:r w:rsidRPr="002F64A6">
              <w:t>*</w:t>
            </w:r>
            <w:r w:rsidR="003D147C" w:rsidRPr="002F64A6">
              <w:t xml:space="preserve"> </w:t>
            </w:r>
            <w:r w:rsidRPr="002F64A6">
              <w:t xml:space="preserve">Values shown are for a </w:t>
            </w:r>
            <w:r w:rsidR="00DB23CF">
              <w:t>“</w:t>
            </w:r>
            <w:r w:rsidRPr="002F64A6">
              <w:t>standard man</w:t>
            </w:r>
            <w:r w:rsidR="00DB23CF">
              <w:t>”</w:t>
            </w:r>
            <w:r w:rsidRPr="002F64A6">
              <w:t xml:space="preserve"> of 70 kg (154 </w:t>
            </w:r>
            <w:proofErr w:type="spellStart"/>
            <w:r w:rsidRPr="002F64A6">
              <w:t>lb</w:t>
            </w:r>
            <w:proofErr w:type="spellEnd"/>
            <w:r w:rsidRPr="002F64A6">
              <w:t xml:space="preserve">)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7E20E7CB" w14:textId="77777777" w:rsidR="00360794" w:rsidRPr="002F64A6" w:rsidRDefault="00360794" w:rsidP="00360794">
      <w:pPr>
        <w:rPr>
          <w:rFonts w:asciiTheme="majorBidi" w:hAnsiTheme="majorBidi" w:cstheme="majorBidi"/>
          <w:b/>
          <w:bCs/>
          <w:szCs w:val="24"/>
        </w:rPr>
      </w:pPr>
    </w:p>
    <w:tbl>
      <w:tblPr>
        <w:tblStyle w:val="TableGrid"/>
        <w:tblW w:w="79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63"/>
      </w:tblGrid>
      <w:tr w:rsidR="00360794" w:rsidRPr="002F64A6" w14:paraId="09C6DE6F" w14:textId="77777777" w:rsidTr="00A206A3">
        <w:trPr>
          <w:cnfStyle w:val="100000000000" w:firstRow="1" w:lastRow="0" w:firstColumn="0" w:lastColumn="0" w:oddVBand="0" w:evenVBand="0" w:oddHBand="0" w:evenHBand="0" w:firstRowFirstColumn="0" w:firstRowLastColumn="0" w:lastRowFirstColumn="0" w:lastRowLastColumn="0"/>
          <w:jc w:val="center"/>
        </w:trPr>
        <w:tc>
          <w:tcPr>
            <w:tcW w:w="7963" w:type="dxa"/>
            <w:shd w:val="clear" w:color="auto" w:fill="auto"/>
          </w:tcPr>
          <w:p w14:paraId="4F693FB8" w14:textId="13D4C855" w:rsidR="00360794" w:rsidRPr="002F64A6" w:rsidRDefault="00360794" w:rsidP="00A206A3">
            <w:pPr>
              <w:pStyle w:val="Caption"/>
              <w:rPr>
                <w:b/>
              </w:rPr>
            </w:pPr>
            <w:bookmarkStart w:id="32" w:name="_Ref514579447"/>
            <w:r w:rsidRPr="002F64A6">
              <w:rPr>
                <w:b/>
              </w:rPr>
              <w:lastRenderedPageBreak/>
              <w:t xml:space="preserve">Figure </w:t>
            </w:r>
            <w:r w:rsidR="00683706">
              <w:fldChar w:fldCharType="begin"/>
            </w:r>
            <w:r w:rsidR="00683706">
              <w:rPr>
                <w:b/>
              </w:rPr>
              <w:instrText xml:space="preserve"> SEQ Figure \* ARABIC </w:instrText>
            </w:r>
            <w:r w:rsidR="00683706">
              <w:fldChar w:fldCharType="separate"/>
            </w:r>
            <w:r w:rsidR="00806F98">
              <w:rPr>
                <w:b/>
                <w:noProof/>
              </w:rPr>
              <w:t>6</w:t>
            </w:r>
            <w:r w:rsidR="00683706">
              <w:fldChar w:fldCharType="end"/>
            </w:r>
            <w:bookmarkEnd w:id="32"/>
            <w:r w:rsidRPr="002F64A6">
              <w:rPr>
                <w:b/>
              </w:rPr>
              <w:t>. Recommended heat stress exposure limits (RELs)</w:t>
            </w:r>
            <w:r w:rsidRPr="002F64A6">
              <w:rPr>
                <w:b/>
              </w:rPr>
              <w:br/>
              <w:t>for acclimatized workers*</w:t>
            </w:r>
            <w:r w:rsidRPr="002F64A6">
              <w:rPr>
                <w:b/>
                <w:vertAlign w:val="superscript"/>
              </w:rPr>
              <w:t>,</w:t>
            </w:r>
            <w:r w:rsidRPr="002F64A6">
              <w:rPr>
                <w:rStyle w:val="FootnoteReference"/>
                <w:b/>
              </w:rPr>
              <w:footnoteReference w:id="86"/>
            </w:r>
          </w:p>
          <w:p w14:paraId="13BE621E" w14:textId="77777777" w:rsidR="00360794" w:rsidRPr="002F64A6" w:rsidRDefault="00360794" w:rsidP="00A206A3">
            <w:pPr>
              <w:rPr>
                <w:rFonts w:asciiTheme="majorBidi" w:hAnsiTheme="majorBidi" w:cstheme="majorBidi"/>
                <w:szCs w:val="24"/>
              </w:rPr>
            </w:pPr>
            <w:r w:rsidRPr="002F64A6">
              <w:rPr>
                <w:noProof/>
              </w:rPr>
              <w:drawing>
                <wp:inline distT="0" distB="0" distL="0" distR="0" wp14:anchorId="45DA0EF7" wp14:editId="597CEB1A">
                  <wp:extent cx="4919472"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19472" cy="5486400"/>
                          </a:xfrm>
                          <a:prstGeom prst="rect">
                            <a:avLst/>
                          </a:prstGeom>
                        </pic:spPr>
                      </pic:pic>
                    </a:graphicData>
                  </a:graphic>
                </wp:inline>
              </w:drawing>
            </w:r>
          </w:p>
        </w:tc>
      </w:tr>
      <w:tr w:rsidR="00360794" w:rsidRPr="002F64A6" w14:paraId="73B793E5" w14:textId="77777777" w:rsidTr="00A206A3">
        <w:trPr>
          <w:jc w:val="center"/>
        </w:trPr>
        <w:tc>
          <w:tcPr>
            <w:tcW w:w="7963" w:type="dxa"/>
          </w:tcPr>
          <w:p w14:paraId="2D501161" w14:textId="2EFDB248" w:rsidR="00360794" w:rsidRPr="002F64A6" w:rsidRDefault="00360794" w:rsidP="00A206A3">
            <w:pPr>
              <w:pStyle w:val="Asterisks"/>
              <w:jc w:val="left"/>
              <w:rPr>
                <w:rFonts w:asciiTheme="majorBidi" w:hAnsiTheme="majorBidi"/>
                <w:szCs w:val="24"/>
              </w:rPr>
            </w:pPr>
            <w:r w:rsidRPr="002F64A6">
              <w:t xml:space="preserve">* Values shown are for a </w:t>
            </w:r>
            <w:r w:rsidR="00DB23CF">
              <w:t>“</w:t>
            </w:r>
            <w:r w:rsidRPr="002F64A6">
              <w:t>standard man</w:t>
            </w:r>
            <w:r w:rsidR="00DB23CF">
              <w:t>”</w:t>
            </w:r>
            <w:r w:rsidRPr="002F64A6">
              <w:t xml:space="preserve"> of 70 kg (154 </w:t>
            </w:r>
            <w:proofErr w:type="spellStart"/>
            <w:r w:rsidRPr="002F64A6">
              <w:t>lb</w:t>
            </w:r>
            <w:proofErr w:type="spellEnd"/>
            <w:r w:rsidRPr="002F64A6">
              <w:t xml:space="preserve">) body weight and 1.8 m2 (19.4 ft2) body surface. The </w:t>
            </w:r>
            <w:r w:rsidR="00DB23CF">
              <w:t>“</w:t>
            </w:r>
            <w:r w:rsidRPr="002F64A6">
              <w:t>standard man</w:t>
            </w:r>
            <w:r w:rsidR="00DB23CF">
              <w:t>”</w:t>
            </w:r>
            <w:r w:rsidRPr="002F64A6">
              <w:t xml:space="preserve"> is used to normalize the data from the variability found in human beings. Both men and women adapt well to heat exposure, and given the similar physiological ability to tolerate heat, there are no significant differences between the sexes.</w:t>
            </w:r>
          </w:p>
        </w:tc>
      </w:tr>
    </w:tbl>
    <w:p w14:paraId="64B1BA57" w14:textId="55116C43"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Calculating the total (environmental + metabolic) heat load is relatively straightforward, even for small employers. In most situations, environmental heat loads are obtained most accurately by directly measuring, using a WBGT meter, or by indirectly calculating the WBGT.</w:t>
      </w:r>
      <w:r w:rsidRPr="002F64A6">
        <w:rPr>
          <w:rStyle w:val="FootnoteReference"/>
          <w:rFonts w:asciiTheme="majorBidi" w:hAnsiTheme="majorBidi" w:cstheme="majorBidi"/>
          <w:szCs w:val="24"/>
        </w:rPr>
        <w:footnoteReference w:id="87"/>
      </w:r>
      <w:r w:rsidRPr="002F64A6">
        <w:rPr>
          <w:rFonts w:asciiTheme="majorBidi" w:hAnsiTheme="majorBidi" w:cstheme="majorBidi"/>
          <w:szCs w:val="24"/>
        </w:rPr>
        <w:t xml:space="preserve"> Metabolic </w:t>
      </w:r>
      <w:r w:rsidRPr="002F64A6">
        <w:rPr>
          <w:rFonts w:asciiTheme="majorBidi" w:hAnsiTheme="majorBidi" w:cstheme="majorBidi"/>
          <w:szCs w:val="24"/>
        </w:rPr>
        <w:lastRenderedPageBreak/>
        <w:t xml:space="preserve">heat loads can be approximated roughly according to the ACGIH metabolic-work-rate guide, presented in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_Ref514855699 \h </w:instrText>
      </w:r>
      <w:r w:rsidR="00F30950" w:rsidRPr="002F64A6">
        <w:rPr>
          <w:rFonts w:asciiTheme="majorBidi" w:hAnsiTheme="majorBidi" w:cstheme="majorBidi"/>
          <w:szCs w:val="24"/>
        </w:rPr>
        <w:instrText xml:space="preserve">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2F64A6">
        <w:t xml:space="preserve">Table </w:t>
      </w:r>
      <w:r w:rsidR="00806F98">
        <w:rPr>
          <w:noProof/>
        </w:rPr>
        <w:t>8</w:t>
      </w:r>
      <w:r w:rsidRPr="002F64A6">
        <w:rPr>
          <w:rFonts w:asciiTheme="majorBidi" w:hAnsiTheme="majorBidi" w:cstheme="majorBidi"/>
          <w:szCs w:val="24"/>
        </w:rPr>
        <w:fldChar w:fldCharType="end"/>
      </w:r>
      <w:r w:rsidRPr="002F64A6">
        <w:rPr>
          <w:rFonts w:asciiTheme="majorBidi" w:hAnsiTheme="majorBidi" w:cstheme="majorBidi"/>
          <w:szCs w:val="24"/>
        </w:rPr>
        <w:t>, and recommended by the OSHA Technical Manual on heat stress.</w:t>
      </w:r>
      <w:r w:rsidRPr="002F64A6">
        <w:rPr>
          <w:rStyle w:val="FootnoteReference"/>
          <w:rFonts w:asciiTheme="majorBidi" w:hAnsiTheme="majorBidi" w:cstheme="majorBidi"/>
          <w:szCs w:val="24"/>
        </w:rPr>
        <w:footnoteReference w:id="88"/>
      </w:r>
      <w:r w:rsidRPr="002F64A6">
        <w:rPr>
          <w:rFonts w:asciiTheme="majorBidi" w:hAnsiTheme="majorBidi" w:cstheme="majorBidi"/>
          <w:szCs w:val="24"/>
        </w:rPr>
        <w:t xml:space="preserve"> </w:t>
      </w:r>
    </w:p>
    <w:p w14:paraId="11468914" w14:textId="77777777" w:rsidR="00360794" w:rsidRPr="002F64A6" w:rsidRDefault="00360794" w:rsidP="00360794">
      <w:pPr>
        <w:pStyle w:val="Caption"/>
      </w:pPr>
      <w:bookmarkStart w:id="33" w:name="_Ref514855699"/>
      <w:r w:rsidRPr="002F64A6">
        <w:t xml:space="preserve">Table </w:t>
      </w:r>
      <w:r w:rsidR="00E221DB">
        <w:fldChar w:fldCharType="begin"/>
      </w:r>
      <w:r w:rsidR="00E221DB">
        <w:instrText xml:space="preserve"> SEQ Table \* ARABIC </w:instrText>
      </w:r>
      <w:r w:rsidR="00E221DB">
        <w:fldChar w:fldCharType="separate"/>
      </w:r>
      <w:r w:rsidR="00806F98">
        <w:rPr>
          <w:noProof/>
        </w:rPr>
        <w:t>8</w:t>
      </w:r>
      <w:r w:rsidR="00E221DB">
        <w:rPr>
          <w:noProof/>
        </w:rPr>
        <w:fldChar w:fldCharType="end"/>
      </w:r>
      <w:bookmarkEnd w:id="33"/>
      <w:r w:rsidRPr="002F64A6">
        <w:t>. Metabolic work rates</w:t>
      </w:r>
    </w:p>
    <w:tbl>
      <w:tblPr>
        <w:tblStyle w:val="LightShading-Accent5"/>
        <w:tblW w:w="4500" w:type="pct"/>
        <w:jc w:val="center"/>
        <w:tblLook w:val="04A0" w:firstRow="1" w:lastRow="0" w:firstColumn="1" w:lastColumn="0" w:noHBand="0" w:noVBand="1"/>
      </w:tblPr>
      <w:tblGrid>
        <w:gridCol w:w="1339"/>
        <w:gridCol w:w="1440"/>
        <w:gridCol w:w="5839"/>
      </w:tblGrid>
      <w:tr w:rsidR="00360794" w:rsidRPr="002F64A6" w14:paraId="73F77971" w14:textId="77777777" w:rsidTr="005E2CC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5A058634" w14:textId="77777777" w:rsidR="00360794" w:rsidRPr="002F64A6" w:rsidRDefault="00360794" w:rsidP="00A206A3">
            <w:pPr>
              <w:pStyle w:val="TableHeading"/>
            </w:pPr>
            <w:r w:rsidRPr="002F64A6">
              <w:t>Work Category</w:t>
            </w:r>
          </w:p>
        </w:tc>
        <w:tc>
          <w:tcPr>
            <w:tcW w:w="1440" w:type="dxa"/>
          </w:tcPr>
          <w:p w14:paraId="20FA4CBD"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Metabolic Rate (Watts)</w:t>
            </w:r>
          </w:p>
        </w:tc>
        <w:tc>
          <w:tcPr>
            <w:tcW w:w="5839" w:type="dxa"/>
          </w:tcPr>
          <w:p w14:paraId="3D5EABF4" w14:textId="77777777" w:rsidR="00360794" w:rsidRPr="002F64A6" w:rsidRDefault="00360794" w:rsidP="00A206A3">
            <w:pPr>
              <w:pStyle w:val="TableHeading"/>
              <w:cnfStyle w:val="100000000000" w:firstRow="1" w:lastRow="0" w:firstColumn="0" w:lastColumn="0" w:oddVBand="0" w:evenVBand="0" w:oddHBand="0" w:evenHBand="0" w:firstRowFirstColumn="0" w:firstRowLastColumn="0" w:lastRowFirstColumn="0" w:lastRowLastColumn="0"/>
            </w:pPr>
            <w:r w:rsidRPr="002F64A6">
              <w:t>Examples</w:t>
            </w:r>
          </w:p>
        </w:tc>
      </w:tr>
      <w:tr w:rsidR="00360794" w:rsidRPr="002F64A6" w14:paraId="502AE018"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FAE107" w14:textId="77777777" w:rsidR="00360794" w:rsidRPr="002F64A6" w:rsidRDefault="00360794" w:rsidP="00A206A3">
            <w:pPr>
              <w:pStyle w:val="TableLeft"/>
            </w:pPr>
            <w:r w:rsidRPr="002F64A6">
              <w:t>Rest</w:t>
            </w:r>
          </w:p>
        </w:tc>
        <w:tc>
          <w:tcPr>
            <w:tcW w:w="1440" w:type="dxa"/>
          </w:tcPr>
          <w:p w14:paraId="6E97C8D8"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115</w:t>
            </w:r>
          </w:p>
        </w:tc>
        <w:tc>
          <w:tcPr>
            <w:tcW w:w="5839" w:type="dxa"/>
          </w:tcPr>
          <w:p w14:paraId="5000F7AF"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Sitting</w:t>
            </w:r>
          </w:p>
        </w:tc>
      </w:tr>
      <w:tr w:rsidR="00360794" w:rsidRPr="002F64A6" w14:paraId="5ADA0452"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17E3EBA9" w14:textId="77777777" w:rsidR="00360794" w:rsidRPr="002F64A6" w:rsidRDefault="00360794" w:rsidP="00A206A3">
            <w:pPr>
              <w:pStyle w:val="TableLeft"/>
            </w:pPr>
            <w:r w:rsidRPr="002F64A6">
              <w:t>Light</w:t>
            </w:r>
          </w:p>
        </w:tc>
        <w:tc>
          <w:tcPr>
            <w:tcW w:w="1440" w:type="dxa"/>
          </w:tcPr>
          <w:p w14:paraId="1DD47E4D"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180</w:t>
            </w:r>
          </w:p>
        </w:tc>
        <w:tc>
          <w:tcPr>
            <w:tcW w:w="5839" w:type="dxa"/>
          </w:tcPr>
          <w:p w14:paraId="7BFE0385"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Sitting, standing, light arm/hand work and occasional walking</w:t>
            </w:r>
          </w:p>
        </w:tc>
      </w:tr>
      <w:tr w:rsidR="00360794" w:rsidRPr="002F64A6" w14:paraId="08EFED66"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8E49321" w14:textId="77777777" w:rsidR="00360794" w:rsidRPr="002F64A6" w:rsidRDefault="00360794" w:rsidP="00A206A3">
            <w:pPr>
              <w:pStyle w:val="TableLeft"/>
            </w:pPr>
            <w:r w:rsidRPr="002F64A6">
              <w:t>Moderate</w:t>
            </w:r>
          </w:p>
        </w:tc>
        <w:tc>
          <w:tcPr>
            <w:tcW w:w="1440" w:type="dxa"/>
          </w:tcPr>
          <w:p w14:paraId="73ED54EB"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300</w:t>
            </w:r>
          </w:p>
        </w:tc>
        <w:tc>
          <w:tcPr>
            <w:tcW w:w="5839" w:type="dxa"/>
          </w:tcPr>
          <w:p w14:paraId="72DFA5FE"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Normal walking, moderate lifting</w:t>
            </w:r>
          </w:p>
        </w:tc>
      </w:tr>
      <w:tr w:rsidR="00360794" w:rsidRPr="002F64A6" w14:paraId="6C0E325A"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Pr>
          <w:p w14:paraId="777319B9" w14:textId="77777777" w:rsidR="00360794" w:rsidRPr="002F64A6" w:rsidRDefault="00360794" w:rsidP="00A206A3">
            <w:pPr>
              <w:pStyle w:val="TableLeft"/>
            </w:pPr>
            <w:r w:rsidRPr="002F64A6">
              <w:t>Heavy</w:t>
            </w:r>
          </w:p>
        </w:tc>
        <w:tc>
          <w:tcPr>
            <w:tcW w:w="1440" w:type="dxa"/>
          </w:tcPr>
          <w:p w14:paraId="15AECCD7" w14:textId="77777777" w:rsidR="00360794" w:rsidRPr="002F64A6" w:rsidRDefault="00360794" w:rsidP="00A206A3">
            <w:pPr>
              <w:pStyle w:val="TableCenter"/>
              <w:cnfStyle w:val="000000010000" w:firstRow="0" w:lastRow="0" w:firstColumn="0" w:lastColumn="0" w:oddVBand="0" w:evenVBand="0" w:oddHBand="0" w:evenHBand="1" w:firstRowFirstColumn="0" w:firstRowLastColumn="0" w:lastRowFirstColumn="0" w:lastRowLastColumn="0"/>
            </w:pPr>
            <w:r w:rsidRPr="002F64A6">
              <w:t>415</w:t>
            </w:r>
          </w:p>
        </w:tc>
        <w:tc>
          <w:tcPr>
            <w:tcW w:w="5839" w:type="dxa"/>
          </w:tcPr>
          <w:p w14:paraId="6DF506AE" w14:textId="77777777" w:rsidR="00360794" w:rsidRPr="002F64A6" w:rsidRDefault="00360794" w:rsidP="00A206A3">
            <w:pPr>
              <w:pStyle w:val="TableLeft"/>
              <w:cnfStyle w:val="000000010000" w:firstRow="0" w:lastRow="0" w:firstColumn="0" w:lastColumn="0" w:oddVBand="0" w:evenVBand="0" w:oddHBand="0" w:evenHBand="1" w:firstRowFirstColumn="0" w:firstRowLastColumn="0" w:lastRowFirstColumn="0" w:lastRowLastColumn="0"/>
            </w:pPr>
            <w:r w:rsidRPr="002F64A6">
              <w:t>Heavy material handling, walking at a fast pace</w:t>
            </w:r>
          </w:p>
        </w:tc>
      </w:tr>
      <w:tr w:rsidR="00360794" w:rsidRPr="002F64A6" w14:paraId="27222D50" w14:textId="77777777" w:rsidTr="005E2CC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39" w:type="dxa"/>
            <w:tcBorders>
              <w:bottom w:val="nil"/>
            </w:tcBorders>
          </w:tcPr>
          <w:p w14:paraId="77AE8B52" w14:textId="77777777" w:rsidR="00360794" w:rsidRPr="002F64A6" w:rsidRDefault="00360794" w:rsidP="00A206A3">
            <w:pPr>
              <w:pStyle w:val="TableLeft"/>
            </w:pPr>
            <w:r w:rsidRPr="002F64A6">
              <w:t>Very Heavy</w:t>
            </w:r>
          </w:p>
        </w:tc>
        <w:tc>
          <w:tcPr>
            <w:tcW w:w="1440" w:type="dxa"/>
            <w:tcBorders>
              <w:bottom w:val="nil"/>
            </w:tcBorders>
          </w:tcPr>
          <w:p w14:paraId="7E23C6E4" w14:textId="77777777" w:rsidR="00360794" w:rsidRPr="002F64A6" w:rsidRDefault="00360794" w:rsidP="00A206A3">
            <w:pPr>
              <w:pStyle w:val="TableCenter"/>
              <w:cnfStyle w:val="000000100000" w:firstRow="0" w:lastRow="0" w:firstColumn="0" w:lastColumn="0" w:oddVBand="0" w:evenVBand="0" w:oddHBand="1" w:evenHBand="0" w:firstRowFirstColumn="0" w:firstRowLastColumn="0" w:lastRowFirstColumn="0" w:lastRowLastColumn="0"/>
            </w:pPr>
            <w:r w:rsidRPr="002F64A6">
              <w:t>520</w:t>
            </w:r>
          </w:p>
        </w:tc>
        <w:tc>
          <w:tcPr>
            <w:tcW w:w="5839" w:type="dxa"/>
            <w:tcBorders>
              <w:bottom w:val="nil"/>
            </w:tcBorders>
          </w:tcPr>
          <w:p w14:paraId="3D920DA4" w14:textId="77777777" w:rsidR="00360794" w:rsidRPr="002F64A6" w:rsidRDefault="00360794" w:rsidP="00A206A3">
            <w:pPr>
              <w:pStyle w:val="TableLeft"/>
              <w:cnfStyle w:val="000000100000" w:firstRow="0" w:lastRow="0" w:firstColumn="0" w:lastColumn="0" w:oddVBand="0" w:evenVBand="0" w:oddHBand="1" w:evenHBand="0" w:firstRowFirstColumn="0" w:firstRowLastColumn="0" w:lastRowFirstColumn="0" w:lastRowLastColumn="0"/>
            </w:pPr>
            <w:r w:rsidRPr="002F64A6">
              <w:t>Pick and shovel work</w:t>
            </w:r>
          </w:p>
        </w:tc>
      </w:tr>
      <w:tr w:rsidR="00360794" w:rsidRPr="002F64A6" w14:paraId="2824C3D4" w14:textId="77777777" w:rsidTr="005E2CC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618" w:type="dxa"/>
            <w:gridSpan w:val="3"/>
            <w:tcBorders>
              <w:top w:val="nil"/>
            </w:tcBorders>
            <w:shd w:val="clear" w:color="auto" w:fill="FFFFFF" w:themeFill="background1"/>
          </w:tcPr>
          <w:p w14:paraId="65311CA5" w14:textId="25776A4E" w:rsidR="00360794" w:rsidRPr="002F64A6" w:rsidRDefault="00360794" w:rsidP="009928EF">
            <w:pPr>
              <w:pStyle w:val="Asterisks"/>
              <w:jc w:val="left"/>
            </w:pPr>
            <w:r w:rsidRPr="002F64A6">
              <w:t xml:space="preserve">Adapted from: ACGIH </w:t>
            </w:r>
            <w:r w:rsidR="00DB23CF">
              <w:t>“</w:t>
            </w:r>
            <w:r w:rsidRPr="002F64A6">
              <w:t>2017 TLVs and BEIs</w:t>
            </w:r>
            <w:r w:rsidR="00DB23CF">
              <w:t>”</w:t>
            </w:r>
            <w:r w:rsidRPr="002F64A6">
              <w:t xml:space="preserve"> T</w:t>
            </w:r>
            <w:r w:rsidR="009928EF">
              <w:t xml:space="preserve">able </w:t>
            </w:r>
            <w:r w:rsidRPr="002F64A6">
              <w:t>3 and presented here as shown by OSHA</w:t>
            </w:r>
            <w:r w:rsidR="00DB23CF">
              <w:t>’</w:t>
            </w:r>
            <w:r w:rsidRPr="002F64A6">
              <w:t>s Technical Manual for heat stress (OSHA Technical Manual: Heat Stress. Section III: Chapter 4</w:t>
            </w:r>
            <w:r w:rsidR="00571E65">
              <w:t>.</w:t>
            </w:r>
            <w:r w:rsidRPr="002F64A6">
              <w:t xml:space="preserve"> </w:t>
            </w:r>
            <w:hyperlink r:id="rId17" w:anchor="metabolic" w:history="1">
              <w:r w:rsidRPr="002F64A6">
                <w:rPr>
                  <w:rStyle w:val="Hyperlink"/>
                </w:rPr>
                <w:t>https://www.osha.gov/dts/osta/otm/otm_iii/otm_iii_4.html#metabolic</w:t>
              </w:r>
            </w:hyperlink>
            <w:r w:rsidRPr="002F64A6">
              <w:t>. Accessed March 17, 2018.)</w:t>
            </w:r>
          </w:p>
        </w:tc>
      </w:tr>
    </w:tbl>
    <w:p w14:paraId="25796659" w14:textId="77777777" w:rsidR="00360794" w:rsidRPr="002F64A6" w:rsidRDefault="00360794" w:rsidP="00360794">
      <w:pPr>
        <w:rPr>
          <w:rFonts w:asciiTheme="majorBidi" w:hAnsiTheme="majorBidi" w:cstheme="majorBidi"/>
          <w:i/>
          <w:iCs/>
          <w:szCs w:val="24"/>
        </w:rPr>
      </w:pPr>
      <w:r w:rsidRPr="002F64A6">
        <w:rPr>
          <w:rFonts w:asciiTheme="majorBidi" w:hAnsiTheme="majorBidi" w:cstheme="majorBidi"/>
          <w:i/>
          <w:iCs/>
          <w:szCs w:val="24"/>
        </w:rPr>
        <w:t>Mandatory rest breaks</w:t>
      </w:r>
    </w:p>
    <w:p w14:paraId="3D581F00" w14:textId="77777777"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If the RAL/REL is reached during the work day, employers should initiate various protective measures, including, if necessary, a rest break, which should range in length from 15–45 minutes per hour depending on the total heat load.</w:t>
      </w:r>
      <w:r w:rsidRPr="002F64A6">
        <w:rPr>
          <w:rStyle w:val="FootnoteReference"/>
          <w:rFonts w:asciiTheme="majorBidi" w:hAnsiTheme="majorBidi" w:cstheme="majorBidi"/>
          <w:szCs w:val="24"/>
        </w:rPr>
        <w:footnoteReference w:id="89"/>
      </w:r>
      <w:r w:rsidRPr="002F64A6">
        <w:rPr>
          <w:rFonts w:asciiTheme="majorBidi" w:hAnsiTheme="majorBidi" w:cstheme="majorBidi"/>
          <w:szCs w:val="24"/>
        </w:rPr>
        <w:t xml:space="preserve"> These rest breaks should be taken away from the hot environment and, for outdoor environments, in the shade.</w:t>
      </w:r>
      <w:r w:rsidRPr="002F64A6">
        <w:rPr>
          <w:rStyle w:val="FootnoteReference"/>
          <w:rFonts w:asciiTheme="majorBidi" w:hAnsiTheme="majorBidi" w:cstheme="majorBidi"/>
          <w:szCs w:val="24"/>
        </w:rPr>
        <w:footnoteReference w:id="90"/>
      </w:r>
    </w:p>
    <w:p w14:paraId="326BC6E8" w14:textId="50CF4FED"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As can be seen from</w:t>
      </w:r>
      <w:r w:rsidR="00791D3F">
        <w:rPr>
          <w:rFonts w:asciiTheme="majorBidi" w:hAnsiTheme="majorBidi" w:cstheme="majorBidi"/>
          <w:szCs w:val="24"/>
        </w:rPr>
        <w:t xml:space="preserve"> </w:t>
      </w:r>
      <w:r w:rsidR="00791D3F">
        <w:rPr>
          <w:rFonts w:asciiTheme="majorBidi" w:hAnsiTheme="majorBidi" w:cstheme="majorBidi"/>
          <w:szCs w:val="24"/>
        </w:rPr>
        <w:fldChar w:fldCharType="begin"/>
      </w:r>
      <w:r w:rsidR="00791D3F">
        <w:rPr>
          <w:rFonts w:asciiTheme="majorBidi" w:hAnsiTheme="majorBidi" w:cstheme="majorBidi"/>
          <w:szCs w:val="24"/>
        </w:rPr>
        <w:instrText xml:space="preserve"> REF _Ref514855699 \h </w:instrText>
      </w:r>
      <w:r w:rsidR="00791D3F">
        <w:rPr>
          <w:rFonts w:asciiTheme="majorBidi" w:hAnsiTheme="majorBidi" w:cstheme="majorBidi"/>
          <w:szCs w:val="24"/>
        </w:rPr>
      </w:r>
      <w:r w:rsidR="00791D3F">
        <w:rPr>
          <w:rFonts w:asciiTheme="majorBidi" w:hAnsiTheme="majorBidi" w:cstheme="majorBidi"/>
          <w:szCs w:val="24"/>
        </w:rPr>
        <w:fldChar w:fldCharType="separate"/>
      </w:r>
      <w:r w:rsidR="00806F98" w:rsidRPr="002F64A6">
        <w:t xml:space="preserve">Table </w:t>
      </w:r>
      <w:r w:rsidR="00806F98">
        <w:rPr>
          <w:noProof/>
        </w:rPr>
        <w:t>8</w:t>
      </w:r>
      <w:r w:rsidR="00791D3F">
        <w:rPr>
          <w:rFonts w:asciiTheme="majorBidi" w:hAnsiTheme="majorBidi" w:cstheme="majorBidi"/>
          <w:szCs w:val="24"/>
        </w:rPr>
        <w:fldChar w:fldCharType="end"/>
      </w:r>
      <w:r w:rsidRPr="002F64A6">
        <w:rPr>
          <w:rFonts w:asciiTheme="majorBidi" w:hAnsiTheme="majorBidi" w:cstheme="majorBidi"/>
          <w:szCs w:val="24"/>
        </w:rPr>
        <w:t xml:space="preserve">, many outdoor workers typically perform at least </w:t>
      </w:r>
      <w:r w:rsidR="00DB23CF">
        <w:rPr>
          <w:rFonts w:asciiTheme="majorBidi" w:hAnsiTheme="majorBidi" w:cstheme="majorBidi"/>
          <w:szCs w:val="24"/>
        </w:rPr>
        <w:t>“</w:t>
      </w:r>
      <w:r w:rsidRPr="002F64A6">
        <w:rPr>
          <w:rFonts w:asciiTheme="majorBidi" w:hAnsiTheme="majorBidi" w:cstheme="majorBidi"/>
          <w:szCs w:val="24"/>
        </w:rPr>
        <w:t>moderate</w:t>
      </w:r>
      <w:r w:rsidR="00DB23CF">
        <w:rPr>
          <w:rFonts w:asciiTheme="majorBidi" w:hAnsiTheme="majorBidi" w:cstheme="majorBidi"/>
          <w:szCs w:val="24"/>
        </w:rPr>
        <w:t>”</w:t>
      </w:r>
      <w:r w:rsidRPr="002F64A6">
        <w:rPr>
          <w:rFonts w:asciiTheme="majorBidi" w:hAnsiTheme="majorBidi" w:cstheme="majorBidi"/>
          <w:szCs w:val="24"/>
        </w:rPr>
        <w:t xml:space="preserve"> work (normal walking, moderate lifting; 300 Watts per hour) throughout the day on most days. Using NIOSH</w:t>
      </w:r>
      <w:r w:rsidR="00DB23CF">
        <w:rPr>
          <w:rFonts w:asciiTheme="majorBidi" w:hAnsiTheme="majorBidi" w:cstheme="majorBidi"/>
          <w:szCs w:val="24"/>
        </w:rPr>
        <w:t>’</w:t>
      </w:r>
      <w:r w:rsidRPr="002F64A6">
        <w:rPr>
          <w:rFonts w:asciiTheme="majorBidi" w:hAnsiTheme="majorBidi" w:cstheme="majorBidi"/>
          <w:szCs w:val="24"/>
        </w:rPr>
        <w:t xml:space="preserve">s RAL chart,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_Ref514579409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806F98">
        <w:t xml:space="preserve">Figure </w:t>
      </w:r>
      <w:r w:rsidR="00806F98" w:rsidRPr="00806F98">
        <w:rPr>
          <w:noProof/>
        </w:rPr>
        <w:t>5</w:t>
      </w:r>
      <w:r w:rsidRPr="002F64A6">
        <w:rPr>
          <w:rFonts w:asciiTheme="majorBidi" w:hAnsiTheme="majorBidi" w:cstheme="majorBidi"/>
          <w:szCs w:val="24"/>
        </w:rPr>
        <w:fldChar w:fldCharType="end"/>
      </w:r>
      <w:r w:rsidRPr="002F64A6">
        <w:rPr>
          <w:rFonts w:asciiTheme="majorBidi" w:hAnsiTheme="majorBidi" w:cstheme="majorBidi"/>
          <w:szCs w:val="24"/>
        </w:rPr>
        <w:t>, such unacclimatized workers therefore require 15-minute rest breaks every hour once the WBGT reaches approximately 81°F and require progressively longer breaks at higher temperatures, to the point at which they can safely work just 15 minutes per hour at WBGT temperatures of approximately 86°F. (According to NIOSH</w:t>
      </w:r>
      <w:r w:rsidR="00DB23CF">
        <w:rPr>
          <w:rFonts w:asciiTheme="majorBidi" w:hAnsiTheme="majorBidi" w:cstheme="majorBidi"/>
          <w:szCs w:val="24"/>
        </w:rPr>
        <w:t>’</w:t>
      </w:r>
      <w:r w:rsidRPr="002F64A6">
        <w:rPr>
          <w:rFonts w:asciiTheme="majorBidi" w:hAnsiTheme="majorBidi" w:cstheme="majorBidi"/>
          <w:szCs w:val="24"/>
        </w:rPr>
        <w:t>s REL chart, temperature thresholds for acclimatized workers are a few degrees higher).</w:t>
      </w:r>
    </w:p>
    <w:p w14:paraId="6BBA7E2E" w14:textId="21E2ABCA"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It is likely that most farmworkers perform </w:t>
      </w:r>
      <w:r w:rsidR="00DB23CF">
        <w:rPr>
          <w:rFonts w:asciiTheme="majorBidi" w:hAnsiTheme="majorBidi" w:cstheme="majorBidi"/>
          <w:szCs w:val="24"/>
        </w:rPr>
        <w:t>“</w:t>
      </w:r>
      <w:r w:rsidRPr="002F64A6">
        <w:rPr>
          <w:rFonts w:asciiTheme="majorBidi" w:hAnsiTheme="majorBidi" w:cstheme="majorBidi"/>
          <w:szCs w:val="24"/>
        </w:rPr>
        <w:t>heavy</w:t>
      </w:r>
      <w:r w:rsidR="00DB23CF">
        <w:rPr>
          <w:rFonts w:asciiTheme="majorBidi" w:hAnsiTheme="majorBidi" w:cstheme="majorBidi"/>
          <w:szCs w:val="24"/>
        </w:rPr>
        <w:t>”</w:t>
      </w:r>
      <w:r w:rsidRPr="002F64A6">
        <w:rPr>
          <w:rFonts w:asciiTheme="majorBidi" w:hAnsiTheme="majorBidi" w:cstheme="majorBidi"/>
          <w:szCs w:val="24"/>
        </w:rPr>
        <w:t xml:space="preserve"> (heavy material handling, walking at a fast pace; 415 Watts per hour) to </w:t>
      </w:r>
      <w:r w:rsidR="00DB23CF">
        <w:rPr>
          <w:rFonts w:asciiTheme="majorBidi" w:hAnsiTheme="majorBidi" w:cstheme="majorBidi"/>
          <w:szCs w:val="24"/>
        </w:rPr>
        <w:t>“</w:t>
      </w:r>
      <w:r w:rsidRPr="002F64A6">
        <w:rPr>
          <w:rFonts w:asciiTheme="majorBidi" w:hAnsiTheme="majorBidi" w:cstheme="majorBidi"/>
          <w:szCs w:val="24"/>
        </w:rPr>
        <w:t>very heavy</w:t>
      </w:r>
      <w:r w:rsidR="00DB23CF">
        <w:rPr>
          <w:rFonts w:asciiTheme="majorBidi" w:hAnsiTheme="majorBidi" w:cstheme="majorBidi"/>
          <w:szCs w:val="24"/>
        </w:rPr>
        <w:t>”</w:t>
      </w:r>
      <w:r w:rsidRPr="002F64A6">
        <w:rPr>
          <w:rFonts w:asciiTheme="majorBidi" w:hAnsiTheme="majorBidi" w:cstheme="majorBidi"/>
          <w:szCs w:val="24"/>
        </w:rPr>
        <w:t xml:space="preserve"> (pick and shovel work; 520 Watts per hour) work throughout most days. Therefore, per </w:t>
      </w:r>
      <w:r w:rsidRPr="002F64A6">
        <w:rPr>
          <w:rFonts w:asciiTheme="majorBidi" w:hAnsiTheme="majorBidi" w:cstheme="majorBidi"/>
          <w:szCs w:val="24"/>
        </w:rPr>
        <w:fldChar w:fldCharType="begin"/>
      </w:r>
      <w:r w:rsidRPr="002F64A6">
        <w:rPr>
          <w:rFonts w:asciiTheme="majorBidi" w:hAnsiTheme="majorBidi" w:cstheme="majorBidi"/>
          <w:szCs w:val="24"/>
        </w:rPr>
        <w:instrText xml:space="preserve"> REF _Ref514579409 \h  \* MERGEFORMAT </w:instrText>
      </w:r>
      <w:r w:rsidRPr="002F64A6">
        <w:rPr>
          <w:rFonts w:asciiTheme="majorBidi" w:hAnsiTheme="majorBidi" w:cstheme="majorBidi"/>
          <w:szCs w:val="24"/>
        </w:rPr>
      </w:r>
      <w:r w:rsidRPr="002F64A6">
        <w:rPr>
          <w:rFonts w:asciiTheme="majorBidi" w:hAnsiTheme="majorBidi" w:cstheme="majorBidi"/>
          <w:szCs w:val="24"/>
        </w:rPr>
        <w:fldChar w:fldCharType="separate"/>
      </w:r>
      <w:r w:rsidR="00806F98" w:rsidRPr="00806F98">
        <w:t xml:space="preserve">Figure </w:t>
      </w:r>
      <w:r w:rsidR="00806F98" w:rsidRPr="00806F98">
        <w:rPr>
          <w:noProof/>
        </w:rPr>
        <w:t>5</w:t>
      </w:r>
      <w:r w:rsidRPr="002F64A6">
        <w:rPr>
          <w:rFonts w:asciiTheme="majorBidi" w:hAnsiTheme="majorBidi" w:cstheme="majorBidi"/>
          <w:szCs w:val="24"/>
        </w:rPr>
        <w:fldChar w:fldCharType="end"/>
      </w:r>
      <w:r w:rsidRPr="002F64A6">
        <w:rPr>
          <w:rFonts w:asciiTheme="majorBidi" w:hAnsiTheme="majorBidi" w:cstheme="majorBidi"/>
          <w:szCs w:val="24"/>
        </w:rPr>
        <w:t>, a typical unacclimatized farmworker requires 15-minute rest breaks every hour once the WBGT reaches approximately 75°F and require progressively longer breaks at higher temperatures, to the point that they can safely work just 15 minutes per hour at WBGT temperatures of approximately 82°F (with temperature thresholds a few degrees higher for acclimatized workers).</w:t>
      </w:r>
    </w:p>
    <w:p w14:paraId="6C87AAFC" w14:textId="7A290641" w:rsidR="00360794" w:rsidRPr="002F64A6" w:rsidRDefault="00360794" w:rsidP="00360794">
      <w:pPr>
        <w:rPr>
          <w:rFonts w:asciiTheme="majorBidi" w:hAnsiTheme="majorBidi" w:cstheme="majorBidi"/>
          <w:i/>
          <w:iCs/>
          <w:szCs w:val="24"/>
        </w:rPr>
      </w:pPr>
      <w:r w:rsidRPr="002F64A6">
        <w:rPr>
          <w:rFonts w:asciiTheme="majorBidi" w:hAnsiTheme="majorBidi" w:cstheme="majorBidi"/>
          <w:i/>
          <w:iCs/>
          <w:szCs w:val="24"/>
        </w:rPr>
        <w:t>Cool area for rest breaks</w:t>
      </w:r>
    </w:p>
    <w:p w14:paraId="2BB7848D" w14:textId="14349C1B"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lastRenderedPageBreak/>
        <w:t>NIOSH recommends that workers be given access to a cool area (e.g., air-conditioned or shaded) during rest breaks.</w:t>
      </w:r>
      <w:r w:rsidRPr="002F64A6">
        <w:rPr>
          <w:rStyle w:val="FootnoteReference"/>
          <w:rFonts w:asciiTheme="majorBidi" w:hAnsiTheme="majorBidi" w:cstheme="majorBidi"/>
          <w:szCs w:val="24"/>
        </w:rPr>
        <w:footnoteReference w:id="91"/>
      </w:r>
    </w:p>
    <w:p w14:paraId="3A64EA91" w14:textId="40B5E623" w:rsidR="00360794" w:rsidRPr="002F64A6" w:rsidRDefault="003331D1" w:rsidP="00360794">
      <w:pPr>
        <w:rPr>
          <w:rFonts w:asciiTheme="majorBidi" w:hAnsiTheme="majorBidi" w:cstheme="majorBidi"/>
          <w:szCs w:val="24"/>
        </w:rPr>
      </w:pPr>
      <w:r w:rsidRPr="002F64A6">
        <w:rPr>
          <w:rFonts w:asciiTheme="majorBidi" w:hAnsiTheme="majorBidi" w:cstheme="majorBidi"/>
          <w:i/>
          <w:iCs/>
          <w:szCs w:val="24"/>
        </w:rPr>
        <w:t>Personal protective equipment</w:t>
      </w:r>
    </w:p>
    <w:p w14:paraId="4C87923E" w14:textId="2D5E05A8"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Various types of PPE, such as water-cooled garments, air-cooled garments, and cooling vests, can prevent a worker from experiencing heat stress and more rapidly decrease core body temperature for workers suffering from heat strain.</w:t>
      </w:r>
      <w:r w:rsidRPr="002F64A6">
        <w:rPr>
          <w:rStyle w:val="FootnoteReference"/>
          <w:rFonts w:asciiTheme="majorBidi" w:hAnsiTheme="majorBidi" w:cstheme="majorBidi"/>
          <w:szCs w:val="24"/>
        </w:rPr>
        <w:footnoteReference w:id="92"/>
      </w:r>
      <w:r w:rsidRPr="002F64A6">
        <w:rPr>
          <w:rFonts w:asciiTheme="majorBidi" w:hAnsiTheme="majorBidi" w:cstheme="majorBidi"/>
          <w:szCs w:val="24"/>
        </w:rPr>
        <w:t xml:space="preserve"> NIOSH recommends that such PPE be provided to workers when total heat stress load reaches the RAL/REL</w:t>
      </w:r>
      <w:r w:rsidR="00DE5AA0">
        <w:rPr>
          <w:rFonts w:asciiTheme="majorBidi" w:hAnsiTheme="majorBidi" w:cstheme="majorBidi"/>
          <w:szCs w:val="24"/>
        </w:rPr>
        <w:t>.</w:t>
      </w:r>
      <w:r w:rsidRPr="002F64A6">
        <w:rPr>
          <w:rStyle w:val="FootnoteReference"/>
          <w:rFonts w:asciiTheme="majorBidi" w:hAnsiTheme="majorBidi" w:cstheme="majorBidi"/>
          <w:szCs w:val="24"/>
        </w:rPr>
        <w:footnoteReference w:id="93"/>
      </w:r>
    </w:p>
    <w:p w14:paraId="08023F00" w14:textId="77777777" w:rsidR="00360794" w:rsidRPr="002F64A6" w:rsidRDefault="00360794" w:rsidP="00360794">
      <w:pPr>
        <w:pStyle w:val="L2"/>
      </w:pPr>
      <w:bookmarkStart w:id="34" w:name="_Toc517168456"/>
      <w:r w:rsidRPr="002F64A6">
        <w:t>Hydration</w:t>
      </w:r>
      <w:bookmarkEnd w:id="34"/>
    </w:p>
    <w:p w14:paraId="59379ABF" w14:textId="48748469"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All workers should be provided </w:t>
      </w:r>
      <w:r w:rsidR="00DB23CF">
        <w:rPr>
          <w:rFonts w:asciiTheme="majorBidi" w:hAnsiTheme="majorBidi" w:cstheme="majorBidi"/>
          <w:szCs w:val="24"/>
        </w:rPr>
        <w:t>“</w:t>
      </w:r>
      <w:r w:rsidRPr="002F64A6">
        <w:rPr>
          <w:rFonts w:asciiTheme="majorBidi" w:hAnsiTheme="majorBidi" w:cstheme="majorBidi"/>
          <w:szCs w:val="24"/>
        </w:rPr>
        <w:t>adequate amounts of cool (i.e., less than 15°C [59°F]), potable water near the work area and encouraging all workers that have been in the heat for up to 2 hours and involved in moderate work activities to drink a cup of water (about 8 oz.) every 15 to 20 minutes.</w:t>
      </w:r>
      <w:r w:rsidR="00DB23CF">
        <w:rPr>
          <w:rFonts w:asciiTheme="majorBidi" w:hAnsiTheme="majorBidi" w:cstheme="majorBidi"/>
          <w:szCs w:val="24"/>
        </w:rPr>
        <w:t>”</w:t>
      </w:r>
      <w:r w:rsidRPr="002F64A6">
        <w:rPr>
          <w:rStyle w:val="FootnoteReference"/>
          <w:rFonts w:asciiTheme="majorBidi" w:hAnsiTheme="majorBidi" w:cstheme="majorBidi"/>
          <w:szCs w:val="24"/>
        </w:rPr>
        <w:footnoteReference w:id="94"/>
      </w:r>
      <w:r w:rsidRPr="002F64A6">
        <w:rPr>
          <w:rFonts w:asciiTheme="majorBidi" w:hAnsiTheme="majorBidi" w:cstheme="majorBidi"/>
          <w:szCs w:val="24"/>
        </w:rPr>
        <w:t xml:space="preserve"> To prevent the spread of potential infections, workers should be provided this water in individual, not communal cups. Workers who have been in the heat for more than 2 hours and therefore have been sweating for a long time should be provided adequate amounts of both water and electrolytes, such as sports drinks. The concentration of electrolytes and carbohydrates (e.g.</w:t>
      </w:r>
      <w:r w:rsidR="002A0CBB" w:rsidRPr="002F64A6">
        <w:rPr>
          <w:rFonts w:asciiTheme="majorBidi" w:hAnsiTheme="majorBidi" w:cstheme="majorBidi"/>
          <w:szCs w:val="24"/>
        </w:rPr>
        <w:t>,</w:t>
      </w:r>
      <w:r w:rsidRPr="002F64A6">
        <w:rPr>
          <w:rFonts w:asciiTheme="majorBidi" w:hAnsiTheme="majorBidi" w:cstheme="majorBidi"/>
          <w:szCs w:val="24"/>
        </w:rPr>
        <w:t xml:space="preserve"> added sugars) should not exceed 8% by volume.</w:t>
      </w:r>
    </w:p>
    <w:p w14:paraId="4538709F" w14:textId="77777777" w:rsidR="00360794" w:rsidRPr="002F64A6" w:rsidRDefault="00360794" w:rsidP="00360794">
      <w:pPr>
        <w:pStyle w:val="L2"/>
      </w:pPr>
      <w:bookmarkStart w:id="35" w:name="_Toc517168457"/>
      <w:r w:rsidRPr="002F64A6">
        <w:t>Heat acclimatization plan</w:t>
      </w:r>
      <w:bookmarkEnd w:id="35"/>
    </w:p>
    <w:p w14:paraId="2145586F" w14:textId="4463B145"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Employers should have a heat acclimatization plan.</w:t>
      </w:r>
      <w:r w:rsidRPr="002F64A6">
        <w:rPr>
          <w:rStyle w:val="FootnoteReference"/>
          <w:rFonts w:asciiTheme="majorBidi" w:hAnsiTheme="majorBidi" w:cstheme="majorBidi"/>
          <w:szCs w:val="24"/>
        </w:rPr>
        <w:footnoteReference w:id="95"/>
      </w:r>
      <w:r w:rsidRPr="002F64A6">
        <w:rPr>
          <w:rFonts w:asciiTheme="majorBidi" w:hAnsiTheme="majorBidi" w:cstheme="majorBidi"/>
          <w:szCs w:val="24"/>
        </w:rPr>
        <w:t xml:space="preserve"> For new workers, this involves a gradual phase-in to the workload, with 20% of the usual duration of work in the hot environment on the first day, and a maximum of an additional 20% on each subsequent day.</w:t>
      </w:r>
      <w:r w:rsidRPr="002F64A6">
        <w:rPr>
          <w:rStyle w:val="FootnoteReference"/>
          <w:rFonts w:asciiTheme="majorBidi" w:hAnsiTheme="majorBidi" w:cstheme="majorBidi"/>
          <w:szCs w:val="24"/>
        </w:rPr>
        <w:footnoteReference w:id="96"/>
      </w:r>
      <w:r w:rsidRPr="002F64A6">
        <w:rPr>
          <w:rFonts w:asciiTheme="majorBidi" w:hAnsiTheme="majorBidi" w:cstheme="majorBidi"/>
          <w:szCs w:val="24"/>
        </w:rPr>
        <w:t xml:space="preserve"> For workers with previous experience in the job, the corresponding maximum durations of work are 50% on day one, 60% on day two, 80% on day three, and 100% of the usual duration of work on day four. The process must be repeated if the worker is absent from the job for a week or longer</w:t>
      </w:r>
      <w:r w:rsidRPr="002F64A6">
        <w:rPr>
          <w:rStyle w:val="FootnoteReference"/>
          <w:rFonts w:asciiTheme="majorBidi" w:hAnsiTheme="majorBidi" w:cstheme="majorBidi"/>
          <w:szCs w:val="24"/>
        </w:rPr>
        <w:footnoteReference w:id="97"/>
      </w:r>
      <w:r w:rsidRPr="002F64A6">
        <w:rPr>
          <w:rFonts w:asciiTheme="majorBidi" w:hAnsiTheme="majorBidi" w:cstheme="majorBidi"/>
          <w:szCs w:val="24"/>
        </w:rPr>
        <w:t xml:space="preserve"> or if there is a sudden, significant increase in the environmental or metabolic heat loads.</w:t>
      </w:r>
      <w:r w:rsidRPr="002F64A6">
        <w:rPr>
          <w:rStyle w:val="FootnoteReference"/>
          <w:rFonts w:asciiTheme="majorBidi" w:hAnsiTheme="majorBidi" w:cstheme="majorBidi"/>
          <w:szCs w:val="24"/>
        </w:rPr>
        <w:footnoteReference w:id="98"/>
      </w:r>
      <w:r w:rsidRPr="002F64A6">
        <w:rPr>
          <w:rFonts w:asciiTheme="majorBidi" w:hAnsiTheme="majorBidi" w:cstheme="majorBidi"/>
          <w:szCs w:val="24"/>
        </w:rPr>
        <w:t xml:space="preserve"> Throughout the acclimatization process, workers must be given adequate rest in cool, air-conditioned surroundings and be sufficiently hydrated, due to increased sweating brought on by the acclimatization process.</w:t>
      </w:r>
      <w:r w:rsidRPr="002F64A6">
        <w:rPr>
          <w:rStyle w:val="FootnoteReference"/>
          <w:rFonts w:asciiTheme="majorBidi" w:hAnsiTheme="majorBidi" w:cstheme="majorBidi"/>
          <w:szCs w:val="24"/>
        </w:rPr>
        <w:footnoteReference w:id="99"/>
      </w:r>
    </w:p>
    <w:p w14:paraId="7C5E578A" w14:textId="13E3B48D"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The vital importance of proper acclimatization was demonstrated in a 2016 OSHA study that analyzed all of the agency</w:t>
      </w:r>
      <w:r w:rsidR="00DB23CF">
        <w:rPr>
          <w:rFonts w:asciiTheme="majorBidi" w:hAnsiTheme="majorBidi" w:cstheme="majorBidi"/>
          <w:szCs w:val="24"/>
        </w:rPr>
        <w:t>’</w:t>
      </w:r>
      <w:r w:rsidRPr="002F64A6">
        <w:rPr>
          <w:rFonts w:asciiTheme="majorBidi" w:hAnsiTheme="majorBidi" w:cstheme="majorBidi"/>
          <w:szCs w:val="24"/>
        </w:rPr>
        <w:t xml:space="preserve">s GDC citations for heat stress violations that were issued in 2012 and </w:t>
      </w:r>
      <w:r w:rsidRPr="002F64A6">
        <w:rPr>
          <w:rFonts w:asciiTheme="majorBidi" w:hAnsiTheme="majorBidi" w:cstheme="majorBidi"/>
          <w:szCs w:val="24"/>
        </w:rPr>
        <w:lastRenderedPageBreak/>
        <w:t>2013.</w:t>
      </w:r>
      <w:r w:rsidRPr="002F64A6">
        <w:rPr>
          <w:rStyle w:val="FootnoteReference"/>
          <w:rFonts w:asciiTheme="majorBidi" w:hAnsiTheme="majorBidi" w:cstheme="majorBidi"/>
          <w:szCs w:val="24"/>
        </w:rPr>
        <w:footnoteReference w:id="100"/>
      </w:r>
      <w:r w:rsidRPr="002F64A6">
        <w:rPr>
          <w:rFonts w:asciiTheme="majorBidi" w:hAnsiTheme="majorBidi" w:cstheme="majorBidi"/>
          <w:szCs w:val="24"/>
        </w:rPr>
        <w:t xml:space="preserve"> In 2012 and 2013, OSHA issued citations in 84 cases, 37 of which were outdoor workplaces and 47 of which were indoor.</w:t>
      </w:r>
      <w:r w:rsidRPr="002F64A6">
        <w:rPr>
          <w:rStyle w:val="FootnoteReference"/>
          <w:rFonts w:asciiTheme="majorBidi" w:hAnsiTheme="majorBidi" w:cstheme="majorBidi"/>
          <w:szCs w:val="24"/>
        </w:rPr>
        <w:footnoteReference w:id="101"/>
      </w:r>
      <w:r w:rsidRPr="002F64A6">
        <w:rPr>
          <w:rFonts w:asciiTheme="majorBidi" w:hAnsiTheme="majorBidi" w:cstheme="majorBidi"/>
          <w:szCs w:val="24"/>
        </w:rPr>
        <w:t xml:space="preserve"> Twenty-three of the cases involved worker deaths,</w:t>
      </w:r>
      <w:r w:rsidRPr="002F64A6">
        <w:rPr>
          <w:rStyle w:val="FootnoteReference"/>
          <w:rFonts w:asciiTheme="majorBidi" w:hAnsiTheme="majorBidi" w:cstheme="majorBidi"/>
          <w:szCs w:val="24"/>
        </w:rPr>
        <w:footnoteReference w:id="102"/>
      </w:r>
      <w:r w:rsidRPr="002F64A6">
        <w:rPr>
          <w:rFonts w:asciiTheme="majorBidi" w:hAnsiTheme="majorBidi" w:cstheme="majorBidi"/>
          <w:szCs w:val="24"/>
        </w:rPr>
        <w:t xml:space="preserve"> with 17 of the 23 (74%) occurring within the worker</w:t>
      </w:r>
      <w:r w:rsidR="00DB23CF">
        <w:rPr>
          <w:rFonts w:asciiTheme="majorBidi" w:hAnsiTheme="majorBidi" w:cstheme="majorBidi"/>
          <w:szCs w:val="24"/>
        </w:rPr>
        <w:t>’</w:t>
      </w:r>
      <w:r w:rsidRPr="002F64A6">
        <w:rPr>
          <w:rFonts w:asciiTheme="majorBidi" w:hAnsiTheme="majorBidi" w:cstheme="majorBidi"/>
          <w:szCs w:val="24"/>
        </w:rPr>
        <w:t>s first three days on the job and eight (35%) on the very first day of work.</w:t>
      </w:r>
      <w:r w:rsidRPr="002F64A6">
        <w:rPr>
          <w:rStyle w:val="FootnoteReference"/>
          <w:rFonts w:asciiTheme="majorBidi" w:hAnsiTheme="majorBidi" w:cstheme="majorBidi"/>
          <w:szCs w:val="24"/>
        </w:rPr>
        <w:footnoteReference w:id="103"/>
      </w:r>
      <w:r w:rsidRPr="002F64A6">
        <w:rPr>
          <w:rFonts w:asciiTheme="majorBidi" w:hAnsiTheme="majorBidi" w:cstheme="majorBidi"/>
          <w:szCs w:val="24"/>
        </w:rPr>
        <w:t xml:space="preserve"> This was not surprising given that, with one exception, none of the employers had established heat acclimatization plans.</w:t>
      </w:r>
      <w:r w:rsidRPr="002F64A6">
        <w:rPr>
          <w:rStyle w:val="FootnoteReference"/>
          <w:rFonts w:asciiTheme="majorBidi" w:hAnsiTheme="majorBidi" w:cstheme="majorBidi"/>
          <w:szCs w:val="24"/>
        </w:rPr>
        <w:footnoteReference w:id="104"/>
      </w:r>
    </w:p>
    <w:p w14:paraId="4A513255" w14:textId="77777777" w:rsidR="00360794" w:rsidRPr="002F64A6" w:rsidRDefault="00360794" w:rsidP="00360794">
      <w:pPr>
        <w:pStyle w:val="L2"/>
      </w:pPr>
      <w:bookmarkStart w:id="36" w:name="_Toc517168458"/>
      <w:r w:rsidRPr="002F64A6">
        <w:t>Exposure monitoring</w:t>
      </w:r>
      <w:bookmarkEnd w:id="36"/>
    </w:p>
    <w:p w14:paraId="2804C19E" w14:textId="62B5918A" w:rsidR="00360794" w:rsidRPr="002F64A6" w:rsidRDefault="00360794" w:rsidP="00360794">
      <w:pPr>
        <w:rPr>
          <w:rFonts w:asciiTheme="majorBidi" w:hAnsiTheme="majorBidi" w:cstheme="majorBidi"/>
          <w:szCs w:val="24"/>
        </w:rPr>
      </w:pPr>
      <w:r w:rsidRPr="002F64A6">
        <w:rPr>
          <w:rFonts w:asciiTheme="majorBidi" w:hAnsiTheme="majorBidi" w:cstheme="majorBidi"/>
          <w:szCs w:val="24"/>
        </w:rPr>
        <w:t xml:space="preserve">Employers should monitor the environmental heat load </w:t>
      </w:r>
      <w:r w:rsidR="00DB23CF">
        <w:rPr>
          <w:rFonts w:asciiTheme="majorBidi" w:hAnsiTheme="majorBidi" w:cstheme="majorBidi"/>
          <w:szCs w:val="24"/>
        </w:rPr>
        <w:t>“</w:t>
      </w:r>
      <w:r w:rsidRPr="002F64A6">
        <w:rPr>
          <w:rFonts w:asciiTheme="majorBidi" w:hAnsiTheme="majorBidi" w:cstheme="majorBidi"/>
          <w:szCs w:val="24"/>
        </w:rPr>
        <w:t>at least hourly, during the hottest portion of each work shift, during the hottest months of the year, and when a heat wave occurs or is predicted.</w:t>
      </w:r>
      <w:r w:rsidR="00DB23CF">
        <w:rPr>
          <w:rFonts w:asciiTheme="majorBidi" w:hAnsiTheme="majorBidi" w:cstheme="majorBidi"/>
          <w:szCs w:val="24"/>
        </w:rPr>
        <w:t>”</w:t>
      </w:r>
      <w:r w:rsidRPr="002F64A6">
        <w:rPr>
          <w:rStyle w:val="FootnoteReference"/>
          <w:rFonts w:asciiTheme="majorBidi" w:hAnsiTheme="majorBidi" w:cstheme="majorBidi"/>
          <w:szCs w:val="24"/>
        </w:rPr>
        <w:footnoteReference w:id="105"/>
      </w:r>
      <w:r w:rsidR="00DB3514">
        <w:rPr>
          <w:rFonts w:asciiTheme="majorBidi" w:hAnsiTheme="majorBidi" w:cstheme="majorBidi"/>
          <w:szCs w:val="24"/>
        </w:rPr>
        <w:t xml:space="preserve"> </w:t>
      </w:r>
      <w:r w:rsidRPr="002F64A6">
        <w:rPr>
          <w:rFonts w:asciiTheme="majorBidi" w:hAnsiTheme="majorBidi" w:cstheme="majorBidi"/>
          <w:szCs w:val="24"/>
        </w:rPr>
        <w:t>If two sequential measurements show that the ambient conditions exceed the RAL/REL, then the employer should institute a variety of engineering and work practice controls until two sequential measurements again fall below the RAL/REL</w:t>
      </w:r>
      <w:r w:rsidRPr="002F64A6">
        <w:rPr>
          <w:rStyle w:val="FootnoteReference"/>
          <w:rFonts w:asciiTheme="majorBidi" w:hAnsiTheme="majorBidi" w:cstheme="majorBidi"/>
          <w:szCs w:val="24"/>
        </w:rPr>
        <w:footnoteReference w:id="106"/>
      </w:r>
      <w:r w:rsidRPr="002F64A6">
        <w:rPr>
          <w:rFonts w:asciiTheme="majorBidi" w:hAnsiTheme="majorBidi" w:cstheme="majorBidi"/>
          <w:szCs w:val="24"/>
        </w:rPr>
        <w:t xml:space="preserve"> Employers also should develop estimates of the metabolic heat load for each worker who is performing light, moderate, or heavy work.</w:t>
      </w:r>
      <w:r w:rsidRPr="002F64A6">
        <w:rPr>
          <w:rStyle w:val="FootnoteReference"/>
          <w:rFonts w:asciiTheme="majorBidi" w:hAnsiTheme="majorBidi" w:cstheme="majorBidi"/>
          <w:szCs w:val="24"/>
        </w:rPr>
        <w:footnoteReference w:id="107"/>
      </w:r>
    </w:p>
    <w:p w14:paraId="5984A2F6" w14:textId="77777777" w:rsidR="00360794" w:rsidRPr="002F64A6" w:rsidRDefault="00360794" w:rsidP="00360794">
      <w:pPr>
        <w:pStyle w:val="L2"/>
      </w:pPr>
      <w:bookmarkStart w:id="37" w:name="_Toc517168459"/>
      <w:r w:rsidRPr="002F64A6">
        <w:t>Medical monitoring</w:t>
      </w:r>
      <w:bookmarkEnd w:id="37"/>
    </w:p>
    <w:p w14:paraId="506CAC08" w14:textId="5690DEE5"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Employers must institute a medical monitoring program for all workers who are or may be exposed to heat stress at or above the RAL/REL. Comprehensive medical evaluations, which are designed to assess a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should be given to all workers at the time of hiring and at least annually thereafter. All relevant medical and risk information should be made available to the responsible healthcare provider at the jobsite, with the provider then required to provide to the employer a written report of his or her findings and recommendations regarding the worker</w:t>
      </w:r>
      <w:r w:rsidR="00DB23CF">
        <w:rPr>
          <w:rFonts w:asciiTheme="majorBidi" w:hAnsiTheme="majorBidi" w:cstheme="majorBidi"/>
          <w:bCs/>
          <w:szCs w:val="24"/>
        </w:rPr>
        <w:t>’</w:t>
      </w:r>
      <w:r w:rsidRPr="002F64A6">
        <w:rPr>
          <w:rFonts w:asciiTheme="majorBidi" w:hAnsiTheme="majorBidi" w:cstheme="majorBidi"/>
          <w:bCs/>
          <w:szCs w:val="24"/>
        </w:rPr>
        <w:t>s risk for heat stress injury. Emergency medical care should be given to all workers who develop signs or symptoms of heat exhaustion or heat stroke.</w:t>
      </w:r>
      <w:r w:rsidRPr="002F64A6">
        <w:rPr>
          <w:rStyle w:val="FootnoteReference"/>
          <w:rFonts w:asciiTheme="majorBidi" w:hAnsiTheme="majorBidi" w:cstheme="majorBidi"/>
          <w:bCs/>
        </w:rPr>
        <w:footnoteReference w:id="108"/>
      </w:r>
    </w:p>
    <w:p w14:paraId="741081A0" w14:textId="77777777" w:rsidR="00360794" w:rsidRPr="002F64A6" w:rsidRDefault="00360794" w:rsidP="00360794">
      <w:pPr>
        <w:pStyle w:val="L2"/>
        <w:rPr>
          <w:bCs/>
        </w:rPr>
      </w:pPr>
      <w:bookmarkStart w:id="38" w:name="_Toc517168460"/>
      <w:r w:rsidRPr="002F64A6">
        <w:t>Hazard notification</w:t>
      </w:r>
      <w:bookmarkEnd w:id="38"/>
    </w:p>
    <w:p w14:paraId="3849C558" w14:textId="0DC50BB1"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Employers should provide visible warning signs</w:t>
      </w:r>
      <w:r w:rsidRPr="002F64A6">
        <w:rPr>
          <w:rFonts w:asciiTheme="majorBidi" w:hAnsiTheme="majorBidi" w:cstheme="majorBidi"/>
          <w:szCs w:val="24"/>
        </w:rPr>
        <w:t>, in all relevant languages,</w:t>
      </w:r>
      <w:r w:rsidRPr="002F64A6">
        <w:rPr>
          <w:rFonts w:asciiTheme="majorBidi" w:hAnsiTheme="majorBidi" w:cstheme="majorBidi"/>
          <w:bCs/>
          <w:szCs w:val="24"/>
        </w:rPr>
        <w:t xml:space="preserve"> in all work areas in which there is a </w:t>
      </w:r>
      <w:r w:rsidR="00DB23CF">
        <w:rPr>
          <w:rFonts w:asciiTheme="majorBidi" w:hAnsiTheme="majorBidi" w:cstheme="majorBidi"/>
          <w:bCs/>
          <w:szCs w:val="24"/>
        </w:rPr>
        <w:t>“</w:t>
      </w:r>
      <w:r w:rsidRPr="002F64A6">
        <w:rPr>
          <w:rFonts w:asciiTheme="majorBidi" w:hAnsiTheme="majorBidi" w:cstheme="majorBidi"/>
          <w:bCs/>
          <w:szCs w:val="24"/>
        </w:rPr>
        <w:t>reasonable likelihood</w:t>
      </w:r>
      <w:r w:rsidR="00DB23CF">
        <w:rPr>
          <w:rFonts w:asciiTheme="majorBidi" w:hAnsiTheme="majorBidi" w:cstheme="majorBidi"/>
          <w:bCs/>
          <w:szCs w:val="24"/>
        </w:rPr>
        <w:t>”</w:t>
      </w:r>
      <w:r w:rsidRPr="002F64A6">
        <w:rPr>
          <w:rFonts w:asciiTheme="majorBidi" w:hAnsiTheme="majorBidi" w:cstheme="majorBidi"/>
          <w:bCs/>
          <w:szCs w:val="24"/>
        </w:rPr>
        <w:t xml:space="preserve"> of the total heat load exceeding the RAL/REL.</w:t>
      </w:r>
      <w:r w:rsidRPr="00284A75">
        <w:rPr>
          <w:rStyle w:val="FootnoteReference"/>
          <w:rFonts w:asciiTheme="majorBidi" w:hAnsiTheme="majorBidi" w:cstheme="majorBidi"/>
          <w:szCs w:val="24"/>
        </w:rPr>
        <w:footnoteReference w:id="109"/>
      </w:r>
      <w:r w:rsidRPr="002F64A6">
        <w:rPr>
          <w:rFonts w:asciiTheme="majorBidi" w:hAnsiTheme="majorBidi" w:cstheme="majorBidi"/>
          <w:bCs/>
          <w:szCs w:val="24"/>
        </w:rPr>
        <w:t xml:space="preserve"> The signs should contain information on the risk of heat stress and ways to mitigate the risk, including emergency and first aid instructions. </w:t>
      </w:r>
    </w:p>
    <w:p w14:paraId="0124A24E" w14:textId="77777777" w:rsidR="00360794" w:rsidRPr="002F64A6" w:rsidRDefault="00360794" w:rsidP="00360794">
      <w:pPr>
        <w:pStyle w:val="L2"/>
      </w:pPr>
      <w:bookmarkStart w:id="39" w:name="_Toc517168461"/>
      <w:r w:rsidRPr="002F64A6">
        <w:lastRenderedPageBreak/>
        <w:t>Heat Alert Program</w:t>
      </w:r>
      <w:bookmarkEnd w:id="39"/>
    </w:p>
    <w:p w14:paraId="75733BEF" w14:textId="77777777"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Employers should develop a written Heat Alert Program to be implemented whenever the National Weather Service or other authoritative weather service forecasts a heat wave in the coming day or days.</w:t>
      </w:r>
      <w:r w:rsidRPr="002F64A6">
        <w:rPr>
          <w:rStyle w:val="FootnoteReference"/>
          <w:rFonts w:asciiTheme="majorBidi" w:hAnsiTheme="majorBidi" w:cstheme="majorBidi"/>
          <w:bCs/>
          <w:szCs w:val="24"/>
        </w:rPr>
        <w:footnoteReference w:id="110"/>
      </w:r>
      <w:r w:rsidRPr="002F64A6">
        <w:rPr>
          <w:rFonts w:asciiTheme="majorBidi" w:hAnsiTheme="majorBidi" w:cstheme="majorBidi"/>
          <w:bCs/>
          <w:szCs w:val="24"/>
        </w:rPr>
        <w:t xml:space="preserve"> Such a program should involve a committee tasked with planning all necessary procedures to be taken in the event of a heat wave, including postponing non-urgent work, increasing the number of workers on each shift, increasing rest breaks, and heightened medical surveillance of workers.</w:t>
      </w:r>
      <w:r w:rsidRPr="002F64A6">
        <w:rPr>
          <w:rStyle w:val="FootnoteReference"/>
          <w:rFonts w:asciiTheme="majorBidi" w:hAnsiTheme="majorBidi" w:cstheme="majorBidi"/>
          <w:bCs/>
          <w:szCs w:val="24"/>
        </w:rPr>
        <w:footnoteReference w:id="111"/>
      </w:r>
    </w:p>
    <w:p w14:paraId="60CF4978" w14:textId="77777777" w:rsidR="00360794" w:rsidRPr="002F64A6" w:rsidRDefault="00360794" w:rsidP="00360794">
      <w:pPr>
        <w:pStyle w:val="L2"/>
        <w:rPr>
          <w:bCs/>
        </w:rPr>
      </w:pPr>
      <w:bookmarkStart w:id="40" w:name="_Toc517168462"/>
      <w:r w:rsidRPr="002F64A6">
        <w:t>Worker information and training</w:t>
      </w:r>
      <w:bookmarkEnd w:id="40"/>
    </w:p>
    <w:p w14:paraId="0B42598A" w14:textId="77777777" w:rsidR="00360794" w:rsidRPr="002F64A6" w:rsidRDefault="00360794" w:rsidP="00360794">
      <w:pPr>
        <w:rPr>
          <w:rFonts w:asciiTheme="majorBidi" w:hAnsiTheme="majorBidi" w:cstheme="majorBidi"/>
          <w:bCs/>
          <w:szCs w:val="24"/>
        </w:rPr>
      </w:pPr>
      <w:r w:rsidRPr="002F64A6">
        <w:rPr>
          <w:rFonts w:asciiTheme="majorBidi" w:hAnsiTheme="majorBidi" w:cstheme="majorBidi"/>
          <w:bCs/>
          <w:szCs w:val="24"/>
        </w:rPr>
        <w:t>All workers who may be put at risk of heat injury or illness be informed, through continuing education programs, of heat stress hazards, preventive measures, signs and symptoms of heat-related illness, first aid procedures, and other key information related to heat stress risk and mitigation. A written training program containing all of the aforementioned information should be developed. In addition, a heat stress safety data sheet should be posted in all at-risk work areas.</w:t>
      </w:r>
      <w:r w:rsidRPr="002F64A6">
        <w:rPr>
          <w:rStyle w:val="FootnoteReference"/>
          <w:rFonts w:asciiTheme="majorBidi" w:hAnsiTheme="majorBidi" w:cstheme="majorBidi"/>
        </w:rPr>
        <w:footnoteReference w:id="112"/>
      </w:r>
    </w:p>
    <w:p w14:paraId="0B71A78D" w14:textId="77777777" w:rsidR="00360794" w:rsidRPr="002F64A6" w:rsidRDefault="00360794" w:rsidP="00360794">
      <w:pPr>
        <w:pStyle w:val="L2"/>
        <w:rPr>
          <w:bCs/>
        </w:rPr>
      </w:pPr>
      <w:bookmarkStart w:id="41" w:name="_Toc517168463"/>
      <w:r w:rsidRPr="002F64A6">
        <w:t>Heat-related surveillance and recordkeeping</w:t>
      </w:r>
      <w:bookmarkEnd w:id="41"/>
    </w:p>
    <w:p w14:paraId="22358A57" w14:textId="77777777" w:rsidR="00360794" w:rsidRPr="002F64A6" w:rsidRDefault="00360794" w:rsidP="00360794">
      <w:pPr>
        <w:rPr>
          <w:rFonts w:asciiTheme="majorBidi" w:hAnsiTheme="majorBidi" w:cstheme="majorBidi"/>
          <w:szCs w:val="24"/>
        </w:rPr>
      </w:pPr>
      <w:r w:rsidRPr="002F64A6">
        <w:rPr>
          <w:rFonts w:asciiTheme="majorBidi" w:hAnsiTheme="majorBidi" w:cstheme="majorBidi"/>
          <w:bCs/>
          <w:szCs w:val="24"/>
        </w:rPr>
        <w:t>Employers should proactively obtain and analyze data on susceptible workers, workplace modifications to mitigate the risk of heat stress, all heat-related injuries and deaths, and all environmental and physiological measurements related to heat.</w:t>
      </w:r>
      <w:r w:rsidRPr="002F64A6">
        <w:rPr>
          <w:rStyle w:val="FootnoteReference"/>
          <w:rFonts w:asciiTheme="majorBidi" w:hAnsiTheme="majorBidi" w:cstheme="majorBidi"/>
          <w:bCs/>
          <w:szCs w:val="24"/>
        </w:rPr>
        <w:footnoteReference w:id="113"/>
      </w:r>
      <w:r w:rsidRPr="002F64A6">
        <w:rPr>
          <w:rFonts w:asciiTheme="majorBidi" w:hAnsiTheme="majorBidi" w:cstheme="majorBidi"/>
          <w:bCs/>
          <w:szCs w:val="24"/>
        </w:rPr>
        <w:t xml:space="preserve"> All of this information, in addition to medical monitoring data, acclimatization plans, and other key information related to the recommended heat stress standard should be recorded and made available to OSHA.</w:t>
      </w:r>
      <w:r w:rsidRPr="002F64A6">
        <w:rPr>
          <w:rStyle w:val="FootnoteReference"/>
          <w:rFonts w:asciiTheme="majorBidi" w:hAnsiTheme="majorBidi" w:cstheme="majorBidi"/>
          <w:bCs/>
          <w:szCs w:val="24"/>
        </w:rPr>
        <w:footnoteReference w:id="114"/>
      </w:r>
    </w:p>
    <w:p w14:paraId="3563C2AB" w14:textId="052842E4" w:rsidR="00ED710D" w:rsidRPr="002F64A6" w:rsidRDefault="00EF58EC" w:rsidP="00E325F1">
      <w:pPr>
        <w:pStyle w:val="L1"/>
      </w:pPr>
      <w:bookmarkStart w:id="42" w:name="_Toc517168464"/>
      <w:r w:rsidRPr="002F64A6">
        <w:t>W</w:t>
      </w:r>
      <w:r w:rsidR="00ED710D" w:rsidRPr="002F64A6">
        <w:t>histleblower protection</w:t>
      </w:r>
      <w:r w:rsidR="00E325F1" w:rsidRPr="002F64A6">
        <w:t>s</w:t>
      </w:r>
      <w:bookmarkEnd w:id="42"/>
    </w:p>
    <w:p w14:paraId="44199E52" w14:textId="1406B181" w:rsidR="006C2EF8" w:rsidRPr="002F64A6" w:rsidRDefault="00ED710D" w:rsidP="00ED710D">
      <w:pPr>
        <w:spacing w:after="0"/>
        <w:rPr>
          <w:rFonts w:asciiTheme="majorBidi" w:hAnsiTheme="majorBidi" w:cstheme="majorBidi"/>
          <w:bCs/>
          <w:szCs w:val="24"/>
        </w:rPr>
      </w:pPr>
      <w:r w:rsidRPr="002F64A6">
        <w:rPr>
          <w:rFonts w:asciiTheme="majorBidi" w:hAnsiTheme="majorBidi" w:cstheme="majorBidi"/>
          <w:bCs/>
          <w:szCs w:val="24"/>
        </w:rPr>
        <w:t xml:space="preserve">OSHA should also require each employer to institute a whistleblower protection program for workers and supervisors to report violations of the heat stress standard. The agency should adopt specific criteria for employer </w:t>
      </w:r>
      <w:r w:rsidR="00C15450" w:rsidRPr="002F64A6">
        <w:rPr>
          <w:rFonts w:asciiTheme="majorBidi" w:hAnsiTheme="majorBidi" w:cstheme="majorBidi"/>
          <w:bCs/>
          <w:szCs w:val="24"/>
        </w:rPr>
        <w:t>whistleblower protection policies</w:t>
      </w:r>
      <w:r w:rsidR="00655C7B" w:rsidRPr="002F64A6">
        <w:rPr>
          <w:rFonts w:asciiTheme="majorBidi" w:hAnsiTheme="majorBidi" w:cstheme="majorBidi"/>
          <w:bCs/>
          <w:szCs w:val="24"/>
        </w:rPr>
        <w:t>,</w:t>
      </w:r>
      <w:r w:rsidRPr="002F64A6">
        <w:rPr>
          <w:rFonts w:asciiTheme="majorBidi" w:hAnsiTheme="majorBidi" w:cstheme="majorBidi"/>
          <w:bCs/>
          <w:szCs w:val="24"/>
        </w:rPr>
        <w:t xml:space="preserve"> provide model language</w:t>
      </w:r>
      <w:r w:rsidR="00655C7B" w:rsidRPr="002F64A6">
        <w:rPr>
          <w:rFonts w:asciiTheme="majorBidi" w:hAnsiTheme="majorBidi" w:cstheme="majorBidi"/>
          <w:bCs/>
          <w:szCs w:val="24"/>
        </w:rPr>
        <w:t>, or both</w:t>
      </w:r>
      <w:r w:rsidR="006C2EF8" w:rsidRPr="002F64A6">
        <w:rPr>
          <w:rFonts w:asciiTheme="majorBidi" w:hAnsiTheme="majorBidi" w:cstheme="majorBidi"/>
          <w:bCs/>
          <w:szCs w:val="24"/>
        </w:rPr>
        <w:t>.</w:t>
      </w:r>
    </w:p>
    <w:p w14:paraId="716FA057" w14:textId="77777777" w:rsidR="006C2EF8" w:rsidRPr="002F64A6" w:rsidRDefault="006C2EF8" w:rsidP="00ED710D">
      <w:pPr>
        <w:spacing w:after="0"/>
        <w:rPr>
          <w:rFonts w:asciiTheme="majorBidi" w:hAnsiTheme="majorBidi" w:cstheme="majorBidi"/>
          <w:bCs/>
          <w:szCs w:val="24"/>
        </w:rPr>
      </w:pPr>
    </w:p>
    <w:p w14:paraId="3B12A52C" w14:textId="41557B52" w:rsidR="006C2EF8" w:rsidRPr="002F64A6" w:rsidRDefault="006C2EF8" w:rsidP="006C2EF8">
      <w:r w:rsidRPr="002F64A6">
        <w:t>Key criteria for a credible whistleblower protection policy include:</w:t>
      </w:r>
    </w:p>
    <w:p w14:paraId="3FF495AF" w14:textId="77777777" w:rsidR="006C2EF8" w:rsidRPr="002F64A6" w:rsidRDefault="006C2EF8" w:rsidP="00B9292A">
      <w:pPr>
        <w:pStyle w:val="Bullet1"/>
        <w:rPr>
          <w:rFonts w:eastAsiaTheme="minorHAnsi"/>
          <w:sz w:val="22"/>
        </w:rPr>
      </w:pPr>
      <w:r w:rsidRPr="002F64A6">
        <w:t>scope of coverage that includes any employee who disclosed what he or she reasonably believes to be a violation of the heat stress standard;</w:t>
      </w:r>
    </w:p>
    <w:p w14:paraId="631E98FA" w14:textId="211C62FE" w:rsidR="006C2EF8" w:rsidRPr="002F64A6" w:rsidRDefault="006C2EF8" w:rsidP="00B9292A">
      <w:pPr>
        <w:pStyle w:val="Bullet1"/>
        <w:rPr>
          <w:rFonts w:eastAsiaTheme="minorHAnsi"/>
          <w:sz w:val="22"/>
        </w:rPr>
      </w:pPr>
      <w:r w:rsidRPr="002F64A6">
        <w:t xml:space="preserve">a </w:t>
      </w:r>
      <w:r w:rsidR="00DB23CF">
        <w:t>“</w:t>
      </w:r>
      <w:r w:rsidRPr="002F64A6">
        <w:t>clear and convincing evidence</w:t>
      </w:r>
      <w:r w:rsidR="00DB23CF">
        <w:t>”</w:t>
      </w:r>
      <w:r w:rsidRPr="002F64A6">
        <w:t xml:space="preserve"> standard</w:t>
      </w:r>
      <w:r w:rsidR="0079048C" w:rsidRPr="002F64A6">
        <w:t xml:space="preserve"> for employers to prove claims of non-retaliation</w:t>
      </w:r>
      <w:r w:rsidRPr="002F64A6">
        <w:t>;</w:t>
      </w:r>
    </w:p>
    <w:p w14:paraId="1FB8AFEA" w14:textId="07E30667" w:rsidR="006C2EF8" w:rsidRPr="002F64A6" w:rsidRDefault="006B16BD" w:rsidP="00B9292A">
      <w:pPr>
        <w:pStyle w:val="Bullet1"/>
        <w:rPr>
          <w:rFonts w:eastAsiaTheme="minorHAnsi"/>
          <w:sz w:val="22"/>
        </w:rPr>
      </w:pPr>
      <w:r w:rsidRPr="002F64A6">
        <w:t xml:space="preserve">an option for employees to opt for </w:t>
      </w:r>
      <w:r w:rsidR="006C2EF8" w:rsidRPr="002F64A6">
        <w:t>consensus-selection, shared-cost, independent binding arbitration;</w:t>
      </w:r>
    </w:p>
    <w:p w14:paraId="113AFB16" w14:textId="77777777" w:rsidR="006C2EF8" w:rsidRPr="002F64A6" w:rsidRDefault="006C2EF8" w:rsidP="00B9292A">
      <w:pPr>
        <w:pStyle w:val="Bullet1"/>
        <w:rPr>
          <w:rFonts w:eastAsiaTheme="minorHAnsi"/>
          <w:sz w:val="22"/>
        </w:rPr>
      </w:pPr>
      <w:r w:rsidRPr="002F64A6">
        <w:lastRenderedPageBreak/>
        <w:t>appropriate relief, including reinstatement with back pay; and</w:t>
      </w:r>
    </w:p>
    <w:p w14:paraId="203DF4EC" w14:textId="69BE08E7" w:rsidR="006C2EF8" w:rsidRPr="002F64A6" w:rsidRDefault="00C15450" w:rsidP="00B9292A">
      <w:pPr>
        <w:pStyle w:val="Bullet1"/>
        <w:rPr>
          <w:rFonts w:eastAsiaTheme="minorHAnsi"/>
          <w:sz w:val="22"/>
        </w:rPr>
      </w:pPr>
      <w:r w:rsidRPr="002F64A6">
        <w:t xml:space="preserve">a provision that </w:t>
      </w:r>
      <w:r w:rsidR="006C2EF8" w:rsidRPr="002F64A6">
        <w:t xml:space="preserve">rights and remedies </w:t>
      </w:r>
      <w:r w:rsidRPr="002F64A6">
        <w:t xml:space="preserve">under the </w:t>
      </w:r>
      <w:r w:rsidR="006C2EF8" w:rsidRPr="002F64A6">
        <w:t>whistleblower protection policy</w:t>
      </w:r>
      <w:r w:rsidR="004A12CD" w:rsidRPr="002F64A6">
        <w:t xml:space="preserve"> cannot be waived</w:t>
      </w:r>
      <w:r w:rsidR="006C2EF8" w:rsidRPr="002F64A6">
        <w:t xml:space="preserve">. </w:t>
      </w:r>
    </w:p>
    <w:p w14:paraId="4F2FDCE2" w14:textId="095AB1FF" w:rsidR="00ED710D" w:rsidRPr="002F64A6" w:rsidRDefault="00B9292A" w:rsidP="00797D57">
      <w:r w:rsidRPr="002F64A6">
        <w:t xml:space="preserve">Model language </w:t>
      </w:r>
      <w:r w:rsidR="00206A76">
        <w:t>for the agency</w:t>
      </w:r>
      <w:r w:rsidR="00DB23CF">
        <w:t>’</w:t>
      </w:r>
      <w:r w:rsidR="00206A76">
        <w:t xml:space="preserve">s rule </w:t>
      </w:r>
      <w:r w:rsidRPr="002F64A6">
        <w:t>is as follows:</w:t>
      </w:r>
    </w:p>
    <w:p w14:paraId="347E1C9A" w14:textId="77777777" w:rsidR="00797D57" w:rsidRDefault="00ED710D" w:rsidP="00536111">
      <w:pPr>
        <w:pStyle w:val="Blockquote"/>
      </w:pPr>
      <w:r w:rsidRPr="002F64A6">
        <w:t>No employer shall terminate or in any other way discriminate against any person</w:t>
      </w:r>
      <w:r w:rsidRPr="002F64A6">
        <w:rPr>
          <w:rStyle w:val="FootnoteReference"/>
          <w:szCs w:val="24"/>
        </w:rPr>
        <w:t xml:space="preserve"> </w:t>
      </w:r>
      <w:r w:rsidRPr="002F64A6">
        <w:t>because the person assists in, discloses, or is about to disclose</w:t>
      </w:r>
      <w:r w:rsidRPr="002F64A6">
        <w:rPr>
          <w:rFonts w:eastAsia="Times New Roman"/>
        </w:rPr>
        <w:t xml:space="preserve"> information that the person reasonably believes </w:t>
      </w:r>
      <w:r w:rsidR="006A67FC" w:rsidRPr="002F64A6">
        <w:rPr>
          <w:rFonts w:eastAsia="Times New Roman"/>
        </w:rPr>
        <w:t xml:space="preserve">to be </w:t>
      </w:r>
      <w:r w:rsidRPr="002F64A6">
        <w:rPr>
          <w:rFonts w:eastAsia="Times New Roman"/>
        </w:rPr>
        <w:t xml:space="preserve">evidence a violation of this standard; </w:t>
      </w:r>
      <w:r w:rsidRPr="002F64A6">
        <w:t xml:space="preserve">assists in any other action to carry out the purposes of this standard; or </w:t>
      </w:r>
      <w:r w:rsidRPr="002F64A6">
        <w:rPr>
          <w:rFonts w:eastAsia="Times New Roman"/>
        </w:rPr>
        <w:t>objects to or refuses to obey an order that the person reasonably believes would cause violation of this standard or the law.</w:t>
      </w:r>
    </w:p>
    <w:p w14:paraId="0269D7B4" w14:textId="18235CBC" w:rsidR="00500695" w:rsidRDefault="00500695" w:rsidP="00536111">
      <w:pPr>
        <w:pStyle w:val="Blockquote"/>
        <w:rPr>
          <w:rFonts w:eastAsia="Times New Roman"/>
          <w:szCs w:val="24"/>
        </w:rPr>
      </w:pPr>
      <w:r>
        <w:rPr>
          <w:rFonts w:eastAsia="Times New Roman"/>
          <w:szCs w:val="24"/>
        </w:rPr>
        <w:t>Each employer shall designate an official to establish and implement the employer</w:t>
      </w:r>
      <w:r w:rsidR="00DB23CF">
        <w:rPr>
          <w:rFonts w:eastAsia="Times New Roman"/>
          <w:szCs w:val="24"/>
        </w:rPr>
        <w:t>’</w:t>
      </w:r>
      <w:r>
        <w:rPr>
          <w:rFonts w:eastAsia="Times New Roman"/>
          <w:szCs w:val="24"/>
        </w:rPr>
        <w:t>s whistleblower</w:t>
      </w:r>
      <w:r w:rsidR="00ED7103">
        <w:rPr>
          <w:rFonts w:eastAsia="Times New Roman"/>
          <w:szCs w:val="24"/>
        </w:rPr>
        <w:t xml:space="preserve"> protection</w:t>
      </w:r>
      <w:r>
        <w:rPr>
          <w:rFonts w:eastAsia="Times New Roman"/>
          <w:szCs w:val="24"/>
        </w:rPr>
        <w:t xml:space="preserve"> policy.</w:t>
      </w:r>
      <w:r w:rsidR="00D30EB0">
        <w:rPr>
          <w:rFonts w:eastAsia="Times New Roman"/>
          <w:szCs w:val="24"/>
        </w:rPr>
        <w:t xml:space="preserve"> The designated official should be free of any real or apparent conflicts of interest in any particular case, and shall be free of pressure from</w:t>
      </w:r>
      <w:r w:rsidR="001A5443">
        <w:rPr>
          <w:rFonts w:eastAsia="Times New Roman"/>
          <w:szCs w:val="24"/>
        </w:rPr>
        <w:t>,</w:t>
      </w:r>
      <w:r w:rsidR="00D30EB0">
        <w:rPr>
          <w:rFonts w:eastAsia="Times New Roman"/>
          <w:szCs w:val="24"/>
        </w:rPr>
        <w:t xml:space="preserve"> or the influence of</w:t>
      </w:r>
      <w:r w:rsidR="001A5443">
        <w:rPr>
          <w:rFonts w:eastAsia="Times New Roman"/>
          <w:szCs w:val="24"/>
        </w:rPr>
        <w:t>,</w:t>
      </w:r>
      <w:r w:rsidR="00D30EB0">
        <w:rPr>
          <w:rFonts w:eastAsia="Times New Roman"/>
          <w:szCs w:val="24"/>
        </w:rPr>
        <w:t xml:space="preserve"> the employer regarding particular cases or in </w:t>
      </w:r>
      <w:r w:rsidR="00C964CE">
        <w:rPr>
          <w:rFonts w:eastAsia="Times New Roman"/>
          <w:szCs w:val="24"/>
        </w:rPr>
        <w:t>the official</w:t>
      </w:r>
      <w:r w:rsidR="00DB23CF">
        <w:rPr>
          <w:rFonts w:eastAsia="Times New Roman"/>
          <w:szCs w:val="24"/>
        </w:rPr>
        <w:t>’</w:t>
      </w:r>
      <w:r w:rsidR="00C964CE">
        <w:rPr>
          <w:rFonts w:eastAsia="Times New Roman"/>
          <w:szCs w:val="24"/>
        </w:rPr>
        <w:t xml:space="preserve">s </w:t>
      </w:r>
      <w:r w:rsidR="001A5443">
        <w:rPr>
          <w:rFonts w:eastAsia="Times New Roman"/>
          <w:szCs w:val="24"/>
        </w:rPr>
        <w:t xml:space="preserve">general course of administering the whistleblower </w:t>
      </w:r>
      <w:r w:rsidR="00ED7103">
        <w:rPr>
          <w:rFonts w:eastAsia="Times New Roman"/>
          <w:szCs w:val="24"/>
        </w:rPr>
        <w:t xml:space="preserve">protection </w:t>
      </w:r>
      <w:r w:rsidR="001A5443">
        <w:rPr>
          <w:rFonts w:eastAsia="Times New Roman"/>
          <w:szCs w:val="24"/>
        </w:rPr>
        <w:t>policy and deciding cases</w:t>
      </w:r>
      <w:r w:rsidR="00D30EB0">
        <w:rPr>
          <w:rFonts w:eastAsia="Times New Roman"/>
          <w:szCs w:val="24"/>
        </w:rPr>
        <w:t>.</w:t>
      </w:r>
    </w:p>
    <w:p w14:paraId="7E5B6273" w14:textId="3F947045" w:rsidR="00ED710D" w:rsidRDefault="00ED710D" w:rsidP="00536111">
      <w:pPr>
        <w:pStyle w:val="Blockquote"/>
        <w:rPr>
          <w:rFonts w:eastAsia="Times New Roman"/>
          <w:szCs w:val="24"/>
        </w:rPr>
      </w:pPr>
      <w:r w:rsidRPr="002F64A6">
        <w:rPr>
          <w:rFonts w:eastAsia="Times New Roman"/>
          <w:szCs w:val="24"/>
        </w:rPr>
        <w:t xml:space="preserve">An employee who believes that he or she has been terminated or otherwise discriminated against in violation of this standard may file a complaint with </w:t>
      </w:r>
      <w:r w:rsidR="00482D58">
        <w:rPr>
          <w:rFonts w:eastAsia="Times New Roman"/>
          <w:szCs w:val="24"/>
        </w:rPr>
        <w:t>the designated official</w:t>
      </w:r>
      <w:r w:rsidRPr="002F64A6">
        <w:rPr>
          <w:rFonts w:eastAsia="Times New Roman"/>
          <w:szCs w:val="24"/>
        </w:rPr>
        <w:t xml:space="preserve"> by the employer.</w:t>
      </w:r>
    </w:p>
    <w:p w14:paraId="1B1F2E40" w14:textId="3C4A9C6D" w:rsidR="009F2420" w:rsidRPr="002F64A6" w:rsidRDefault="009F2420" w:rsidP="00536111">
      <w:pPr>
        <w:pStyle w:val="Blockquote"/>
        <w:rPr>
          <w:szCs w:val="24"/>
        </w:rPr>
      </w:pPr>
      <w:r>
        <w:rPr>
          <w:rFonts w:eastAsia="Times New Roman"/>
          <w:szCs w:val="24"/>
        </w:rPr>
        <w:t>The designated official shall conduct a timely, thorough</w:t>
      </w:r>
      <w:r w:rsidR="00C45043">
        <w:rPr>
          <w:rFonts w:eastAsia="Times New Roman"/>
          <w:szCs w:val="24"/>
        </w:rPr>
        <w:t>, objective, and competent</w:t>
      </w:r>
      <w:r>
        <w:rPr>
          <w:rFonts w:eastAsia="Times New Roman"/>
          <w:szCs w:val="24"/>
        </w:rPr>
        <w:t xml:space="preserve"> investigation </w:t>
      </w:r>
      <w:r w:rsidR="00C45043">
        <w:rPr>
          <w:rFonts w:eastAsia="Times New Roman"/>
          <w:szCs w:val="24"/>
        </w:rPr>
        <w:t>of the complaint</w:t>
      </w:r>
      <w:r w:rsidR="008A772A">
        <w:rPr>
          <w:rFonts w:eastAsia="Times New Roman"/>
          <w:szCs w:val="24"/>
        </w:rPr>
        <w:t>, examining all relevant evidence</w:t>
      </w:r>
      <w:r w:rsidR="00C45043">
        <w:rPr>
          <w:rFonts w:eastAsia="Times New Roman"/>
          <w:szCs w:val="24"/>
        </w:rPr>
        <w:t>.</w:t>
      </w:r>
      <w:r w:rsidR="00F4358A">
        <w:rPr>
          <w:rFonts w:eastAsia="Times New Roman"/>
          <w:szCs w:val="24"/>
        </w:rPr>
        <w:t xml:space="preserve"> The employer shall cooperate fully with the investigation</w:t>
      </w:r>
      <w:r w:rsidR="000029AF">
        <w:rPr>
          <w:rFonts w:eastAsia="Times New Roman"/>
          <w:szCs w:val="24"/>
        </w:rPr>
        <w:t>, including but not limited to securing and making available evidence.</w:t>
      </w:r>
      <w:r w:rsidR="00CC1528">
        <w:rPr>
          <w:rFonts w:eastAsia="Times New Roman"/>
          <w:szCs w:val="24"/>
        </w:rPr>
        <w:t xml:space="preserve"> The confidentiality of all participants in the investigation shall be maintained to the maximum extent possible.</w:t>
      </w:r>
    </w:p>
    <w:p w14:paraId="12DCDBE7" w14:textId="76628245" w:rsidR="00ED710D" w:rsidRPr="002F64A6" w:rsidRDefault="00425B31" w:rsidP="00C053C6">
      <w:pPr>
        <w:pStyle w:val="Blockquote"/>
      </w:pPr>
      <w:bookmarkStart w:id="43" w:name="a_2"/>
      <w:bookmarkEnd w:id="43"/>
      <w:r>
        <w:t xml:space="preserve">The designated official </w:t>
      </w:r>
      <w:r w:rsidR="00C02498">
        <w:t xml:space="preserve">shall make a final decision </w:t>
      </w:r>
      <w:r w:rsidR="001750C8">
        <w:t>whether retaliation occ</w:t>
      </w:r>
      <w:r w:rsidR="00C053C6">
        <w:t xml:space="preserve">urred. The official shall determine that a violation has occurred if the complainant has demonstrated, by a preponderance of the evidence, that </w:t>
      </w:r>
      <w:r w:rsidR="00ED710D" w:rsidRPr="002F64A6">
        <w:t>any behavior protected by this section was a contributing factor in the discrimination alleged in the complaint. Relief may not be ordered if the employer demonstrates by clear and convincing evidence that it would have taken the same unfavorable personnel action for independent, lawful reasons in the absence of such behavior.</w:t>
      </w:r>
    </w:p>
    <w:p w14:paraId="37D2142C" w14:textId="40D78E0B" w:rsidR="00ED710D" w:rsidRPr="002F64A6" w:rsidRDefault="00ED710D" w:rsidP="00536111">
      <w:pPr>
        <w:pStyle w:val="Blockquote"/>
      </w:pPr>
      <w:r w:rsidRPr="002F64A6">
        <w:rPr>
          <w:rFonts w:eastAsia="Times New Roman"/>
          <w:shd w:val="clear" w:color="auto" w:fill="FFFFFF"/>
        </w:rPr>
        <w:t xml:space="preserve">In response to a complaint, </w:t>
      </w:r>
      <w:r w:rsidRPr="002F64A6">
        <w:t xml:space="preserve">if the designated </w:t>
      </w:r>
      <w:r w:rsidR="001976B2">
        <w:t>official</w:t>
      </w:r>
      <w:r w:rsidRPr="002F64A6">
        <w:t xml:space="preserve"> finds that an employer was in violation of this standard, the designated</w:t>
      </w:r>
      <w:r w:rsidR="00DB23CF">
        <w:t xml:space="preserve"> </w:t>
      </w:r>
      <w:r w:rsidR="00DB2AD1">
        <w:t>official</w:t>
      </w:r>
      <w:r w:rsidR="00DB2AD1" w:rsidRPr="002F64A6">
        <w:t xml:space="preserve"> shall </w:t>
      </w:r>
      <w:r w:rsidR="00DB2AD1">
        <w:t xml:space="preserve">determine what remedies are appropriate, including </w:t>
      </w:r>
      <w:r w:rsidRPr="002F64A6">
        <w:t>affirmative action to abate the violation; reinstate</w:t>
      </w:r>
      <w:r w:rsidR="00C139B7">
        <w:t>ment</w:t>
      </w:r>
      <w:r w:rsidRPr="002F64A6">
        <w:t xml:space="preserve"> </w:t>
      </w:r>
      <w:r w:rsidR="00C139B7">
        <w:t xml:space="preserve">of </w:t>
      </w:r>
      <w:r w:rsidRPr="002F64A6">
        <w:t>the complainant to the former position with the same pay and terms and privileges of employment; pay</w:t>
      </w:r>
      <w:r w:rsidR="00C139B7">
        <w:t>ment of</w:t>
      </w:r>
      <w:r w:rsidRPr="002F64A6">
        <w:t xml:space="preserve"> compensatory damages, including back-pay with interest and compensation for any special damages sustained as a result of the retaliation; </w:t>
      </w:r>
      <w:r w:rsidR="00856E2F">
        <w:t xml:space="preserve">public or private </w:t>
      </w:r>
      <w:r w:rsidR="00E10492">
        <w:t xml:space="preserve">statements or announcements </w:t>
      </w:r>
      <w:r w:rsidR="00BB6329">
        <w:t>to restore the whistleblower</w:t>
      </w:r>
      <w:r w:rsidR="00DB23CF">
        <w:t>’</w:t>
      </w:r>
      <w:r w:rsidR="00BB6329">
        <w:t xml:space="preserve">s position or reputation; </w:t>
      </w:r>
      <w:r w:rsidRPr="002F64A6">
        <w:t xml:space="preserve">and any other relief necessary to make the </w:t>
      </w:r>
      <w:r w:rsidRPr="002F64A6">
        <w:lastRenderedPageBreak/>
        <w:t>employee whole.</w:t>
      </w:r>
      <w:r w:rsidR="00DC2E16">
        <w:t xml:space="preserve"> The designated official may also </w:t>
      </w:r>
      <w:r w:rsidR="00612055">
        <w:t>impose further protections, such as monitoring or disciplinary action for the retaliator.</w:t>
      </w:r>
    </w:p>
    <w:p w14:paraId="1E21396C" w14:textId="20512B9D" w:rsidR="0090310A" w:rsidRDefault="00CA5615" w:rsidP="00536111">
      <w:pPr>
        <w:pStyle w:val="Blockquote"/>
      </w:pPr>
      <w:r>
        <w:t>If the complaint is not satisfied with the result, t</w:t>
      </w:r>
      <w:r w:rsidR="0090310A" w:rsidRPr="002F64A6">
        <w:t xml:space="preserve">he </w:t>
      </w:r>
      <w:r w:rsidR="00144116">
        <w:t xml:space="preserve">employer </w:t>
      </w:r>
      <w:r w:rsidR="0090310A" w:rsidRPr="002F64A6">
        <w:t xml:space="preserve">designated </w:t>
      </w:r>
      <w:r w:rsidR="00144116">
        <w:t xml:space="preserve">must </w:t>
      </w:r>
      <w:r w:rsidR="0090310A" w:rsidRPr="002F64A6">
        <w:t>offer the complainant the opportunity to submit the dispute to consensus-selection, independent, binding arbitration</w:t>
      </w:r>
      <w:r w:rsidR="00BE4FF6">
        <w:t xml:space="preserve">. The arbitration shall be conducted by an </w:t>
      </w:r>
      <w:r w:rsidR="00280D67">
        <w:t xml:space="preserve">arbitrator </w:t>
      </w:r>
      <w:r w:rsidR="003E2336">
        <w:t xml:space="preserve">who is agreed upon by both the complainant and the employer, </w:t>
      </w:r>
      <w:r w:rsidR="00280D67">
        <w:t xml:space="preserve">who has </w:t>
      </w:r>
      <w:r w:rsidR="003E2336">
        <w:t xml:space="preserve">no </w:t>
      </w:r>
      <w:r w:rsidR="00D0641D">
        <w:t>real or apparent conflicts of interest</w:t>
      </w:r>
      <w:r w:rsidR="003E2336">
        <w:t>,</w:t>
      </w:r>
      <w:r w:rsidR="00D0641D">
        <w:t xml:space="preserve"> and </w:t>
      </w:r>
      <w:r w:rsidR="003E2336">
        <w:t xml:space="preserve">who </w:t>
      </w:r>
      <w:r w:rsidR="006458D0">
        <w:t xml:space="preserve">has </w:t>
      </w:r>
      <w:r w:rsidR="00280D67">
        <w:t xml:space="preserve">no </w:t>
      </w:r>
      <w:r w:rsidR="006F2E88">
        <w:t>personal or professional relationship with the employer, the whistleblower</w:t>
      </w:r>
      <w:r w:rsidR="003E2336">
        <w:t xml:space="preserve">, </w:t>
      </w:r>
      <w:r w:rsidR="006F2E88">
        <w:t>the alleged retaliator</w:t>
      </w:r>
      <w:r w:rsidR="001D590D">
        <w:t>, or any person who is a subject of the investigation</w:t>
      </w:r>
      <w:r w:rsidR="0090310A" w:rsidRPr="002F64A6">
        <w:t>.</w:t>
      </w:r>
      <w:r w:rsidR="006458D0">
        <w:t xml:space="preserve"> </w:t>
      </w:r>
      <w:r w:rsidR="00AD6E54">
        <w:t xml:space="preserve">The employer and the whistleblower shall share the costs of the arbitration, but the </w:t>
      </w:r>
      <w:r w:rsidR="006265BD">
        <w:t>arbitration agreement shall specify that the arbitrator shall require the employer to compensate the whistleblower for all of his or her arbitration costs</w:t>
      </w:r>
      <w:r w:rsidR="00755AFA">
        <w:t>, including attorney</w:t>
      </w:r>
      <w:r w:rsidR="006265BD">
        <w:t xml:space="preserve"> fees, </w:t>
      </w:r>
      <w:r w:rsidR="00755AFA">
        <w:t xml:space="preserve">if the arbitrator finds in favor of the </w:t>
      </w:r>
      <w:r w:rsidR="00E9467D">
        <w:t>whistleblower</w:t>
      </w:r>
      <w:r w:rsidR="00755AFA">
        <w:t>.</w:t>
      </w:r>
    </w:p>
    <w:p w14:paraId="2CDAAFC6" w14:textId="77777777" w:rsidR="00ED710D" w:rsidRPr="002F64A6" w:rsidRDefault="00ED710D" w:rsidP="00536111">
      <w:pPr>
        <w:pStyle w:val="Blockquote"/>
      </w:pPr>
      <w:r w:rsidRPr="002F64A6">
        <w:t>The rights and remedies provided for in this section may not be waived by any agreement, policy form, or condition of employment, including by a pre-dispute arbitration agreement.</w:t>
      </w:r>
    </w:p>
    <w:p w14:paraId="03866329" w14:textId="17312F77" w:rsidR="00ED710D" w:rsidRPr="002F64A6" w:rsidRDefault="00ED710D" w:rsidP="00ED710D">
      <w:pPr>
        <w:spacing w:after="0"/>
        <w:rPr>
          <w:szCs w:val="24"/>
        </w:rPr>
      </w:pPr>
      <w:r w:rsidRPr="002F64A6">
        <w:rPr>
          <w:szCs w:val="24"/>
        </w:rPr>
        <w:t>This model language generally reflects best-practice provisions included in OSHA-administered whistleblower statutes enacted since 2000, including the Wendell H. Ford Aviation Investment and Reform Act for the 21st Century, the Moving Ahead for Progress in the 21st Century Act, the Pipeline Safety Improvement Act, the Sarbanes-Oxley Act, Energy Reorganization Act, the Surface Transportation Assistance Act, the Federal Railroad Safety Act, the National Transit Systems Security Act, the Consumer Product Safety Improvement Act, the Seaman</w:t>
      </w:r>
      <w:r w:rsidR="00DB23CF">
        <w:rPr>
          <w:szCs w:val="24"/>
        </w:rPr>
        <w:t>’</w:t>
      </w:r>
      <w:r w:rsidRPr="002F64A6">
        <w:rPr>
          <w:szCs w:val="24"/>
        </w:rPr>
        <w:t xml:space="preserve">s Protection Act, </w:t>
      </w:r>
      <w:r w:rsidR="00CC36CA" w:rsidRPr="002F64A6">
        <w:rPr>
          <w:szCs w:val="24"/>
        </w:rPr>
        <w:t xml:space="preserve">and </w:t>
      </w:r>
      <w:r w:rsidRPr="002F64A6">
        <w:rPr>
          <w:szCs w:val="24"/>
        </w:rPr>
        <w:t>the FDA Food Safety Modernization Act.</w:t>
      </w:r>
    </w:p>
    <w:p w14:paraId="11343BB5" w14:textId="2B99F925" w:rsidR="00ED710D" w:rsidRPr="002F64A6" w:rsidRDefault="00ED710D" w:rsidP="004C7A5A">
      <w:pPr>
        <w:pStyle w:val="L1"/>
      </w:pPr>
      <w:bookmarkStart w:id="44" w:name="_Toc517168465"/>
      <w:r w:rsidRPr="002F64A6">
        <w:t>Petition Requests</w:t>
      </w:r>
      <w:bookmarkEnd w:id="44"/>
    </w:p>
    <w:p w14:paraId="1BE34FCB" w14:textId="19010B79" w:rsidR="00ED710D" w:rsidRPr="00FC59EA" w:rsidRDefault="00ED710D" w:rsidP="00BE096D">
      <w:r w:rsidRPr="00FC59EA">
        <w:t xml:space="preserve">Given the clear evidence on the risks of heat stress for both outdoor and indoor workers and the demonstrated feasibility of a protective regulation protecting workers from these dangers, </w:t>
      </w:r>
      <w:r w:rsidR="0047314A" w:rsidRPr="00FC59EA">
        <w:t xml:space="preserve">citing evidence from </w:t>
      </w:r>
      <w:r w:rsidR="0047314A" w:rsidRPr="002F64A6">
        <w:rPr>
          <w:rFonts w:asciiTheme="majorBidi" w:hAnsiTheme="majorBidi" w:cstheme="majorBidi"/>
          <w:bCs/>
          <w:szCs w:val="24"/>
        </w:rPr>
        <w:t xml:space="preserve">a </w:t>
      </w:r>
      <w:r w:rsidR="0047314A" w:rsidRPr="00FC59EA">
        <w:t>state</w:t>
      </w:r>
      <w:r w:rsidR="0047314A" w:rsidRPr="002F64A6">
        <w:rPr>
          <w:rFonts w:asciiTheme="majorBidi" w:hAnsiTheme="majorBidi" w:cstheme="majorBidi"/>
          <w:bCs/>
          <w:szCs w:val="24"/>
        </w:rPr>
        <w:t xml:space="preserve"> such as Californian and the </w:t>
      </w:r>
      <w:r w:rsidR="00052920">
        <w:rPr>
          <w:rFonts w:asciiTheme="majorBidi" w:hAnsiTheme="majorBidi" w:cstheme="majorBidi"/>
          <w:bCs/>
          <w:szCs w:val="24"/>
        </w:rPr>
        <w:t>m</w:t>
      </w:r>
      <w:r w:rsidR="0047314A" w:rsidRPr="002F64A6">
        <w:rPr>
          <w:rFonts w:asciiTheme="majorBidi" w:hAnsiTheme="majorBidi" w:cstheme="majorBidi"/>
          <w:bCs/>
          <w:szCs w:val="24"/>
        </w:rPr>
        <w:t xml:space="preserve">ilitary, </w:t>
      </w:r>
      <w:r w:rsidRPr="00FC59EA">
        <w:t>there is no valid</w:t>
      </w:r>
      <w:r w:rsidR="0047314A" w:rsidRPr="002F64A6">
        <w:rPr>
          <w:rFonts w:asciiTheme="majorBidi" w:hAnsiTheme="majorBidi" w:cstheme="majorBidi"/>
          <w:bCs/>
          <w:szCs w:val="24"/>
        </w:rPr>
        <w:t>, evidence-based</w:t>
      </w:r>
      <w:r w:rsidRPr="00FC59EA">
        <w:t xml:space="preserve"> reason for OSHA not to immediately initiate the rulemaking process for a federal heat stress standard. We request that such a standard include all of the measures recommended in detail by NIOSH in its 2016 Criteria for a Recommended Standard for heat stress, in addition to a robust whistleblower protection provision </w:t>
      </w:r>
      <w:r w:rsidR="00B2785E">
        <w:t xml:space="preserve">to </w:t>
      </w:r>
      <w:r w:rsidRPr="00FC59EA">
        <w:t>help ensure that the standard</w:t>
      </w:r>
      <w:r w:rsidR="00DB23CF">
        <w:t>’</w:t>
      </w:r>
      <w:r w:rsidRPr="00FC59EA">
        <w:t xml:space="preserve">s provisions are complied with. These requested provisions are as follows (see Section </w:t>
      </w:r>
      <w:r w:rsidR="00C82B25">
        <w:t>V</w:t>
      </w:r>
      <w:r w:rsidRPr="00FC59EA">
        <w:t>. NIOSH Criteria for a Recommended Standard</w:t>
      </w:r>
      <w:r w:rsidR="00DB23CF">
        <w:t>”</w:t>
      </w:r>
      <w:r w:rsidRPr="00FC59EA">
        <w:t xml:space="preserve"> section of the petition for details of each provision):</w:t>
      </w:r>
    </w:p>
    <w:p w14:paraId="7A78EBB2" w14:textId="5840AAF7"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t>Heat stress thresholds</w:t>
      </w:r>
      <w:r w:rsidRPr="002F64A6">
        <w:rPr>
          <w:rFonts w:asciiTheme="majorBidi" w:hAnsiTheme="majorBidi" w:cstheme="majorBidi"/>
          <w:bCs/>
          <w:szCs w:val="24"/>
        </w:rPr>
        <w:t>: At NIOSH</w:t>
      </w:r>
      <w:r w:rsidR="00DB23CF">
        <w:rPr>
          <w:rFonts w:asciiTheme="majorBidi" w:hAnsiTheme="majorBidi" w:cstheme="majorBidi"/>
          <w:bCs/>
          <w:szCs w:val="24"/>
        </w:rPr>
        <w:t>’</w:t>
      </w:r>
      <w:r w:rsidRPr="002F64A6">
        <w:rPr>
          <w:rFonts w:asciiTheme="majorBidi" w:hAnsiTheme="majorBidi" w:cstheme="majorBidi"/>
          <w:bCs/>
          <w:szCs w:val="24"/>
        </w:rPr>
        <w:t>s REL/RAL, employers would be required to initiate robust protective measures. These include:</w:t>
      </w:r>
    </w:p>
    <w:p w14:paraId="0BF6FA69" w14:textId="77777777" w:rsidR="00ED710D" w:rsidRPr="002F64A6"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Mandatory rest breaks</w:t>
      </w:r>
      <w:r w:rsidRPr="002F64A6">
        <w:rPr>
          <w:rFonts w:asciiTheme="majorBidi" w:hAnsiTheme="majorBidi" w:cstheme="majorBidi"/>
          <w:bCs/>
          <w:szCs w:val="24"/>
        </w:rPr>
        <w:t>: These should range in duration from 15 to 45 minutes per hour, away from the hot environment. At certain WBGT heat levels, work must be stopped entirely.</w:t>
      </w:r>
    </w:p>
    <w:p w14:paraId="1CF1539B" w14:textId="3A02FA14" w:rsidR="00ED710D" w:rsidRPr="002F64A6"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lastRenderedPageBreak/>
        <w:t>PPE</w:t>
      </w:r>
      <w:r w:rsidRPr="002F64A6">
        <w:rPr>
          <w:rFonts w:asciiTheme="majorBidi" w:hAnsiTheme="majorBidi" w:cstheme="majorBidi"/>
          <w:bCs/>
          <w:szCs w:val="24"/>
        </w:rPr>
        <w:t>: Employers must provide PPE (e.g.</w:t>
      </w:r>
      <w:r w:rsidR="002A0CBB" w:rsidRPr="002F64A6">
        <w:rPr>
          <w:rFonts w:asciiTheme="majorBidi" w:hAnsiTheme="majorBidi" w:cstheme="majorBidi"/>
          <w:bCs/>
          <w:szCs w:val="24"/>
        </w:rPr>
        <w:t>,</w:t>
      </w:r>
      <w:r w:rsidRPr="002F64A6">
        <w:rPr>
          <w:rFonts w:asciiTheme="majorBidi" w:hAnsiTheme="majorBidi" w:cstheme="majorBidi"/>
          <w:bCs/>
          <w:szCs w:val="24"/>
        </w:rPr>
        <w:t xml:space="preserve"> water-cooled garments, air-cooled garments, or cooling vests) to protect workers from heat-related illness, at all times when total heat stress load reaches the RAL/REL, especially during mandatory rest breaks.</w:t>
      </w:r>
    </w:p>
    <w:p w14:paraId="71212365" w14:textId="039E6331" w:rsidR="00ED710D" w:rsidRPr="002F64A6" w:rsidRDefault="00ED710D" w:rsidP="00ED710D">
      <w:pPr>
        <w:numPr>
          <w:ilvl w:val="1"/>
          <w:numId w:val="33"/>
        </w:numPr>
        <w:rPr>
          <w:rFonts w:asciiTheme="majorBidi" w:hAnsiTheme="majorBidi" w:cstheme="majorBidi"/>
          <w:b/>
          <w:szCs w:val="24"/>
          <w:u w:val="single"/>
        </w:rPr>
      </w:pPr>
      <w:r w:rsidRPr="002F64A6">
        <w:rPr>
          <w:rFonts w:asciiTheme="majorBidi" w:hAnsiTheme="majorBidi" w:cstheme="majorBidi"/>
          <w:b/>
          <w:szCs w:val="24"/>
          <w:u w:val="single"/>
        </w:rPr>
        <w:t>Shade</w:t>
      </w:r>
      <w:r w:rsidRPr="002F64A6">
        <w:rPr>
          <w:rFonts w:asciiTheme="majorBidi" w:hAnsiTheme="majorBidi" w:cstheme="majorBidi"/>
          <w:bCs/>
          <w:szCs w:val="24"/>
        </w:rPr>
        <w:t>: In outdoor environments, employers must provide access to sufficient areas of shade, both during the rest breaks. In addition, we request that shaded areas be provided to all workers upon request.</w:t>
      </w:r>
    </w:p>
    <w:p w14:paraId="1F57BB7A" w14:textId="43FE47BF" w:rsidR="00ED710D" w:rsidRPr="002F64A6" w:rsidRDefault="00ED710D" w:rsidP="00ED710D">
      <w:pPr>
        <w:numPr>
          <w:ilvl w:val="0"/>
          <w:numId w:val="33"/>
        </w:numPr>
        <w:rPr>
          <w:rFonts w:asciiTheme="majorBidi" w:hAnsiTheme="majorBidi" w:cstheme="majorBidi"/>
          <w:b/>
          <w:szCs w:val="24"/>
          <w:u w:val="single"/>
        </w:rPr>
      </w:pPr>
      <w:r w:rsidRPr="002F64A6">
        <w:rPr>
          <w:rFonts w:asciiTheme="majorBidi" w:hAnsiTheme="majorBidi" w:cstheme="majorBidi"/>
          <w:b/>
          <w:szCs w:val="24"/>
          <w:u w:val="single"/>
        </w:rPr>
        <w:t>Hydration</w:t>
      </w:r>
      <w:r w:rsidRPr="002F64A6">
        <w:rPr>
          <w:rFonts w:asciiTheme="majorBidi" w:hAnsiTheme="majorBidi" w:cstheme="majorBidi"/>
          <w:b/>
          <w:szCs w:val="24"/>
        </w:rPr>
        <w:t>:</w:t>
      </w:r>
      <w:r w:rsidRPr="002F64A6">
        <w:rPr>
          <w:rFonts w:asciiTheme="majorBidi" w:hAnsiTheme="majorBidi" w:cstheme="majorBidi"/>
          <w:bCs/>
          <w:szCs w:val="24"/>
        </w:rPr>
        <w:t xml:space="preserve"> Workers must be given access</w:t>
      </w:r>
      <w:r w:rsidR="006141CD">
        <w:rPr>
          <w:rFonts w:asciiTheme="majorBidi" w:hAnsiTheme="majorBidi" w:cstheme="majorBidi"/>
          <w:bCs/>
          <w:szCs w:val="24"/>
        </w:rPr>
        <w:t>—</w:t>
      </w:r>
      <w:r w:rsidRPr="002F64A6">
        <w:rPr>
          <w:rFonts w:asciiTheme="majorBidi" w:hAnsiTheme="majorBidi" w:cstheme="majorBidi"/>
          <w:bCs/>
          <w:szCs w:val="24"/>
        </w:rPr>
        <w:t>at no cost to themselves</w:t>
      </w:r>
      <w:r w:rsidR="006141CD">
        <w:rPr>
          <w:rFonts w:asciiTheme="majorBidi" w:hAnsiTheme="majorBidi" w:cstheme="majorBidi"/>
          <w:bCs/>
          <w:szCs w:val="24"/>
        </w:rPr>
        <w:t>—</w:t>
      </w:r>
      <w:r w:rsidRPr="002F64A6">
        <w:rPr>
          <w:rFonts w:asciiTheme="majorBidi" w:hAnsiTheme="majorBidi" w:cstheme="majorBidi"/>
          <w:bCs/>
          <w:szCs w:val="24"/>
        </w:rPr>
        <w:t>to recommended quantities of water and electrolytes sufficient to maintain adequate levels of hydration at varying levels of heat.</w:t>
      </w:r>
    </w:p>
    <w:p w14:paraId="03BFEC73" w14:textId="140761DC" w:rsidR="00ED710D" w:rsidRPr="002F64A6" w:rsidRDefault="00ED710D" w:rsidP="00ED710D">
      <w:pPr>
        <w:numPr>
          <w:ilvl w:val="0"/>
          <w:numId w:val="33"/>
        </w:numPr>
        <w:rPr>
          <w:rFonts w:asciiTheme="majorBidi" w:hAnsiTheme="majorBidi" w:cstheme="majorBidi"/>
          <w:szCs w:val="24"/>
        </w:rPr>
      </w:pPr>
      <w:r w:rsidRPr="002F64A6">
        <w:rPr>
          <w:rFonts w:asciiTheme="majorBidi" w:hAnsiTheme="majorBidi" w:cstheme="majorBidi"/>
          <w:b/>
          <w:szCs w:val="24"/>
          <w:u w:val="single"/>
        </w:rPr>
        <w:t>Heat acclimatization plan</w:t>
      </w:r>
      <w:r w:rsidRPr="002F64A6">
        <w:rPr>
          <w:rFonts w:asciiTheme="majorBidi" w:hAnsiTheme="majorBidi" w:cstheme="majorBidi"/>
          <w:b/>
          <w:szCs w:val="24"/>
        </w:rPr>
        <w:t>:</w:t>
      </w:r>
      <w:r w:rsidRPr="002F64A6">
        <w:rPr>
          <w:rFonts w:asciiTheme="majorBidi" w:hAnsiTheme="majorBidi" w:cstheme="majorBidi"/>
          <w:bCs/>
          <w:szCs w:val="24"/>
        </w:rPr>
        <w:t xml:space="preserve"> All workers beginning work in high-heat environments, or who will be working in hotter conditions than usual (e.g.</w:t>
      </w:r>
      <w:r w:rsidR="002A0CBB" w:rsidRPr="002F64A6">
        <w:rPr>
          <w:rFonts w:asciiTheme="majorBidi" w:hAnsiTheme="majorBidi" w:cstheme="majorBidi"/>
          <w:bCs/>
          <w:szCs w:val="24"/>
        </w:rPr>
        <w:t>,</w:t>
      </w:r>
      <w:r w:rsidRPr="002F64A6">
        <w:rPr>
          <w:rFonts w:asciiTheme="majorBidi" w:hAnsiTheme="majorBidi" w:cstheme="majorBidi"/>
          <w:bCs/>
          <w:szCs w:val="24"/>
        </w:rPr>
        <w:t xml:space="preserve"> during a heat wave), must be gradually acclimatized to the work over a period of at least 7-14 days.</w:t>
      </w:r>
    </w:p>
    <w:p w14:paraId="74DEA2EF" w14:textId="77777777" w:rsidR="00ED710D" w:rsidRPr="002F64A6" w:rsidRDefault="00ED710D" w:rsidP="00ED710D">
      <w:pPr>
        <w:numPr>
          <w:ilvl w:val="0"/>
          <w:numId w:val="33"/>
        </w:numPr>
        <w:rPr>
          <w:rFonts w:asciiTheme="majorBidi" w:hAnsiTheme="majorBidi" w:cstheme="majorBidi"/>
          <w:b/>
          <w:bCs/>
          <w:szCs w:val="24"/>
          <w:u w:val="single"/>
        </w:rPr>
      </w:pPr>
      <w:r w:rsidRPr="002F64A6">
        <w:rPr>
          <w:rFonts w:asciiTheme="majorBidi" w:hAnsiTheme="majorBidi" w:cstheme="majorBidi"/>
          <w:b/>
          <w:szCs w:val="24"/>
          <w:u w:val="single"/>
        </w:rPr>
        <w:t>Exposure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monitor both environmental heat exposure and employee workloads to ensure that no worker is exposed to heat stress at or above the RAL/REL.</w:t>
      </w:r>
    </w:p>
    <w:p w14:paraId="1C1D9CA5"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szCs w:val="24"/>
          <w:u w:val="single"/>
        </w:rPr>
        <w:t>Medical monitoring</w:t>
      </w:r>
      <w:r w:rsidRPr="002F64A6">
        <w:rPr>
          <w:rFonts w:asciiTheme="majorBidi" w:hAnsiTheme="majorBidi" w:cstheme="majorBidi"/>
          <w:b/>
          <w:szCs w:val="24"/>
        </w:rPr>
        <w:t>:</w:t>
      </w:r>
      <w:r w:rsidRPr="002F64A6">
        <w:rPr>
          <w:rFonts w:asciiTheme="majorBidi" w:hAnsiTheme="majorBidi" w:cstheme="majorBidi"/>
          <w:bCs/>
          <w:szCs w:val="24"/>
        </w:rPr>
        <w:t xml:space="preserve"> Employers must institute a medical monitoring program for all workers who are or may be exposed to heat stress at or above the RAL/REL. </w:t>
      </w:r>
    </w:p>
    <w:p w14:paraId="370F161F"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Hazard notification</w:t>
      </w:r>
      <w:r w:rsidRPr="002F64A6">
        <w:rPr>
          <w:rFonts w:asciiTheme="majorBidi" w:hAnsiTheme="majorBidi" w:cstheme="majorBidi"/>
          <w:b/>
          <w:bCs/>
          <w:szCs w:val="24"/>
        </w:rPr>
        <w:t>:</w:t>
      </w:r>
      <w:r w:rsidRPr="002F64A6">
        <w:rPr>
          <w:rFonts w:asciiTheme="majorBidi" w:hAnsiTheme="majorBidi" w:cstheme="majorBidi"/>
          <w:szCs w:val="24"/>
        </w:rPr>
        <w:t xml:space="preserve"> Employers must post prominent signs, in all relevant languages, in high-heat areas warning of the dangers of heat stress.</w:t>
      </w:r>
    </w:p>
    <w:p w14:paraId="58D0753B"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Heat Alert Program</w:t>
      </w:r>
      <w:r w:rsidRPr="002F64A6">
        <w:rPr>
          <w:rFonts w:asciiTheme="majorBidi" w:hAnsiTheme="majorBidi" w:cstheme="majorBidi"/>
          <w:b/>
          <w:bCs/>
          <w:szCs w:val="24"/>
        </w:rPr>
        <w:t xml:space="preserve">: </w:t>
      </w:r>
      <w:r w:rsidRPr="002F64A6">
        <w:rPr>
          <w:rFonts w:asciiTheme="majorBidi" w:hAnsiTheme="majorBidi" w:cstheme="majorBidi"/>
          <w:szCs w:val="24"/>
        </w:rPr>
        <w:t>Employers must develop a written Heat Alert Program to be implemented whenever the National Weather Service or other authoritative weather service forecasts a heat wave in the coming day or days.</w:t>
      </w:r>
    </w:p>
    <w:p w14:paraId="502E4DB2" w14:textId="77777777" w:rsidR="00ED710D" w:rsidRPr="002F64A6" w:rsidRDefault="00ED710D" w:rsidP="00ED710D">
      <w:pPr>
        <w:numPr>
          <w:ilvl w:val="0"/>
          <w:numId w:val="34"/>
        </w:numPr>
        <w:rPr>
          <w:rFonts w:asciiTheme="majorBidi" w:hAnsiTheme="majorBidi" w:cstheme="majorBidi"/>
          <w:szCs w:val="24"/>
        </w:rPr>
      </w:pPr>
      <w:r w:rsidRPr="002F64A6">
        <w:rPr>
          <w:rFonts w:asciiTheme="majorBidi" w:hAnsiTheme="majorBidi" w:cstheme="majorBidi"/>
          <w:b/>
          <w:bCs/>
          <w:szCs w:val="24"/>
          <w:u w:val="single"/>
        </w:rPr>
        <w:t>Worker information and training</w:t>
      </w:r>
      <w:r w:rsidRPr="002F64A6">
        <w:rPr>
          <w:rFonts w:asciiTheme="majorBidi" w:hAnsiTheme="majorBidi" w:cstheme="majorBidi"/>
          <w:b/>
          <w:bCs/>
          <w:szCs w:val="24"/>
        </w:rPr>
        <w:t>:</w:t>
      </w:r>
      <w:r w:rsidRPr="002F64A6">
        <w:rPr>
          <w:rFonts w:asciiTheme="majorBidi" w:hAnsiTheme="majorBidi" w:cstheme="majorBidi"/>
          <w:szCs w:val="24"/>
        </w:rPr>
        <w:t xml:space="preserve"> All workers and supervisors who work in areas where there is a reasonable likelihood of heat injury must be trained on measures to prevent and mitigate the risk. A written training program must be developed to serve as the basis for this training.</w:t>
      </w:r>
    </w:p>
    <w:p w14:paraId="1B6789C5" w14:textId="77777777" w:rsidR="00ED710D" w:rsidRPr="002F64A6" w:rsidRDefault="00ED710D" w:rsidP="00ED710D">
      <w:pPr>
        <w:numPr>
          <w:ilvl w:val="0"/>
          <w:numId w:val="34"/>
        </w:numPr>
        <w:rPr>
          <w:rFonts w:asciiTheme="majorBidi" w:hAnsiTheme="majorBidi" w:cstheme="majorBidi"/>
          <w:b/>
          <w:bCs/>
          <w:i/>
          <w:iCs/>
          <w:szCs w:val="24"/>
        </w:rPr>
      </w:pPr>
      <w:r w:rsidRPr="002F64A6">
        <w:rPr>
          <w:rFonts w:asciiTheme="majorBidi" w:hAnsiTheme="majorBidi" w:cstheme="majorBidi"/>
          <w:b/>
          <w:szCs w:val="24"/>
          <w:u w:val="single"/>
        </w:rPr>
        <w:t>Heat-related surveillance and recordkeeping</w:t>
      </w:r>
      <w:r w:rsidRPr="002F64A6">
        <w:rPr>
          <w:rFonts w:asciiTheme="majorBidi" w:hAnsiTheme="majorBidi" w:cstheme="majorBidi"/>
          <w:bCs/>
          <w:szCs w:val="24"/>
        </w:rPr>
        <w:t>: Employers should proactively obtain and analyze data on all heat-related injuries and deaths, environmental and physiological measurements related to heat, and other heat-related information. This information, in addition to medical monitoring data, acclimatization plans, and other key information related to the recommended heat stress standard should be recorded and made available to OSHA.</w:t>
      </w:r>
    </w:p>
    <w:p w14:paraId="6E1D17D1" w14:textId="530EAF6D" w:rsidR="00ED710D" w:rsidRPr="002F64A6" w:rsidRDefault="00ED710D" w:rsidP="00192A92">
      <w:pPr>
        <w:pStyle w:val="Bullet1"/>
        <w:rPr>
          <w:b/>
        </w:rPr>
      </w:pPr>
      <w:r w:rsidRPr="002F64A6">
        <w:rPr>
          <w:b/>
          <w:u w:val="single"/>
        </w:rPr>
        <w:t>Whistleblower protection</w:t>
      </w:r>
      <w:r w:rsidRPr="002F64A6">
        <w:rPr>
          <w:b/>
        </w:rPr>
        <w:t>:</w:t>
      </w:r>
      <w:r w:rsidRPr="002F64A6">
        <w:t xml:space="preserve"> </w:t>
      </w:r>
      <w:r w:rsidR="00D90267" w:rsidRPr="002F64A6">
        <w:t>Each employer must institute an independent whistleblower protection program for employees and supervisors to report violations of the heat stress standard. OSHA should provide criteria or model language to serve as the basis for the whistleblower protection programs.</w:t>
      </w:r>
    </w:p>
    <w:p w14:paraId="6D27912D" w14:textId="20ADF1FD" w:rsidR="00ED710D" w:rsidRPr="002F64A6" w:rsidRDefault="00ED710D" w:rsidP="00D84E78">
      <w:pPr>
        <w:pStyle w:val="L1"/>
      </w:pPr>
      <w:bookmarkStart w:id="45" w:name="_Toc517168466"/>
      <w:r w:rsidRPr="002F64A6">
        <w:lastRenderedPageBreak/>
        <w:t>Environmental impact statement</w:t>
      </w:r>
      <w:bookmarkEnd w:id="45"/>
    </w:p>
    <w:p w14:paraId="21F96D0D"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Nothing requested in this petition will have an impact on the environment.</w:t>
      </w:r>
    </w:p>
    <w:p w14:paraId="78D94F61" w14:textId="4C294955" w:rsidR="00ED710D" w:rsidRPr="002F64A6" w:rsidRDefault="00ED710D" w:rsidP="00D84E78">
      <w:pPr>
        <w:pStyle w:val="L1"/>
      </w:pPr>
      <w:bookmarkStart w:id="46" w:name="_Toc517168467"/>
      <w:r w:rsidRPr="002F64A6">
        <w:t>Certification</w:t>
      </w:r>
      <w:bookmarkEnd w:id="46"/>
    </w:p>
    <w:p w14:paraId="43C73D44"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We certify that, to the best of our knowledge and belief, this petition includes all information and views on which this petition relies, and that it includes representative data and information known to the petitioners which are unfavorable to the petition.</w:t>
      </w:r>
    </w:p>
    <w:p w14:paraId="4D862B73" w14:textId="77777777" w:rsidR="00ED710D" w:rsidRPr="002F64A6" w:rsidRDefault="00ED710D" w:rsidP="00ED710D">
      <w:pPr>
        <w:rPr>
          <w:rFonts w:asciiTheme="majorBidi" w:hAnsiTheme="majorBidi" w:cstheme="majorBidi"/>
          <w:szCs w:val="24"/>
        </w:rPr>
      </w:pPr>
      <w:r w:rsidRPr="002F64A6">
        <w:rPr>
          <w:rFonts w:asciiTheme="majorBidi" w:hAnsiTheme="majorBidi" w:cstheme="majorBidi"/>
          <w:szCs w:val="24"/>
        </w:rPr>
        <w:t>Sincerely,</w:t>
      </w:r>
    </w:p>
    <w:p w14:paraId="2F3DBB23" w14:textId="77777777" w:rsidR="00ED710D" w:rsidRDefault="00ED710D" w:rsidP="00ED710D">
      <w:pPr>
        <w:rPr>
          <w:rFonts w:asciiTheme="majorBidi" w:hAnsiTheme="majorBidi" w:cstheme="majorBidi"/>
          <w:szCs w:val="24"/>
        </w:rPr>
      </w:pPr>
      <w:r w:rsidRPr="002F64A6">
        <w:rPr>
          <w:rFonts w:asciiTheme="majorBidi" w:hAnsiTheme="majorBidi" w:cstheme="majorBidi"/>
          <w:szCs w:val="24"/>
        </w:rPr>
        <w:t>Public Citizen</w:t>
      </w:r>
    </w:p>
    <w:p w14:paraId="69BC7883" w14:textId="7E683179" w:rsidR="005406BF" w:rsidRDefault="005406BF" w:rsidP="00ED710D">
      <w:pPr>
        <w:rPr>
          <w:rFonts w:asciiTheme="majorBidi" w:hAnsiTheme="majorBidi" w:cstheme="majorBidi"/>
          <w:szCs w:val="24"/>
        </w:rPr>
      </w:pPr>
      <w:r>
        <w:rPr>
          <w:rFonts w:asciiTheme="majorBidi" w:hAnsiTheme="majorBidi" w:cstheme="majorBidi"/>
          <w:szCs w:val="24"/>
        </w:rPr>
        <w:t>Farmworker Justice</w:t>
      </w:r>
    </w:p>
    <w:p w14:paraId="04CA14C6" w14:textId="578BB0E4" w:rsidR="00DB357F" w:rsidRPr="002F64A6" w:rsidRDefault="00DB357F" w:rsidP="00ED710D">
      <w:pPr>
        <w:rPr>
          <w:rFonts w:asciiTheme="majorBidi" w:hAnsiTheme="majorBidi" w:cstheme="majorBidi"/>
          <w:szCs w:val="24"/>
        </w:rPr>
      </w:pPr>
      <w:r>
        <w:t>United Farm Workers</w:t>
      </w:r>
    </w:p>
    <w:p w14:paraId="4D6FFF6A" w14:textId="655DD9BE" w:rsidR="00ED710D" w:rsidRPr="002F64A6" w:rsidRDefault="003B32C2" w:rsidP="00ED710D">
      <w:pPr>
        <w:rPr>
          <w:rFonts w:asciiTheme="majorBidi" w:hAnsiTheme="majorBidi" w:cstheme="majorBidi"/>
          <w:szCs w:val="24"/>
        </w:rPr>
      </w:pPr>
      <w:r>
        <w:rPr>
          <w:rFonts w:asciiTheme="majorBidi" w:hAnsiTheme="majorBidi" w:cstheme="majorBidi"/>
          <w:szCs w:val="24"/>
        </w:rPr>
        <w:t>[</w:t>
      </w:r>
      <w:proofErr w:type="spellStart"/>
      <w:r w:rsidR="005D1E11">
        <w:rPr>
          <w:rFonts w:asciiTheme="majorBidi" w:hAnsiTheme="majorBidi" w:cstheme="majorBidi"/>
          <w:szCs w:val="24"/>
        </w:rPr>
        <w:t>tk</w:t>
      </w:r>
      <w:proofErr w:type="spellEnd"/>
      <w:r w:rsidR="005D1E11">
        <w:rPr>
          <w:rFonts w:asciiTheme="majorBidi" w:hAnsiTheme="majorBidi" w:cstheme="majorBidi"/>
          <w:szCs w:val="24"/>
        </w:rPr>
        <w:t xml:space="preserve"> </w:t>
      </w:r>
      <w:r>
        <w:rPr>
          <w:rFonts w:asciiTheme="majorBidi" w:hAnsiTheme="majorBidi" w:cstheme="majorBidi"/>
          <w:szCs w:val="24"/>
        </w:rPr>
        <w:t>list others]</w:t>
      </w:r>
    </w:p>
    <w:p w14:paraId="72BC05F6" w14:textId="148E9EC3" w:rsidR="00564149" w:rsidRPr="002F64A6" w:rsidRDefault="00564149" w:rsidP="007E02B1">
      <w:r w:rsidRPr="002F64A6">
        <w:br w:type="page"/>
      </w:r>
    </w:p>
    <w:p w14:paraId="5D36EBAA" w14:textId="623051B9" w:rsidR="0055085C" w:rsidRPr="002F64A6" w:rsidRDefault="0055085C" w:rsidP="009C287A">
      <w:pPr>
        <w:pStyle w:val="L1"/>
        <w:numPr>
          <w:ilvl w:val="0"/>
          <w:numId w:val="0"/>
        </w:numPr>
        <w:jc w:val="center"/>
      </w:pPr>
      <w:bookmarkStart w:id="47" w:name="_Toc517168468"/>
      <w:r w:rsidRPr="002F64A6">
        <w:lastRenderedPageBreak/>
        <w:t>Appendix</w:t>
      </w:r>
      <w:bookmarkEnd w:id="47"/>
    </w:p>
    <w:p w14:paraId="0CD030FA" w14:textId="54EDD043" w:rsidR="00663310" w:rsidRDefault="00663310" w:rsidP="00663310">
      <w:pPr>
        <w:pStyle w:val="Caption"/>
      </w:pPr>
      <w:bookmarkStart w:id="48" w:name="_Ref515982349"/>
      <w:r>
        <w:t xml:space="preserve">Table </w:t>
      </w:r>
      <w:r w:rsidR="00E221DB">
        <w:fldChar w:fldCharType="begin"/>
      </w:r>
      <w:r w:rsidR="00E221DB">
        <w:instrText xml:space="preserve"> SEQ Table \* ARABIC </w:instrText>
      </w:r>
      <w:r w:rsidR="00E221DB">
        <w:fldChar w:fldCharType="separate"/>
      </w:r>
      <w:r w:rsidR="00806F98">
        <w:rPr>
          <w:noProof/>
        </w:rPr>
        <w:t>9</w:t>
      </w:r>
      <w:r w:rsidR="00E221DB">
        <w:rPr>
          <w:noProof/>
        </w:rPr>
        <w:fldChar w:fldCharType="end"/>
      </w:r>
      <w:bookmarkEnd w:id="48"/>
      <w:r>
        <w:t>. Heat stress standards of Canadian provinces</w:t>
      </w:r>
    </w:p>
    <w:tbl>
      <w:tblPr>
        <w:tblStyle w:val="LightShading-Accent5"/>
        <w:tblW w:w="5000" w:type="pct"/>
        <w:tblLayout w:type="fixed"/>
        <w:tblLook w:val="04A0" w:firstRow="1" w:lastRow="0" w:firstColumn="1" w:lastColumn="0" w:noHBand="0" w:noVBand="1"/>
      </w:tblPr>
      <w:tblGrid>
        <w:gridCol w:w="1098"/>
        <w:gridCol w:w="3240"/>
        <w:gridCol w:w="1890"/>
        <w:gridCol w:w="3348"/>
      </w:tblGrid>
      <w:tr w:rsidR="00663310" w:rsidRPr="00663310" w14:paraId="50EAA945" w14:textId="77777777" w:rsidTr="00906FF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hideMark/>
          </w:tcPr>
          <w:p w14:paraId="353CAF7B" w14:textId="5DADF8B4" w:rsidR="00663310" w:rsidRPr="00663310" w:rsidRDefault="00663310" w:rsidP="00663310">
            <w:pPr>
              <w:pStyle w:val="TableHeading"/>
              <w:jc w:val="left"/>
              <w:rPr>
                <w:sz w:val="16"/>
                <w:szCs w:val="16"/>
              </w:rPr>
            </w:pPr>
            <w:bookmarkStart w:id="49" w:name="_Ref514867611"/>
            <w:bookmarkStart w:id="50" w:name="_Ref514867605"/>
            <w:r w:rsidRPr="00663310">
              <w:rPr>
                <w:sz w:val="16"/>
                <w:szCs w:val="16"/>
              </w:rPr>
              <w:t>Province/</w:t>
            </w:r>
            <w:r>
              <w:rPr>
                <w:sz w:val="16"/>
                <w:szCs w:val="16"/>
              </w:rPr>
              <w:br/>
            </w:r>
            <w:r w:rsidRPr="00663310">
              <w:rPr>
                <w:sz w:val="16"/>
                <w:szCs w:val="16"/>
              </w:rPr>
              <w:t>territory</w:t>
            </w:r>
          </w:p>
        </w:tc>
        <w:tc>
          <w:tcPr>
            <w:tcW w:w="3240" w:type="dxa"/>
            <w:noWrap/>
            <w:hideMark/>
          </w:tcPr>
          <w:p w14:paraId="7424C56A"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Legislation</w:t>
            </w:r>
          </w:p>
        </w:tc>
        <w:tc>
          <w:tcPr>
            <w:tcW w:w="1890" w:type="dxa"/>
            <w:noWrap/>
            <w:hideMark/>
          </w:tcPr>
          <w:p w14:paraId="41B67B81"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Environment</w:t>
            </w:r>
          </w:p>
        </w:tc>
        <w:tc>
          <w:tcPr>
            <w:tcW w:w="3348" w:type="dxa"/>
            <w:noWrap/>
            <w:hideMark/>
          </w:tcPr>
          <w:p w14:paraId="10ACD16B" w14:textId="77777777" w:rsidR="00663310" w:rsidRPr="00663310" w:rsidRDefault="00663310" w:rsidP="00663310">
            <w:pPr>
              <w:pStyle w:val="TableHeading"/>
              <w:cnfStyle w:val="100000000000" w:firstRow="1" w:lastRow="0" w:firstColumn="0" w:lastColumn="0" w:oddVBand="0" w:evenVBand="0" w:oddHBand="0" w:evenHBand="0" w:firstRowFirstColumn="0" w:firstRowLastColumn="0" w:lastRowFirstColumn="0" w:lastRowLastColumn="0"/>
              <w:rPr>
                <w:sz w:val="16"/>
                <w:szCs w:val="16"/>
              </w:rPr>
            </w:pPr>
            <w:r w:rsidRPr="00663310">
              <w:rPr>
                <w:sz w:val="16"/>
                <w:szCs w:val="16"/>
              </w:rPr>
              <w:t>Required controls</w:t>
            </w:r>
          </w:p>
        </w:tc>
      </w:tr>
      <w:tr w:rsidR="00663310" w:rsidRPr="00663310" w14:paraId="060FD5A5"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556CAD22" w14:textId="77777777" w:rsidR="00663310" w:rsidRPr="003F6252" w:rsidRDefault="00663310" w:rsidP="00663310">
            <w:pPr>
              <w:pStyle w:val="TableLeft"/>
              <w:rPr>
                <w:sz w:val="14"/>
                <w:szCs w:val="14"/>
              </w:rPr>
            </w:pPr>
            <w:r w:rsidRPr="003F6252">
              <w:rPr>
                <w:sz w:val="14"/>
                <w:szCs w:val="14"/>
              </w:rPr>
              <w:t>British Columbia</w:t>
            </w:r>
          </w:p>
        </w:tc>
        <w:tc>
          <w:tcPr>
            <w:tcW w:w="3240" w:type="dxa"/>
            <w:noWrap/>
            <w:vAlign w:val="top"/>
            <w:hideMark/>
          </w:tcPr>
          <w:p w14:paraId="453ACED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Part 7(28)of B.C. Occupational Health and Safety Regulation, 2004. Required to adhere to 2003 ACGIH standard (TLVs)</w:t>
            </w:r>
          </w:p>
        </w:tc>
        <w:tc>
          <w:tcPr>
            <w:tcW w:w="1890" w:type="dxa"/>
            <w:noWrap/>
            <w:vAlign w:val="top"/>
            <w:hideMark/>
          </w:tcPr>
          <w:p w14:paraId="7C1EC22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working environments except firefighting</w:t>
            </w:r>
          </w:p>
        </w:tc>
        <w:tc>
          <w:tcPr>
            <w:tcW w:w="3348" w:type="dxa"/>
            <w:noWrap/>
            <w:vAlign w:val="top"/>
            <w:hideMark/>
          </w:tcPr>
          <w:p w14:paraId="430A87F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Administrative and engineering controls must be implemented to reduce exposure of workers to levels below ACGIH criteria</w:t>
            </w:r>
          </w:p>
        </w:tc>
      </w:tr>
      <w:tr w:rsidR="00663310" w:rsidRPr="00663310" w14:paraId="61136825"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883E187" w14:textId="77777777" w:rsidR="00663310" w:rsidRPr="003F6252" w:rsidRDefault="00663310" w:rsidP="00663310">
            <w:pPr>
              <w:pStyle w:val="TableLeft"/>
              <w:rPr>
                <w:sz w:val="14"/>
                <w:szCs w:val="14"/>
              </w:rPr>
            </w:pPr>
            <w:r w:rsidRPr="003F6252">
              <w:rPr>
                <w:sz w:val="14"/>
                <w:szCs w:val="14"/>
              </w:rPr>
              <w:t>Alberta</w:t>
            </w:r>
          </w:p>
        </w:tc>
        <w:tc>
          <w:tcPr>
            <w:tcW w:w="3240" w:type="dxa"/>
            <w:noWrap/>
            <w:vAlign w:val="top"/>
            <w:hideMark/>
          </w:tcPr>
          <w:p w14:paraId="666FAF90"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 legal requirements. Recommended to use 2002 ACGIH standard (TLVs) or Humidex</w:t>
            </w:r>
          </w:p>
        </w:tc>
        <w:tc>
          <w:tcPr>
            <w:tcW w:w="1890" w:type="dxa"/>
            <w:noWrap/>
            <w:vAlign w:val="top"/>
            <w:hideMark/>
          </w:tcPr>
          <w:p w14:paraId="65AF1801"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0938BF6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None required</w:t>
            </w:r>
          </w:p>
        </w:tc>
      </w:tr>
      <w:tr w:rsidR="00663310" w:rsidRPr="00663310" w14:paraId="72D3544C"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408F4735" w14:textId="77777777" w:rsidR="00663310" w:rsidRPr="003F6252" w:rsidRDefault="00663310" w:rsidP="00663310">
            <w:pPr>
              <w:pStyle w:val="TableLeft"/>
              <w:rPr>
                <w:sz w:val="14"/>
                <w:szCs w:val="14"/>
              </w:rPr>
            </w:pPr>
            <w:r w:rsidRPr="003F6252">
              <w:rPr>
                <w:sz w:val="14"/>
                <w:szCs w:val="14"/>
              </w:rPr>
              <w:t>Saskatchewan</w:t>
            </w:r>
          </w:p>
        </w:tc>
        <w:tc>
          <w:tcPr>
            <w:tcW w:w="3240" w:type="dxa"/>
            <w:noWrap/>
            <w:vAlign w:val="top"/>
            <w:hideMark/>
          </w:tcPr>
          <w:p w14:paraId="53AB881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Section70 of Saskatchewan Occupational Health and Safety Regulations 1996, requires employers to maintain reasonable thermal conditions for work performed using ACGIH standard (TLVs)</w:t>
            </w:r>
          </w:p>
        </w:tc>
        <w:tc>
          <w:tcPr>
            <w:tcW w:w="1890" w:type="dxa"/>
            <w:noWrap/>
            <w:vAlign w:val="top"/>
            <w:hideMark/>
          </w:tcPr>
          <w:p w14:paraId="76906092"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working environments</w:t>
            </w:r>
          </w:p>
        </w:tc>
        <w:tc>
          <w:tcPr>
            <w:tcW w:w="3348" w:type="dxa"/>
            <w:noWrap/>
            <w:vAlign w:val="top"/>
            <w:hideMark/>
          </w:tcPr>
          <w:p w14:paraId="1BD5C42B" w14:textId="25B8169A"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use effective measures to protect workers from heat stress disorders</w:t>
            </w:r>
            <w:r>
              <w:rPr>
                <w:sz w:val="14"/>
                <w:szCs w:val="14"/>
              </w:rPr>
              <w:t>”</w:t>
            </w:r>
            <w:r w:rsidR="00663310" w:rsidRPr="003F6252">
              <w:rPr>
                <w:sz w:val="14"/>
                <w:szCs w:val="14"/>
              </w:rPr>
              <w:t xml:space="preserve"> including administrative and engineering controls</w:t>
            </w:r>
          </w:p>
        </w:tc>
      </w:tr>
      <w:tr w:rsidR="00663310" w:rsidRPr="00663310" w14:paraId="357F735C"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3055EE08" w14:textId="77777777" w:rsidR="00663310" w:rsidRPr="003F6252" w:rsidRDefault="00663310" w:rsidP="00663310">
            <w:pPr>
              <w:pStyle w:val="TableLeft"/>
              <w:rPr>
                <w:sz w:val="14"/>
                <w:szCs w:val="14"/>
              </w:rPr>
            </w:pPr>
            <w:r w:rsidRPr="003F6252">
              <w:rPr>
                <w:sz w:val="14"/>
                <w:szCs w:val="14"/>
              </w:rPr>
              <w:t>Manitoba</w:t>
            </w:r>
          </w:p>
        </w:tc>
        <w:tc>
          <w:tcPr>
            <w:tcW w:w="3240" w:type="dxa"/>
            <w:noWrap/>
            <w:vAlign w:val="top"/>
            <w:hideMark/>
          </w:tcPr>
          <w:p w14:paraId="6B997DA6"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Part 4.12 of Manitoba General Workplace Requirements Regulation 217/2006.Required to adhere to 2006 ACGIH standard (TLVs)</w:t>
            </w:r>
          </w:p>
        </w:tc>
        <w:tc>
          <w:tcPr>
            <w:tcW w:w="1890" w:type="dxa"/>
            <w:noWrap/>
            <w:vAlign w:val="top"/>
            <w:hideMark/>
          </w:tcPr>
          <w:p w14:paraId="7A7633D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23B0176D" w14:textId="7A238070"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Must provide worker with information, instruction and training in heat stress symptoms and precautions to be taken</w:t>
            </w:r>
            <w:r>
              <w:rPr>
                <w:sz w:val="14"/>
                <w:szCs w:val="14"/>
              </w:rPr>
              <w:t>”</w:t>
            </w:r>
          </w:p>
        </w:tc>
      </w:tr>
      <w:tr w:rsidR="00663310" w:rsidRPr="00663310" w14:paraId="69774966"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5796430" w14:textId="77777777" w:rsidR="00663310" w:rsidRPr="003F6252" w:rsidRDefault="00663310" w:rsidP="00663310">
            <w:pPr>
              <w:pStyle w:val="TableLeft"/>
              <w:rPr>
                <w:sz w:val="14"/>
                <w:szCs w:val="14"/>
              </w:rPr>
            </w:pPr>
            <w:r w:rsidRPr="003F6252">
              <w:rPr>
                <w:sz w:val="14"/>
                <w:szCs w:val="14"/>
              </w:rPr>
              <w:t>Ontario</w:t>
            </w:r>
          </w:p>
        </w:tc>
        <w:tc>
          <w:tcPr>
            <w:tcW w:w="3240" w:type="dxa"/>
            <w:noWrap/>
            <w:vAlign w:val="top"/>
            <w:hideMark/>
          </w:tcPr>
          <w:p w14:paraId="4D05887D" w14:textId="52F6899D"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Legally required under section 25(2) h of Ontario Occupational Health and Safety Act to protect workers from heat stress. Recommends adhering to latest </w:t>
            </w:r>
            <w:r w:rsidR="00DB23CF">
              <w:rPr>
                <w:sz w:val="14"/>
                <w:szCs w:val="14"/>
              </w:rPr>
              <w:t>“</w:t>
            </w:r>
            <w:r w:rsidRPr="003F6252">
              <w:rPr>
                <w:sz w:val="14"/>
                <w:szCs w:val="14"/>
              </w:rPr>
              <w:t>unacclimatized</w:t>
            </w:r>
            <w:r w:rsidR="00DB23CF">
              <w:rPr>
                <w:sz w:val="14"/>
                <w:szCs w:val="14"/>
              </w:rPr>
              <w:t>”</w:t>
            </w:r>
            <w:r w:rsidRPr="003F6252">
              <w:rPr>
                <w:sz w:val="14"/>
                <w:szCs w:val="14"/>
              </w:rPr>
              <w:t xml:space="preserve"> ACGIH standard (TLVs)</w:t>
            </w:r>
          </w:p>
        </w:tc>
        <w:tc>
          <w:tcPr>
            <w:tcW w:w="1890" w:type="dxa"/>
            <w:noWrap/>
            <w:vAlign w:val="top"/>
            <w:hideMark/>
          </w:tcPr>
          <w:p w14:paraId="6851F169" w14:textId="0A244E16"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Workers in hot environments due to </w:t>
            </w:r>
            <w:r w:rsidR="00DB23CF">
              <w:rPr>
                <w:sz w:val="14"/>
                <w:szCs w:val="14"/>
              </w:rPr>
              <w:t>“</w:t>
            </w:r>
            <w:r w:rsidRPr="003F6252">
              <w:rPr>
                <w:sz w:val="14"/>
                <w:szCs w:val="14"/>
              </w:rPr>
              <w:t>hot processes</w:t>
            </w:r>
            <w:r w:rsidR="00DB23CF">
              <w:rPr>
                <w:sz w:val="14"/>
                <w:szCs w:val="14"/>
              </w:rPr>
              <w:t>”</w:t>
            </w:r>
            <w:r w:rsidRPr="003F6252">
              <w:rPr>
                <w:sz w:val="14"/>
                <w:szCs w:val="14"/>
              </w:rPr>
              <w:t xml:space="preserve"> or hot weather</w:t>
            </w:r>
          </w:p>
        </w:tc>
        <w:tc>
          <w:tcPr>
            <w:tcW w:w="3348" w:type="dxa"/>
            <w:noWrap/>
            <w:vAlign w:val="top"/>
            <w:hideMark/>
          </w:tcPr>
          <w:p w14:paraId="2AA7265B" w14:textId="17AA05B6"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Must take every precaution reasonable in circumstances to protect worker . . . including hot environment policies and procedures.</w:t>
            </w:r>
            <w:r>
              <w:rPr>
                <w:sz w:val="14"/>
                <w:szCs w:val="14"/>
              </w:rPr>
              <w:t>”</w:t>
            </w:r>
            <w:r w:rsidR="00663310" w:rsidRPr="003F6252">
              <w:rPr>
                <w:sz w:val="14"/>
                <w:szCs w:val="14"/>
              </w:rPr>
              <w:t xml:space="preserve"> Suggests administrative and engineering controls, and protective clothing</w:t>
            </w:r>
          </w:p>
        </w:tc>
      </w:tr>
      <w:tr w:rsidR="00663310" w:rsidRPr="00663310" w14:paraId="4223F9C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047ADD1" w14:textId="77777777" w:rsidR="00663310" w:rsidRPr="003F6252" w:rsidRDefault="00663310" w:rsidP="00663310">
            <w:pPr>
              <w:pStyle w:val="TableLeft"/>
              <w:rPr>
                <w:sz w:val="14"/>
                <w:szCs w:val="14"/>
              </w:rPr>
            </w:pPr>
            <w:r w:rsidRPr="003F6252">
              <w:rPr>
                <w:sz w:val="14"/>
                <w:szCs w:val="14"/>
              </w:rPr>
              <w:t>Quebec</w:t>
            </w:r>
          </w:p>
        </w:tc>
        <w:tc>
          <w:tcPr>
            <w:tcW w:w="3240" w:type="dxa"/>
            <w:noWrap/>
            <w:vAlign w:val="top"/>
            <w:hideMark/>
          </w:tcPr>
          <w:p w14:paraId="78E3E3A5"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Section2.1,regulation15 of Quebec </w:t>
            </w:r>
            <w:proofErr w:type="spellStart"/>
            <w:r w:rsidRPr="003F6252">
              <w:rPr>
                <w:sz w:val="14"/>
                <w:szCs w:val="14"/>
              </w:rPr>
              <w:t>Règlement</w:t>
            </w:r>
            <w:proofErr w:type="spellEnd"/>
            <w:r w:rsidRPr="003F6252">
              <w:rPr>
                <w:sz w:val="14"/>
                <w:szCs w:val="14"/>
              </w:rPr>
              <w:t xml:space="preserve"> sur la </w:t>
            </w:r>
            <w:proofErr w:type="spellStart"/>
            <w:r w:rsidRPr="003F6252">
              <w:rPr>
                <w:sz w:val="14"/>
                <w:szCs w:val="14"/>
              </w:rPr>
              <w:t>qualité</w:t>
            </w:r>
            <w:proofErr w:type="spellEnd"/>
            <w:r w:rsidRPr="003F6252">
              <w:rPr>
                <w:sz w:val="14"/>
                <w:szCs w:val="14"/>
              </w:rPr>
              <w:t xml:space="preserve"> du milieu de travail, requires hot environments to be monitored using WBGT index and adhere to TLVs similar to ACGIH standard</w:t>
            </w:r>
          </w:p>
        </w:tc>
        <w:tc>
          <w:tcPr>
            <w:tcW w:w="1890" w:type="dxa"/>
            <w:noWrap/>
            <w:vAlign w:val="top"/>
            <w:hideMark/>
          </w:tcPr>
          <w:p w14:paraId="59A11E09"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150A2B18" w14:textId="2A89ADA8"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Translated in English: </w:t>
            </w:r>
            <w:r w:rsidR="00DB23CF">
              <w:rPr>
                <w:sz w:val="14"/>
                <w:szCs w:val="14"/>
              </w:rPr>
              <w:t>“</w:t>
            </w:r>
            <w:r w:rsidRPr="003F6252">
              <w:rPr>
                <w:sz w:val="14"/>
                <w:szCs w:val="14"/>
              </w:rPr>
              <w:t>When individuals are to be exposed to temperatures above those indicated; the following conditions apply: The worker must be submitted to medical surveillance and it must be established that his heat tolerance is better than the average individual</w:t>
            </w:r>
            <w:r w:rsidR="00DB23CF">
              <w:rPr>
                <w:sz w:val="14"/>
                <w:szCs w:val="14"/>
              </w:rPr>
              <w:t>”</w:t>
            </w:r>
          </w:p>
        </w:tc>
      </w:tr>
      <w:tr w:rsidR="00663310" w:rsidRPr="00663310" w14:paraId="2D36610D"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933359D" w14:textId="77777777" w:rsidR="00663310" w:rsidRPr="003F6252" w:rsidRDefault="00663310" w:rsidP="00663310">
            <w:pPr>
              <w:pStyle w:val="TableLeft"/>
              <w:rPr>
                <w:sz w:val="14"/>
                <w:szCs w:val="14"/>
              </w:rPr>
            </w:pPr>
            <w:r w:rsidRPr="003F6252">
              <w:rPr>
                <w:sz w:val="14"/>
                <w:szCs w:val="14"/>
              </w:rPr>
              <w:t>New Brunswick</w:t>
            </w:r>
          </w:p>
        </w:tc>
        <w:tc>
          <w:tcPr>
            <w:tcW w:w="3240" w:type="dxa"/>
            <w:noWrap/>
            <w:vAlign w:val="top"/>
            <w:hideMark/>
          </w:tcPr>
          <w:p w14:paraId="3C9CC9D0" w14:textId="4C765860"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 xml:space="preserve">Section 22 to 23 of New Brunswick Occupational Health and Safety Act (O.C.91-1035) </w:t>
            </w:r>
            <w:r w:rsidR="00DB23CF">
              <w:rPr>
                <w:sz w:val="14"/>
                <w:szCs w:val="14"/>
              </w:rPr>
              <w:t>“</w:t>
            </w:r>
            <w:r w:rsidRPr="003F6252">
              <w:rPr>
                <w:sz w:val="14"/>
                <w:szCs w:val="14"/>
              </w:rPr>
              <w:t>employer shall ensure 1997 ACGIH standard (TLVs) is followed</w:t>
            </w:r>
            <w:r w:rsidR="00DB23CF">
              <w:rPr>
                <w:sz w:val="14"/>
                <w:szCs w:val="14"/>
              </w:rPr>
              <w:t>”</w:t>
            </w:r>
          </w:p>
        </w:tc>
        <w:tc>
          <w:tcPr>
            <w:tcW w:w="1890" w:type="dxa"/>
            <w:noWrap/>
            <w:vAlign w:val="top"/>
            <w:hideMark/>
          </w:tcPr>
          <w:p w14:paraId="65F6FB1D"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F0C7D79" w14:textId="4CBECB5C"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Ensure a competent person instructs employee in significance of heat stress symptoms and in precautions to be taken to avoid injury</w:t>
            </w:r>
            <w:r>
              <w:rPr>
                <w:sz w:val="14"/>
                <w:szCs w:val="14"/>
              </w:rPr>
              <w:t>”</w:t>
            </w:r>
          </w:p>
        </w:tc>
      </w:tr>
      <w:tr w:rsidR="00663310" w:rsidRPr="00663310" w14:paraId="556C048A"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A35FE40" w14:textId="77777777" w:rsidR="00663310" w:rsidRPr="003F6252" w:rsidRDefault="00663310" w:rsidP="00663310">
            <w:pPr>
              <w:pStyle w:val="TableLeft"/>
              <w:rPr>
                <w:sz w:val="14"/>
                <w:szCs w:val="14"/>
              </w:rPr>
            </w:pPr>
            <w:r w:rsidRPr="003F6252">
              <w:rPr>
                <w:sz w:val="14"/>
                <w:szCs w:val="14"/>
              </w:rPr>
              <w:t>Prince Edward Island</w:t>
            </w:r>
          </w:p>
        </w:tc>
        <w:tc>
          <w:tcPr>
            <w:tcW w:w="3240" w:type="dxa"/>
            <w:noWrap/>
            <w:vAlign w:val="top"/>
            <w:hideMark/>
          </w:tcPr>
          <w:p w14:paraId="24679E84"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Prince Edward Island Occupational Health and Safety Regulation 42.1 legislatively requires that 2006 ACGIH standard (TLVs) is followed</w:t>
            </w:r>
          </w:p>
        </w:tc>
        <w:tc>
          <w:tcPr>
            <w:tcW w:w="1890" w:type="dxa"/>
            <w:noWrap/>
            <w:vAlign w:val="top"/>
            <w:hideMark/>
          </w:tcPr>
          <w:p w14:paraId="3638E97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40609CCC" w14:textId="55E7E9E5"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 xml:space="preserve">Where there is a risk of injury or illness from heat, employer is required to take </w:t>
            </w:r>
            <w:r w:rsidR="00DB23CF">
              <w:rPr>
                <w:sz w:val="14"/>
                <w:szCs w:val="14"/>
              </w:rPr>
              <w:t>“</w:t>
            </w:r>
            <w:r w:rsidRPr="003F6252">
              <w:rPr>
                <w:sz w:val="14"/>
                <w:szCs w:val="14"/>
              </w:rPr>
              <w:t>every reasonable precaution to ensure worker safety</w:t>
            </w:r>
            <w:r w:rsidR="00DB23CF">
              <w:rPr>
                <w:sz w:val="14"/>
                <w:szCs w:val="14"/>
              </w:rPr>
              <w:t>”</w:t>
            </w:r>
            <w:r w:rsidRPr="003F6252">
              <w:rPr>
                <w:sz w:val="14"/>
                <w:szCs w:val="14"/>
              </w:rPr>
              <w:t xml:space="preserve"> including management plan to minimize health risk, writing procedures, and provide equipment and training workers in preventative measures</w:t>
            </w:r>
          </w:p>
        </w:tc>
      </w:tr>
      <w:tr w:rsidR="00663310" w:rsidRPr="00663310" w14:paraId="0EB8E434"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BF71872" w14:textId="77777777" w:rsidR="00663310" w:rsidRPr="003F6252" w:rsidRDefault="00663310" w:rsidP="00663310">
            <w:pPr>
              <w:pStyle w:val="TableLeft"/>
              <w:rPr>
                <w:sz w:val="14"/>
                <w:szCs w:val="14"/>
              </w:rPr>
            </w:pPr>
            <w:r w:rsidRPr="003F6252">
              <w:rPr>
                <w:sz w:val="14"/>
                <w:szCs w:val="14"/>
              </w:rPr>
              <w:t>Nova Scotia</w:t>
            </w:r>
          </w:p>
        </w:tc>
        <w:tc>
          <w:tcPr>
            <w:tcW w:w="3240" w:type="dxa"/>
            <w:noWrap/>
            <w:vAlign w:val="top"/>
            <w:hideMark/>
          </w:tcPr>
          <w:p w14:paraId="41719FF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Nova Scotia Occupational Health Regulations for Construction states occupational exposure limits in the heat must adhere to values similar to ACGIH standard (TLVs)</w:t>
            </w:r>
          </w:p>
        </w:tc>
        <w:tc>
          <w:tcPr>
            <w:tcW w:w="1890" w:type="dxa"/>
            <w:noWrap/>
            <w:vAlign w:val="top"/>
            <w:hideMark/>
          </w:tcPr>
          <w:p w14:paraId="3F1366D5"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Construction</w:t>
            </w:r>
          </w:p>
        </w:tc>
        <w:tc>
          <w:tcPr>
            <w:tcW w:w="3348" w:type="dxa"/>
            <w:noWrap/>
            <w:vAlign w:val="top"/>
            <w:hideMark/>
          </w:tcPr>
          <w:p w14:paraId="665CBC83"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Suggests administrative and engineering controls</w:t>
            </w:r>
          </w:p>
        </w:tc>
      </w:tr>
      <w:tr w:rsidR="00663310" w:rsidRPr="00663310" w14:paraId="4509B9FD"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661766F8" w14:textId="77777777" w:rsidR="00663310" w:rsidRPr="003F6252" w:rsidRDefault="00663310" w:rsidP="00663310">
            <w:pPr>
              <w:pStyle w:val="TableLeft"/>
              <w:rPr>
                <w:sz w:val="14"/>
                <w:szCs w:val="14"/>
              </w:rPr>
            </w:pPr>
            <w:r w:rsidRPr="003F6252">
              <w:rPr>
                <w:sz w:val="14"/>
                <w:szCs w:val="14"/>
              </w:rPr>
              <w:t>Newfoundland and Labrador</w:t>
            </w:r>
          </w:p>
        </w:tc>
        <w:tc>
          <w:tcPr>
            <w:tcW w:w="3240" w:type="dxa"/>
            <w:noWrap/>
            <w:vAlign w:val="top"/>
            <w:hideMark/>
          </w:tcPr>
          <w:p w14:paraId="2AD62E42"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Section10 of the Occupational Health and Safety Act of the Consolidated Newfoundland Regulation (1165/96) requires workplace conditions of a thermal environment which are reasonable and consistent with degree of work as established by latest ACGIH standard (TLVs)</w:t>
            </w:r>
          </w:p>
        </w:tc>
        <w:tc>
          <w:tcPr>
            <w:tcW w:w="1890" w:type="dxa"/>
            <w:noWrap/>
            <w:vAlign w:val="top"/>
            <w:hideMark/>
          </w:tcPr>
          <w:p w14:paraId="75B95E9C"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All workplaces</w:t>
            </w:r>
          </w:p>
        </w:tc>
        <w:tc>
          <w:tcPr>
            <w:tcW w:w="3348" w:type="dxa"/>
            <w:noWrap/>
            <w:vAlign w:val="top"/>
            <w:hideMark/>
          </w:tcPr>
          <w:p w14:paraId="636F6F32" w14:textId="05D5D18D"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Shall make further provisions for health and safety and reasonable thermal comfort of workers.</w:t>
            </w:r>
            <w:r>
              <w:rPr>
                <w:sz w:val="14"/>
                <w:szCs w:val="14"/>
              </w:rPr>
              <w:t>”</w:t>
            </w:r>
            <w:r w:rsidR="00663310" w:rsidRPr="003F6252">
              <w:rPr>
                <w:sz w:val="14"/>
                <w:szCs w:val="14"/>
              </w:rPr>
              <w:t xml:space="preserve"> Suggests administrative and engineering controls, and protective clothing</w:t>
            </w:r>
          </w:p>
        </w:tc>
      </w:tr>
      <w:tr w:rsidR="00663310" w:rsidRPr="00663310" w14:paraId="6C7646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2130FD2C" w14:textId="77777777" w:rsidR="00663310" w:rsidRPr="003F6252" w:rsidRDefault="00663310" w:rsidP="00663310">
            <w:pPr>
              <w:pStyle w:val="TableLeft"/>
              <w:rPr>
                <w:sz w:val="14"/>
                <w:szCs w:val="14"/>
              </w:rPr>
            </w:pPr>
            <w:r w:rsidRPr="003F6252">
              <w:rPr>
                <w:sz w:val="14"/>
                <w:szCs w:val="14"/>
              </w:rPr>
              <w:t>Yukon Territory</w:t>
            </w:r>
          </w:p>
        </w:tc>
        <w:tc>
          <w:tcPr>
            <w:tcW w:w="3240" w:type="dxa"/>
            <w:noWrap/>
            <w:vAlign w:val="top"/>
            <w:hideMark/>
          </w:tcPr>
          <w:p w14:paraId="6F6D47C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 of the Yukon Occupational Health Regulations 2005, requires thermal conditions to be reasonable and appropriate to the nature of work. Suggests monitoring conditions but does not recommend specific method</w:t>
            </w:r>
          </w:p>
        </w:tc>
        <w:tc>
          <w:tcPr>
            <w:tcW w:w="1890" w:type="dxa"/>
            <w:noWrap/>
            <w:vAlign w:val="top"/>
            <w:hideMark/>
          </w:tcPr>
          <w:p w14:paraId="4E68032C"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Indoor workplaces</w:t>
            </w:r>
          </w:p>
        </w:tc>
        <w:tc>
          <w:tcPr>
            <w:tcW w:w="3348" w:type="dxa"/>
            <w:noWrap/>
            <w:vAlign w:val="top"/>
            <w:hideMark/>
          </w:tcPr>
          <w:p w14:paraId="074E9351" w14:textId="338F110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Provide effective protection for the health and safety and reasonable thermal comfort of workers.</w:t>
            </w:r>
            <w:r>
              <w:rPr>
                <w:sz w:val="14"/>
                <w:szCs w:val="14"/>
              </w:rPr>
              <w:t>”</w:t>
            </w:r>
            <w:r w:rsidR="00663310" w:rsidRPr="003F6252">
              <w:rPr>
                <w:sz w:val="14"/>
                <w:szCs w:val="14"/>
              </w:rPr>
              <w:t xml:space="preserve"> Suggests administrative and engineering controls, acclimatization and protective clothing</w:t>
            </w:r>
          </w:p>
        </w:tc>
      </w:tr>
      <w:tr w:rsidR="00663310" w:rsidRPr="00663310" w14:paraId="3DEE3AAE" w14:textId="77777777" w:rsidTr="00906FF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1070AA3D" w14:textId="77777777" w:rsidR="00663310" w:rsidRPr="003F6252" w:rsidRDefault="00663310" w:rsidP="00663310">
            <w:pPr>
              <w:pStyle w:val="TableLeft"/>
              <w:rPr>
                <w:sz w:val="14"/>
                <w:szCs w:val="14"/>
              </w:rPr>
            </w:pPr>
            <w:r w:rsidRPr="003F6252">
              <w:rPr>
                <w:sz w:val="14"/>
                <w:szCs w:val="14"/>
              </w:rPr>
              <w:t>Northwest Territories</w:t>
            </w:r>
          </w:p>
        </w:tc>
        <w:tc>
          <w:tcPr>
            <w:tcW w:w="3240" w:type="dxa"/>
            <w:noWrap/>
            <w:vAlign w:val="top"/>
            <w:hideMark/>
          </w:tcPr>
          <w:p w14:paraId="4D3F9C2F"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Section 9.60 of Revised Regulations of the Northwest Territories 1990, requires hot environments be monitored. Requires adherence to 1994-1995 ACGIH standard (TLVs)</w:t>
            </w:r>
          </w:p>
        </w:tc>
        <w:tc>
          <w:tcPr>
            <w:tcW w:w="1890" w:type="dxa"/>
            <w:noWrap/>
            <w:vAlign w:val="top"/>
            <w:hideMark/>
          </w:tcPr>
          <w:p w14:paraId="1C578F7E" w14:textId="77777777" w:rsidR="00663310" w:rsidRPr="003F6252" w:rsidRDefault="00663310"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66289523" w14:textId="0FB53881" w:rsidR="00663310" w:rsidRPr="003F6252" w:rsidRDefault="00DB23CF" w:rsidP="00663310">
            <w:pPr>
              <w:pStyle w:val="TableLeft"/>
              <w:cnfStyle w:val="000000010000" w:firstRow="0" w:lastRow="0" w:firstColumn="0" w:lastColumn="0" w:oddVBand="0" w:evenVBand="0" w:oddHBand="0" w:evenHBand="1"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r w:rsidR="00663310" w:rsidRPr="00663310" w14:paraId="0FAD7137" w14:textId="77777777" w:rsidTr="00906F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98" w:type="dxa"/>
            <w:noWrap/>
            <w:vAlign w:val="top"/>
            <w:hideMark/>
          </w:tcPr>
          <w:p w14:paraId="774DEC51" w14:textId="77777777" w:rsidR="00663310" w:rsidRPr="003F6252" w:rsidRDefault="00663310" w:rsidP="00663310">
            <w:pPr>
              <w:pStyle w:val="TableLeft"/>
              <w:rPr>
                <w:sz w:val="14"/>
                <w:szCs w:val="14"/>
              </w:rPr>
            </w:pPr>
            <w:r w:rsidRPr="003F6252">
              <w:rPr>
                <w:sz w:val="14"/>
                <w:szCs w:val="14"/>
              </w:rPr>
              <w:t>Nunavut</w:t>
            </w:r>
          </w:p>
        </w:tc>
        <w:tc>
          <w:tcPr>
            <w:tcW w:w="3240" w:type="dxa"/>
            <w:noWrap/>
            <w:vAlign w:val="top"/>
            <w:hideMark/>
          </w:tcPr>
          <w:p w14:paraId="036FC7BB" w14:textId="13EE7AD3"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Section 9.60 of Nunavut Mine Health and Safety Act, Mine Health and Safety Regulations 2003, requires hot environments be monitored. Requires adherence to1994</w:t>
            </w:r>
            <w:r w:rsidR="00F76892">
              <w:rPr>
                <w:sz w:val="14"/>
                <w:szCs w:val="14"/>
              </w:rPr>
              <w:t>–</w:t>
            </w:r>
            <w:r w:rsidRPr="003F6252">
              <w:rPr>
                <w:sz w:val="14"/>
                <w:szCs w:val="14"/>
              </w:rPr>
              <w:t>1995 ACGIH standard (TLVs)</w:t>
            </w:r>
          </w:p>
        </w:tc>
        <w:tc>
          <w:tcPr>
            <w:tcW w:w="1890" w:type="dxa"/>
            <w:noWrap/>
            <w:vAlign w:val="top"/>
            <w:hideMark/>
          </w:tcPr>
          <w:p w14:paraId="724DFE6A" w14:textId="77777777" w:rsidR="00663310" w:rsidRPr="003F6252" w:rsidRDefault="00663310"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sidRPr="003F6252">
              <w:rPr>
                <w:sz w:val="14"/>
                <w:szCs w:val="14"/>
              </w:rPr>
              <w:t>Underground mines</w:t>
            </w:r>
          </w:p>
        </w:tc>
        <w:tc>
          <w:tcPr>
            <w:tcW w:w="3348" w:type="dxa"/>
            <w:noWrap/>
            <w:vAlign w:val="top"/>
            <w:hideMark/>
          </w:tcPr>
          <w:p w14:paraId="35260C2A" w14:textId="14C728A0" w:rsidR="00663310" w:rsidRPr="003F6252" w:rsidRDefault="00DB23CF" w:rsidP="00663310">
            <w:pPr>
              <w:pStyle w:val="TableLeft"/>
              <w:cnfStyle w:val="000000100000" w:firstRow="0" w:lastRow="0" w:firstColumn="0" w:lastColumn="0" w:oddVBand="0" w:evenVBand="0" w:oddHBand="1" w:evenHBand="0" w:firstRowFirstColumn="0" w:firstRowLastColumn="0" w:lastRowFirstColumn="0" w:lastRowLastColumn="0"/>
              <w:rPr>
                <w:sz w:val="14"/>
                <w:szCs w:val="14"/>
              </w:rPr>
            </w:pPr>
            <w:r>
              <w:rPr>
                <w:sz w:val="14"/>
                <w:szCs w:val="14"/>
              </w:rPr>
              <w:t>“</w:t>
            </w:r>
            <w:r w:rsidR="00663310" w:rsidRPr="003F6252">
              <w:rPr>
                <w:sz w:val="14"/>
                <w:szCs w:val="14"/>
              </w:rPr>
              <w:t>Manager shall institute a program</w:t>
            </w:r>
            <w:r>
              <w:rPr>
                <w:sz w:val="14"/>
                <w:szCs w:val="14"/>
              </w:rPr>
              <w:t>”</w:t>
            </w:r>
            <w:r w:rsidR="00663310" w:rsidRPr="003F6252">
              <w:rPr>
                <w:sz w:val="14"/>
                <w:szCs w:val="14"/>
              </w:rPr>
              <w:t xml:space="preserve"> including informing and training employees for recognizing symptoms. Protective measures are also required to </w:t>
            </w:r>
            <w:r>
              <w:rPr>
                <w:sz w:val="14"/>
                <w:szCs w:val="14"/>
              </w:rPr>
              <w:t>“</w:t>
            </w:r>
            <w:r w:rsidR="00663310" w:rsidRPr="003F6252">
              <w:rPr>
                <w:sz w:val="14"/>
                <w:szCs w:val="14"/>
              </w:rPr>
              <w:t>adequately protect employees</w:t>
            </w:r>
            <w:r>
              <w:rPr>
                <w:sz w:val="14"/>
                <w:szCs w:val="14"/>
              </w:rPr>
              <w:t>”</w:t>
            </w:r>
          </w:p>
        </w:tc>
      </w:tr>
    </w:tbl>
    <w:p w14:paraId="10213561" w14:textId="6D77F6D8" w:rsidR="009E3D18" w:rsidRPr="009E3D18" w:rsidRDefault="009E3D18" w:rsidP="009E3D18">
      <w:pPr>
        <w:pStyle w:val="Asterisks"/>
      </w:pPr>
      <w:r>
        <w:t>Source: Jay and Kenny. p. 847, Table III.</w:t>
      </w:r>
    </w:p>
    <w:p w14:paraId="2F38990B" w14:textId="51B19BC5" w:rsidR="0055085C" w:rsidRPr="002F64A6" w:rsidRDefault="0055085C" w:rsidP="0055085C">
      <w:pPr>
        <w:pStyle w:val="Caption"/>
      </w:pPr>
      <w:bookmarkStart w:id="51" w:name="_Ref515982683"/>
      <w:r w:rsidRPr="002F64A6">
        <w:lastRenderedPageBreak/>
        <w:t xml:space="preserve">Figure </w:t>
      </w:r>
      <w:r w:rsidR="00E221DB">
        <w:fldChar w:fldCharType="begin"/>
      </w:r>
      <w:r w:rsidR="00E221DB">
        <w:instrText xml:space="preserve"> SEQ Figure \* ARABIC </w:instrText>
      </w:r>
      <w:r w:rsidR="00E221DB">
        <w:fldChar w:fldCharType="separate"/>
      </w:r>
      <w:r w:rsidR="00806F98">
        <w:rPr>
          <w:noProof/>
        </w:rPr>
        <w:t>7</w:t>
      </w:r>
      <w:r w:rsidR="00E221DB">
        <w:rPr>
          <w:noProof/>
        </w:rPr>
        <w:fldChar w:fldCharType="end"/>
      </w:r>
      <w:bookmarkEnd w:id="49"/>
      <w:bookmarkEnd w:id="51"/>
      <w:r w:rsidRPr="002F64A6">
        <w:t>. U.S. Navy PHEL curves</w:t>
      </w:r>
      <w:bookmarkEnd w:id="50"/>
    </w:p>
    <w:p w14:paraId="29540B2C" w14:textId="77777777" w:rsidR="0055085C" w:rsidRPr="002F64A6" w:rsidRDefault="0055085C" w:rsidP="0055085C">
      <w:r w:rsidRPr="002F64A6">
        <w:rPr>
          <w:noProof/>
        </w:rPr>
        <w:drawing>
          <wp:inline distT="0" distB="0" distL="0" distR="0" wp14:anchorId="04698B01" wp14:editId="6006699F">
            <wp:extent cx="5943600" cy="33293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329305"/>
                    </a:xfrm>
                    <a:prstGeom prst="rect">
                      <a:avLst/>
                    </a:prstGeom>
                  </pic:spPr>
                </pic:pic>
              </a:graphicData>
            </a:graphic>
          </wp:inline>
        </w:drawing>
      </w:r>
    </w:p>
    <w:p w14:paraId="183D581A" w14:textId="59FC92C9" w:rsidR="0055085C" w:rsidRPr="002F64A6" w:rsidRDefault="0055085C" w:rsidP="00964699">
      <w:pPr>
        <w:pStyle w:val="Asterisks"/>
        <w:ind w:left="540" w:right="360"/>
      </w:pPr>
      <w:r w:rsidRPr="002F64A6">
        <w:t xml:space="preserve">Source: </w:t>
      </w:r>
      <w:r w:rsidR="00534ABA" w:rsidRPr="00534ABA">
        <w:t>Manual of Naval Preventive Medicine. Department of the Navy. NAVMED P-5010-3 (Rev. 2-2009)</w:t>
      </w:r>
      <w:r w:rsidR="00534ABA">
        <w:t>.</w:t>
      </w:r>
      <w:r w:rsidRPr="002F64A6">
        <w:t xml:space="preserve"> p. 3-17, Figure 3-5.</w:t>
      </w:r>
    </w:p>
    <w:p w14:paraId="1EFBC256" w14:textId="77777777" w:rsidR="0055085C" w:rsidRPr="002F64A6" w:rsidRDefault="0055085C"/>
    <w:p w14:paraId="76B7F338" w14:textId="1C43DCCC" w:rsidR="00D34767" w:rsidRPr="002F64A6" w:rsidRDefault="00D34767" w:rsidP="00D34767">
      <w:pPr>
        <w:pStyle w:val="Caption"/>
      </w:pPr>
      <w:bookmarkStart w:id="52" w:name="_Ref514867648"/>
      <w:r w:rsidRPr="002F64A6">
        <w:lastRenderedPageBreak/>
        <w:t xml:space="preserve">Table </w:t>
      </w:r>
      <w:r w:rsidR="00E221DB">
        <w:fldChar w:fldCharType="begin"/>
      </w:r>
      <w:r w:rsidR="00E221DB">
        <w:instrText xml:space="preserve"> SEQ Table \* ARABIC </w:instrText>
      </w:r>
      <w:r w:rsidR="00E221DB">
        <w:fldChar w:fldCharType="separate"/>
      </w:r>
      <w:r w:rsidR="00806F98">
        <w:rPr>
          <w:noProof/>
        </w:rPr>
        <w:t>10</w:t>
      </w:r>
      <w:r w:rsidR="00E221DB">
        <w:rPr>
          <w:noProof/>
        </w:rPr>
        <w:fldChar w:fldCharType="end"/>
      </w:r>
      <w:bookmarkEnd w:id="52"/>
      <w:r w:rsidRPr="002F64A6">
        <w:t>. U.S. Navy PHEL time limits for PHEL curves I-VI without the</w:t>
      </w:r>
      <w:r w:rsidRPr="002F64A6">
        <w:br/>
        <w:t>presence of fuel combustion gases/fuel vapors</w:t>
      </w:r>
    </w:p>
    <w:p w14:paraId="710EE4CE" w14:textId="0555C856" w:rsidR="0055085C" w:rsidRDefault="00D34767" w:rsidP="00D34767">
      <w:pPr>
        <w:jc w:val="center"/>
      </w:pPr>
      <w:r w:rsidRPr="002F64A6">
        <w:rPr>
          <w:noProof/>
        </w:rPr>
        <w:drawing>
          <wp:inline distT="0" distB="0" distL="0" distR="0" wp14:anchorId="46F34443" wp14:editId="23DA3BF0">
            <wp:extent cx="5280371" cy="7727153"/>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85267" cy="7734318"/>
                    </a:xfrm>
                    <a:prstGeom prst="rect">
                      <a:avLst/>
                    </a:prstGeom>
                  </pic:spPr>
                </pic:pic>
              </a:graphicData>
            </a:graphic>
          </wp:inline>
        </w:drawing>
      </w:r>
    </w:p>
    <w:sectPr w:rsidR="0055085C" w:rsidSect="000021E8">
      <w:headerReference w:type="default" r:id="rId20"/>
      <w:footerReference w:type="default" r:id="rId21"/>
      <w:headerReference w:type="first" r:id="rId22"/>
      <w:endnotePr>
        <w:numFmt w:val="decimal"/>
      </w:endnotePr>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E387D" w14:textId="77777777" w:rsidR="00E221DB" w:rsidRDefault="00E221DB" w:rsidP="00ED710D">
      <w:pPr>
        <w:spacing w:after="0"/>
      </w:pPr>
      <w:r>
        <w:separator/>
      </w:r>
    </w:p>
  </w:endnote>
  <w:endnote w:type="continuationSeparator" w:id="0">
    <w:p w14:paraId="6ECAEC99" w14:textId="77777777" w:rsidR="00E221DB" w:rsidRDefault="00E221DB" w:rsidP="00ED7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956458"/>
      <w:docPartObj>
        <w:docPartGallery w:val="Page Numbers (Bottom of Page)"/>
        <w:docPartUnique/>
      </w:docPartObj>
    </w:sdtPr>
    <w:sdtEndPr>
      <w:rPr>
        <w:noProof/>
      </w:rPr>
    </w:sdtEndPr>
    <w:sdtContent>
      <w:p w14:paraId="003B57B6" w14:textId="77777777" w:rsidR="0061738E" w:rsidRDefault="0061738E">
        <w:pPr>
          <w:pStyle w:val="Footer"/>
          <w:jc w:val="center"/>
        </w:pPr>
        <w:r>
          <w:fldChar w:fldCharType="begin"/>
        </w:r>
        <w:r>
          <w:instrText xml:space="preserve"> PAGE   \* MERGEFORMAT </w:instrText>
        </w:r>
        <w:r>
          <w:fldChar w:fldCharType="separate"/>
        </w:r>
        <w:r w:rsidR="00806F98">
          <w:rPr>
            <w:noProof/>
          </w:rPr>
          <w:t>34</w:t>
        </w:r>
        <w:r>
          <w:rPr>
            <w:noProof/>
          </w:rPr>
          <w:fldChar w:fldCharType="end"/>
        </w:r>
      </w:p>
    </w:sdtContent>
  </w:sdt>
  <w:p w14:paraId="7FA08EF8" w14:textId="77777777" w:rsidR="0061738E" w:rsidRDefault="00617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392C" w14:textId="77777777" w:rsidR="00E221DB" w:rsidRDefault="00E221DB" w:rsidP="00ED710D">
      <w:pPr>
        <w:spacing w:after="0"/>
      </w:pPr>
      <w:r>
        <w:separator/>
      </w:r>
    </w:p>
  </w:footnote>
  <w:footnote w:type="continuationSeparator" w:id="0">
    <w:p w14:paraId="25AB2562" w14:textId="77777777" w:rsidR="00E221DB" w:rsidRDefault="00E221DB" w:rsidP="00ED710D">
      <w:pPr>
        <w:spacing w:after="0"/>
      </w:pPr>
      <w:r>
        <w:continuationSeparator/>
      </w:r>
    </w:p>
  </w:footnote>
  <w:footnote w:id="1">
    <w:p w14:paraId="172C171F" w14:textId="0585193C" w:rsidR="00C77637" w:rsidRPr="006D7F24" w:rsidRDefault="00C77637">
      <w:pPr>
        <w:pStyle w:val="FootnoteText"/>
      </w:pPr>
      <w:r w:rsidRPr="006D7F24">
        <w:rPr>
          <w:rStyle w:val="FootnoteReference"/>
        </w:rPr>
        <w:footnoteRef/>
      </w:r>
      <w:r w:rsidRPr="006D7F24">
        <w:t xml:space="preserve"> </w:t>
      </w:r>
      <w:r w:rsidRPr="006D7F24">
        <w:rPr>
          <w:rFonts w:asciiTheme="majorBidi" w:hAnsiTheme="majorBidi" w:cstheme="majorBidi"/>
        </w:rPr>
        <w:t xml:space="preserve">NIOSH [2016]. NIOSH criteria for a recommended standard: occupational exposure to heat and hot environments. By </w:t>
      </w:r>
      <w:proofErr w:type="spellStart"/>
      <w:r w:rsidRPr="006D7F24">
        <w:rPr>
          <w:rFonts w:asciiTheme="majorBidi" w:hAnsiTheme="majorBidi" w:cstheme="majorBidi"/>
        </w:rPr>
        <w:t>Jacklitsch</w:t>
      </w:r>
      <w:proofErr w:type="spellEnd"/>
      <w:r w:rsidRPr="006D7F24">
        <w:rPr>
          <w:rFonts w:asciiTheme="majorBidi" w:hAnsiTheme="majorBidi" w:cstheme="majorBidi"/>
        </w:rPr>
        <w:t xml:space="preserve"> B, Williams WJ, </w:t>
      </w:r>
      <w:proofErr w:type="spellStart"/>
      <w:r w:rsidRPr="006D7F24">
        <w:rPr>
          <w:rFonts w:asciiTheme="majorBidi" w:hAnsiTheme="majorBidi" w:cstheme="majorBidi"/>
        </w:rPr>
        <w:t>Musolin</w:t>
      </w:r>
      <w:proofErr w:type="spellEnd"/>
      <w:r w:rsidRPr="006D7F24">
        <w:rPr>
          <w:rFonts w:asciiTheme="majorBidi" w:hAnsiTheme="majorBidi" w:cstheme="majorBidi"/>
        </w:rPr>
        <w:t xml:space="preserve"> K, Coca A, Kim J-H, Turner N. Cincinnati, OH: U.S. Department of Health and Human Services, Centers for Disease Control and Prevention, National Institute for Occupational Safety and Health, DHHS (NIOSH) Publication 2016-106. </w:t>
      </w:r>
      <w:hyperlink r:id="rId1" w:history="1">
        <w:r w:rsidRPr="006D7F24">
          <w:rPr>
            <w:rStyle w:val="Hyperlink"/>
            <w:rFonts w:asciiTheme="majorBidi" w:hAnsiTheme="majorBidi" w:cstheme="majorBidi"/>
          </w:rPr>
          <w:t>https://www.cdc.gov/niosh/docs/2016-106/pdfs/2016-106.pdf</w:t>
        </w:r>
      </w:hyperlink>
      <w:r w:rsidRPr="006D7F24">
        <w:rPr>
          <w:rFonts w:asciiTheme="majorBidi" w:hAnsiTheme="majorBidi" w:cstheme="majorBidi"/>
        </w:rPr>
        <w:t xml:space="preserve">. Accessed March 12, 2018. </w:t>
      </w:r>
      <w:r w:rsidRPr="006D7F24">
        <w:rPr>
          <w:rFonts w:asciiTheme="majorBidi" w:hAnsiTheme="majorBidi" w:cstheme="majorBidi"/>
          <w:bCs/>
        </w:rPr>
        <w:t xml:space="preserve">Hereafter referred to as </w:t>
      </w:r>
      <w:r w:rsidR="00DB23CF">
        <w:rPr>
          <w:rFonts w:asciiTheme="majorBidi" w:hAnsiTheme="majorBidi" w:cstheme="majorBidi"/>
          <w:bCs/>
        </w:rPr>
        <w:t>“</w:t>
      </w:r>
      <w:r w:rsidRPr="006D7F24">
        <w:rPr>
          <w:rFonts w:asciiTheme="majorBidi" w:hAnsiTheme="majorBidi" w:cstheme="majorBidi"/>
          <w:bCs/>
        </w:rPr>
        <w:t>NIOSH 2016 Criteria Recommendations.</w:t>
      </w:r>
      <w:r w:rsidR="00DB23CF">
        <w:rPr>
          <w:rFonts w:asciiTheme="majorBidi" w:hAnsiTheme="majorBidi" w:cstheme="majorBidi"/>
          <w:bCs/>
        </w:rPr>
        <w:t>”</w:t>
      </w:r>
      <w:r w:rsidRPr="006D7F24">
        <w:rPr>
          <w:rFonts w:asciiTheme="majorBidi" w:hAnsiTheme="majorBidi" w:cstheme="majorBidi"/>
          <w:bCs/>
        </w:rPr>
        <w:t xml:space="preserve"> </w:t>
      </w:r>
      <w:r w:rsidRPr="006D7F24">
        <w:rPr>
          <w:rFonts w:asciiTheme="majorBidi" w:hAnsiTheme="majorBidi" w:cstheme="majorBidi"/>
        </w:rPr>
        <w:t>p. 96.</w:t>
      </w:r>
    </w:p>
  </w:footnote>
  <w:footnote w:id="2">
    <w:p w14:paraId="09BE777B" w14:textId="0F5F440F" w:rsidR="0061738E"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bCs/>
          <w:sz w:val="24"/>
          <w:szCs w:val="22"/>
        </w:rPr>
        <w:t xml:space="preserve"> </w:t>
      </w:r>
      <w:r w:rsidRPr="006D7F24">
        <w:rPr>
          <w:rFonts w:asciiTheme="majorBidi" w:hAnsiTheme="majorBidi" w:cstheme="majorBidi"/>
          <w:bCs/>
        </w:rPr>
        <w:t>NIOSH 2016 Criteria Recommendations</w:t>
      </w:r>
      <w:r w:rsidRPr="006D7F24">
        <w:rPr>
          <w:rFonts w:asciiTheme="majorBidi" w:hAnsiTheme="majorBidi" w:cstheme="majorBidi"/>
        </w:rPr>
        <w:t>.</w:t>
      </w:r>
    </w:p>
  </w:footnote>
  <w:footnote w:id="3">
    <w:p w14:paraId="205670C5" w14:textId="6072BEB1"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YaleEnvironment360. It</w:t>
      </w:r>
      <w:r w:rsidR="00DB23CF">
        <w:rPr>
          <w:rFonts w:asciiTheme="majorBidi" w:hAnsiTheme="majorBidi" w:cstheme="majorBidi"/>
        </w:rPr>
        <w:t>’</w:t>
      </w:r>
      <w:r w:rsidRPr="006D7F24">
        <w:rPr>
          <w:rFonts w:asciiTheme="majorBidi" w:hAnsiTheme="majorBidi" w:cstheme="majorBidi"/>
        </w:rPr>
        <w:t xml:space="preserve">s Official: 2017 Was the Second Hottest Year on Record. E360 Digest. January 4, 2018. </w:t>
      </w:r>
      <w:hyperlink r:id="rId2" w:history="1">
        <w:r w:rsidRPr="006D7F24">
          <w:rPr>
            <w:rStyle w:val="Hyperlink"/>
            <w:rFonts w:asciiTheme="majorBidi" w:hAnsiTheme="majorBidi" w:cstheme="majorBidi"/>
          </w:rPr>
          <w:t>https://e360.yale.edu/digest/its-official-2017-was-the-second-hottest-year-on-record</w:t>
        </w:r>
      </w:hyperlink>
      <w:r w:rsidRPr="006D7F24">
        <w:rPr>
          <w:rFonts w:asciiTheme="majorBidi" w:hAnsiTheme="majorBidi" w:cstheme="majorBidi"/>
        </w:rPr>
        <w:t>. Accessed March 14, 2018.</w:t>
      </w:r>
    </w:p>
  </w:footnote>
  <w:footnote w:id="4">
    <w:p w14:paraId="2F30F3AF" w14:textId="77777777" w:rsidR="00C77637" w:rsidRPr="006D7F24" w:rsidRDefault="00C77637" w:rsidP="00ED710D">
      <w:pPr>
        <w:pStyle w:val="FootnoteText"/>
      </w:pPr>
      <w:r w:rsidRPr="006D7F24">
        <w:rPr>
          <w:rStyle w:val="FootnoteReference"/>
        </w:rPr>
        <w:footnoteRef/>
      </w:r>
      <w:r w:rsidRPr="006D7F24">
        <w:t xml:space="preserve"> Henry Fountain, </w:t>
      </w:r>
      <w:proofErr w:type="spellStart"/>
      <w:r w:rsidRPr="006D7F24">
        <w:t>Jugal</w:t>
      </w:r>
      <w:proofErr w:type="spellEnd"/>
      <w:r w:rsidRPr="006D7F24">
        <w:t xml:space="preserve"> K. Patel &amp; Nadja Popovich. 2017 Was One of the Hottest Years on</w:t>
      </w:r>
    </w:p>
    <w:p w14:paraId="04014A4F" w14:textId="77777777" w:rsidR="00C77637" w:rsidRPr="006D7F24" w:rsidRDefault="00C77637" w:rsidP="00ED710D">
      <w:pPr>
        <w:pStyle w:val="FootnoteText"/>
      </w:pPr>
      <w:r w:rsidRPr="006D7F24">
        <w:t xml:space="preserve">Record. And That Was Without El Niño. New York Times. January 18, 2018. </w:t>
      </w:r>
      <w:hyperlink r:id="rId3" w:history="1">
        <w:r w:rsidRPr="006D7F24">
          <w:rPr>
            <w:rStyle w:val="Hyperlink"/>
          </w:rPr>
          <w:t>https://www.nytimes.com/interactive/2018/01/18/climate/hottest-year-2017.html</w:t>
        </w:r>
      </w:hyperlink>
      <w:r w:rsidRPr="006D7F24">
        <w:t xml:space="preserve">. Accessed April 4, 2018. The record of global-scale instrumental temperature observations begins in the mid-1800s, and diverse sets of </w:t>
      </w:r>
    </w:p>
    <w:p w14:paraId="408C61FC" w14:textId="77777777" w:rsidR="00C77637" w:rsidRPr="006D7F24" w:rsidRDefault="00C77637" w:rsidP="00ED710D">
      <w:pPr>
        <w:pStyle w:val="FootnoteText"/>
      </w:pPr>
      <w:r w:rsidRPr="006D7F24">
        <w:t>observations are available beginning in 1950. IPCC, 2013: Climate Change 2013: The Physical Science Basis. Contribution of Working Group I to the Fifth Assessment Report of the Intergovernmental Panel on Climate Change. T.F. Stocker, et al., eds. p.4.</w:t>
      </w:r>
    </w:p>
  </w:footnote>
  <w:footnote w:id="5">
    <w:p w14:paraId="6497DD9B" w14:textId="4774EF81" w:rsidR="00C77637" w:rsidRPr="006D7F24" w:rsidRDefault="00C77637" w:rsidP="00ED710D">
      <w:pPr>
        <w:pStyle w:val="FootnoteText"/>
      </w:pPr>
      <w:r w:rsidRPr="006D7F24">
        <w:rPr>
          <w:rStyle w:val="FootnoteReference"/>
        </w:rPr>
        <w:footnoteRef/>
      </w:r>
      <w:r w:rsidRPr="006D7F24">
        <w:t xml:space="preserve"> Mora et al. 2017. Global risk of deadly heat. Nature Climate Change. 7:501–506. (Figure 3 on p. 503). For an interactive map of deadly heat projections, see </w:t>
      </w:r>
      <w:hyperlink r:id="rId4" w:history="1">
        <w:r w:rsidRPr="006D7F24">
          <w:rPr>
            <w:rStyle w:val="Hyperlink"/>
          </w:rPr>
          <w:t>https://maps.esri.com/globalriskofdeadlyheat/#</w:t>
        </w:r>
      </w:hyperlink>
      <w:r w:rsidRPr="006D7F24">
        <w:t xml:space="preserve">. </w:t>
      </w:r>
    </w:p>
  </w:footnote>
  <w:footnote w:id="6">
    <w:p w14:paraId="311D7414" w14:textId="6FFD4DBB"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Labor Statistics. Occupational Injuries/Illnesses and Fatal Injuries Profiles. </w:t>
      </w:r>
      <w:hyperlink r:id="rId5" w:history="1">
        <w:r w:rsidRPr="006D7F24">
          <w:rPr>
            <w:rStyle w:val="Hyperlink"/>
            <w:rFonts w:asciiTheme="majorBidi" w:hAnsiTheme="majorBidi" w:cstheme="majorBidi"/>
          </w:rPr>
          <w:t>https://data.bls.gov/gqt/InitialPage</w:t>
        </w:r>
      </w:hyperlink>
      <w:r w:rsidRPr="006D7F24">
        <w:rPr>
          <w:rFonts w:asciiTheme="majorBidi" w:hAnsiTheme="majorBidi" w:cstheme="majorBidi"/>
        </w:rPr>
        <w:t>. Accessed March 6, 2018. Serious injuries are defined as those resulting in at least one day away from work.</w:t>
      </w:r>
    </w:p>
  </w:footnote>
  <w:footnote w:id="7">
    <w:p w14:paraId="51FAE4E7" w14:textId="1C76D8B0"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Workers face </w:t>
      </w:r>
      <w:r w:rsidR="00DB23CF">
        <w:rPr>
          <w:rFonts w:asciiTheme="majorBidi" w:hAnsiTheme="majorBidi" w:cstheme="majorBidi"/>
        </w:rPr>
        <w:t>‘</w:t>
      </w:r>
      <w:r w:rsidRPr="006D7F24">
        <w:rPr>
          <w:rFonts w:asciiTheme="majorBidi" w:hAnsiTheme="majorBidi" w:cstheme="majorBidi"/>
        </w:rPr>
        <w:t>epidemic of heat-related injuries</w:t>
      </w:r>
      <w:r w:rsidR="00DB23CF">
        <w:rPr>
          <w:rFonts w:asciiTheme="majorBidi" w:hAnsiTheme="majorBidi" w:cstheme="majorBidi"/>
        </w:rPr>
        <w:t>’</w:t>
      </w:r>
      <w:r w:rsidRPr="006D7F24">
        <w:rPr>
          <w:rFonts w:asciiTheme="majorBidi" w:hAnsiTheme="majorBidi" w:cstheme="majorBidi"/>
        </w:rPr>
        <w:t xml:space="preserve"> due to climate change. The Guardian. April 28, 2016. </w:t>
      </w:r>
      <w:hyperlink r:id="rId6" w:history="1">
        <w:r w:rsidRPr="006D7F24">
          <w:rPr>
            <w:rStyle w:val="Hyperlink"/>
            <w:rFonts w:asciiTheme="majorBidi" w:hAnsiTheme="majorBidi" w:cstheme="majorBidi"/>
          </w:rPr>
          <w:t>https://www.theguardian.com/environment/2016/apr/28/workers-epidemic-heat-related-injuries-climate-change-un-report</w:t>
        </w:r>
      </w:hyperlink>
      <w:r w:rsidRPr="006D7F24">
        <w:rPr>
          <w:rFonts w:asciiTheme="majorBidi" w:hAnsiTheme="majorBidi" w:cstheme="majorBidi"/>
        </w:rPr>
        <w:t>. Accessed March 14, 2018.</w:t>
      </w:r>
    </w:p>
  </w:footnote>
  <w:footnote w:id="8">
    <w:p w14:paraId="212C5041" w14:textId="77777777" w:rsidR="00C77637" w:rsidRPr="006D7F24" w:rsidRDefault="00C77637" w:rsidP="00ED710D">
      <w:pPr>
        <w:pStyle w:val="FootnoteText"/>
      </w:pPr>
      <w:r w:rsidRPr="006D7F24">
        <w:rPr>
          <w:rStyle w:val="FootnoteReference"/>
        </w:rPr>
        <w:footnoteRef/>
      </w:r>
      <w:r w:rsidRPr="006D7F24">
        <w:t xml:space="preserve"> Jason Glaser et al. 2016. Climate change and the emergent epidemic of CKD from heat stress in rural communities: the case for heat stress nephropathy. </w:t>
      </w:r>
      <w:proofErr w:type="spellStart"/>
      <w:r w:rsidRPr="006D7F24">
        <w:t>Clin</w:t>
      </w:r>
      <w:proofErr w:type="spellEnd"/>
      <w:r w:rsidRPr="006D7F24">
        <w:t xml:space="preserve">. J. Am. Soc. </w:t>
      </w:r>
      <w:proofErr w:type="spellStart"/>
      <w:r w:rsidRPr="006D7F24">
        <w:t>Nephrol</w:t>
      </w:r>
      <w:proofErr w:type="spellEnd"/>
      <w:r w:rsidRPr="006D7F24">
        <w:t xml:space="preserve">. 11(8):1472. </w:t>
      </w:r>
      <w:hyperlink r:id="rId7" w:history="1">
        <w:r w:rsidRPr="006D7F24">
          <w:rPr>
            <w:rStyle w:val="Hyperlink"/>
          </w:rPr>
          <w:t>https://www.ncbi.nlm.nih.gov/pmc/articles/PMC4974898/</w:t>
        </w:r>
      </w:hyperlink>
      <w:r w:rsidRPr="006D7F24">
        <w:t>.</w:t>
      </w:r>
    </w:p>
  </w:footnote>
  <w:footnote w:id="9">
    <w:p w14:paraId="3C0F9B64" w14:textId="4D663E3A" w:rsidR="00C77637" w:rsidRPr="006D7F24" w:rsidRDefault="00C77637" w:rsidP="0032568A">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13</w:t>
      </w:r>
    </w:p>
  </w:footnote>
  <w:footnote w:id="10">
    <w:p w14:paraId="3DC913A2" w14:textId="288E40AE" w:rsidR="00C77637" w:rsidRPr="006D7F24" w:rsidRDefault="00C77637" w:rsidP="00B67F8B">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13.</w:t>
      </w:r>
    </w:p>
  </w:footnote>
  <w:footnote w:id="11">
    <w:p w14:paraId="1EEBB039" w14:textId="5868CA66" w:rsidR="00C77637" w:rsidRPr="006D7F24" w:rsidRDefault="00C77637" w:rsidP="00007B62">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27.</w:t>
      </w:r>
    </w:p>
  </w:footnote>
  <w:footnote w:id="12">
    <w:p w14:paraId="489FC9B5" w14:textId="2103FE09" w:rsidR="00C77637" w:rsidRPr="006D7F24" w:rsidRDefault="00C77637" w:rsidP="00E83DAC">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27.</w:t>
      </w:r>
    </w:p>
  </w:footnote>
  <w:footnote w:id="13">
    <w:p w14:paraId="5A146EED" w14:textId="6D737780" w:rsidR="00C77637" w:rsidRPr="006D7F24" w:rsidRDefault="00C77637" w:rsidP="009F0EC3">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28.</w:t>
      </w:r>
    </w:p>
  </w:footnote>
  <w:footnote w:id="14">
    <w:p w14:paraId="5CF05FC6" w14:textId="1B28ECDE"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Institute of Medicine of the National Academies. Dietary Reference Intakes: Water, Potassium, Sodium, Chloride, and Sulfate. Consensus Report. 2005. Figure C-1, p. 488. </w:t>
      </w:r>
      <w:hyperlink r:id="rId8" w:history="1">
        <w:r w:rsidRPr="006D7F24">
          <w:rPr>
            <w:rStyle w:val="Hyperlink"/>
            <w:rFonts w:asciiTheme="majorBidi" w:hAnsiTheme="majorBidi" w:cstheme="majorBidi"/>
          </w:rPr>
          <w:t>http://books.nap.edu/openbook.php?record_id=10925&amp;page=488</w:t>
        </w:r>
      </w:hyperlink>
      <w:r w:rsidRPr="006D7F24">
        <w:rPr>
          <w:rFonts w:asciiTheme="majorBidi" w:hAnsiTheme="majorBidi" w:cstheme="majorBidi"/>
        </w:rPr>
        <w:t>. Accessed March 17, 2018.</w:t>
      </w:r>
    </w:p>
  </w:footnote>
  <w:footnote w:id="15">
    <w:p w14:paraId="0C971B6E" w14:textId="01BC570D" w:rsidR="00C77637" w:rsidRPr="006D7F24" w:rsidRDefault="00C77637" w:rsidP="006E0868">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118.</w:t>
      </w:r>
    </w:p>
  </w:footnote>
  <w:footnote w:id="16">
    <w:p w14:paraId="1C03FF0A" w14:textId="6479EDB2"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Government of Australia. </w:t>
      </w:r>
      <w:proofErr w:type="spellStart"/>
      <w:r w:rsidRPr="006D7F24">
        <w:rPr>
          <w:rFonts w:asciiTheme="majorBidi" w:hAnsiTheme="majorBidi" w:cstheme="majorBidi"/>
        </w:rPr>
        <w:t>Healthdirect</w:t>
      </w:r>
      <w:proofErr w:type="spellEnd"/>
      <w:r w:rsidRPr="006D7F24">
        <w:rPr>
          <w:rFonts w:asciiTheme="majorBidi" w:hAnsiTheme="majorBidi" w:cstheme="majorBidi"/>
        </w:rPr>
        <w:t xml:space="preserve">. Dehydration. </w:t>
      </w:r>
      <w:hyperlink r:id="rId9" w:history="1">
        <w:r w:rsidRPr="006D7F24">
          <w:rPr>
            <w:rStyle w:val="Hyperlink"/>
            <w:rFonts w:asciiTheme="majorBidi" w:hAnsiTheme="majorBidi" w:cstheme="majorBidi"/>
          </w:rPr>
          <w:t>https://www.healthdirect.gov.au/dehydration</w:t>
        </w:r>
      </w:hyperlink>
      <w:r w:rsidRPr="006D7F24">
        <w:rPr>
          <w:rFonts w:asciiTheme="majorBidi" w:hAnsiTheme="majorBidi" w:cstheme="majorBidi"/>
        </w:rPr>
        <w:t>. Accessed March 17, 2018.</w:t>
      </w:r>
    </w:p>
  </w:footnote>
  <w:footnote w:id="17">
    <w:p w14:paraId="605BDF53" w14:textId="3164306A" w:rsidR="00C77637" w:rsidRPr="006D7F24" w:rsidRDefault="00C77637" w:rsidP="00097233">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118.</w:t>
      </w:r>
    </w:p>
  </w:footnote>
  <w:footnote w:id="18">
    <w:p w14:paraId="55FCD316" w14:textId="64866575"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Chronic Kidney Disease of Unknown Etiology: NIOSH Pesticide Exposure Study in El Salvador Sugarcane Workers. September 27, 2016. </w:t>
      </w:r>
      <w:hyperlink r:id="rId10" w:history="1">
        <w:r w:rsidRPr="006D7F24">
          <w:rPr>
            <w:rStyle w:val="Hyperlink"/>
            <w:rFonts w:asciiTheme="majorBidi" w:hAnsiTheme="majorBidi" w:cstheme="majorBidi"/>
          </w:rPr>
          <w:t>https://www.cdc.gov/niosh/docket/archive/pdfs/niosh-278/curwinbscsept2016.pdf</w:t>
        </w:r>
      </w:hyperlink>
      <w:r w:rsidRPr="006D7F24">
        <w:rPr>
          <w:rFonts w:asciiTheme="majorBidi" w:hAnsiTheme="majorBidi" w:cstheme="majorBidi"/>
        </w:rPr>
        <w:t>. Accessed March 17, 2018.</w:t>
      </w:r>
    </w:p>
  </w:footnote>
  <w:footnote w:id="19">
    <w:p w14:paraId="5F3AD9F1" w14:textId="6BA2302B" w:rsidR="00C77637" w:rsidRPr="006D7F24" w:rsidRDefault="00C77637" w:rsidP="00257AAE">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32.</w:t>
      </w:r>
    </w:p>
  </w:footnote>
  <w:footnote w:id="20">
    <w:p w14:paraId="6FC7E26B" w14:textId="61C7A479" w:rsidR="00C77637" w:rsidRPr="006D7F24" w:rsidRDefault="00C77637" w:rsidP="00257AAE">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32.</w:t>
      </w:r>
    </w:p>
  </w:footnote>
  <w:footnote w:id="21">
    <w:p w14:paraId="624603FA" w14:textId="15C1686E" w:rsidR="00C77637" w:rsidRPr="006D7F24" w:rsidRDefault="00C77637" w:rsidP="00CF4D69">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 xml:space="preserve">Ibid. </w:t>
      </w:r>
      <w:r w:rsidRPr="006D7F24">
        <w:rPr>
          <w:rFonts w:asciiTheme="majorBidi" w:hAnsiTheme="majorBidi" w:cstheme="majorBidi"/>
        </w:rPr>
        <w:t>p. 34.</w:t>
      </w:r>
    </w:p>
  </w:footnote>
  <w:footnote w:id="22">
    <w:p w14:paraId="3313773F" w14:textId="7B18EDDE"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Technical Manual. Section III: Chapter 4 (Heat Stress). Updated September 15, 2017. </w:t>
      </w:r>
      <w:hyperlink r:id="rId11" w:history="1">
        <w:r w:rsidRPr="006D7F24">
          <w:rPr>
            <w:rStyle w:val="Hyperlink"/>
            <w:rFonts w:asciiTheme="majorBidi" w:hAnsiTheme="majorBidi" w:cstheme="majorBidi"/>
          </w:rPr>
          <w:t>https://www.osha.gov/dts/osta/otm/otm_iii/otm_iii_4.html</w:t>
        </w:r>
      </w:hyperlink>
      <w:r w:rsidRPr="006D7F24">
        <w:rPr>
          <w:rFonts w:asciiTheme="majorBidi" w:hAnsiTheme="majorBidi" w:cstheme="majorBidi"/>
        </w:rPr>
        <w:t>. Accessed March 12, 2018.</w:t>
      </w:r>
    </w:p>
  </w:footnote>
  <w:footnote w:id="23">
    <w:p w14:paraId="0CD2752C" w14:textId="40B33118" w:rsidR="00C77637" w:rsidRPr="006D7F24" w:rsidRDefault="00C77637" w:rsidP="00214B2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32.</w:t>
      </w:r>
    </w:p>
  </w:footnote>
  <w:footnote w:id="24">
    <w:p w14:paraId="00E5BED4" w14:textId="5E672450" w:rsidR="00C77637" w:rsidRPr="006D7F24" w:rsidRDefault="00C77637" w:rsidP="00214B2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33.</w:t>
      </w:r>
    </w:p>
  </w:footnote>
  <w:footnote w:id="25">
    <w:p w14:paraId="08D67414"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Centers for Disease Control and Prevention. Heat Stress – Heat-related Illness. </w:t>
      </w:r>
      <w:hyperlink r:id="rId12" w:history="1">
        <w:r w:rsidRPr="006D7F24">
          <w:rPr>
            <w:rStyle w:val="Hyperlink"/>
            <w:rFonts w:asciiTheme="majorBidi" w:hAnsiTheme="majorBidi" w:cstheme="majorBidi"/>
          </w:rPr>
          <w:t>https://www.cdc.gov/niosh/topics/heatstress/heatrelillness.html</w:t>
        </w:r>
      </w:hyperlink>
      <w:hyperlink r:id="rId13" w:history="1"/>
      <w:r w:rsidRPr="006D7F24">
        <w:rPr>
          <w:rFonts w:asciiTheme="majorBidi" w:hAnsiTheme="majorBidi" w:cstheme="majorBidi"/>
        </w:rPr>
        <w:t>. Accessed March 15, 2018.</w:t>
      </w:r>
    </w:p>
  </w:footnote>
  <w:footnote w:id="26">
    <w:p w14:paraId="262FEB6D" w14:textId="75EE9238"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27">
    <w:p w14:paraId="17677081" w14:textId="5C6C69E6"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28">
    <w:p w14:paraId="7653D406" w14:textId="46278AA0"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29">
    <w:p w14:paraId="08F9D37F" w14:textId="75FDEF71"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0">
    <w:p w14:paraId="73335AD1" w14:textId="29D7C1A8"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rPr>
        <w:t>.</w:t>
      </w:r>
    </w:p>
  </w:footnote>
  <w:footnote w:id="31">
    <w:p w14:paraId="14300029" w14:textId="552D0A65"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rPr>
        <w:t>.</w:t>
      </w:r>
    </w:p>
  </w:footnote>
  <w:footnote w:id="32">
    <w:p w14:paraId="1082DEAB" w14:textId="3BF49FA8"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proofErr w:type="spellStart"/>
      <w:r w:rsidRPr="006D7F24">
        <w:rPr>
          <w:rFonts w:asciiTheme="majorBidi" w:hAnsiTheme="majorBidi" w:cstheme="majorBidi"/>
        </w:rPr>
        <w:t>Orantes</w:t>
      </w:r>
      <w:proofErr w:type="spellEnd"/>
      <w:r w:rsidRPr="006D7F24">
        <w:rPr>
          <w:rFonts w:asciiTheme="majorBidi" w:hAnsiTheme="majorBidi" w:cstheme="majorBidi"/>
        </w:rPr>
        <w:t xml:space="preserve">-Navarro CM, Herrera-Valdés R, </w:t>
      </w:r>
      <w:proofErr w:type="spellStart"/>
      <w:r w:rsidRPr="006D7F24">
        <w:rPr>
          <w:rFonts w:asciiTheme="majorBidi" w:hAnsiTheme="majorBidi" w:cstheme="majorBidi"/>
        </w:rPr>
        <w:t>Almaguer-López</w:t>
      </w:r>
      <w:proofErr w:type="spellEnd"/>
      <w:r w:rsidRPr="006D7F24">
        <w:rPr>
          <w:rFonts w:asciiTheme="majorBidi" w:hAnsiTheme="majorBidi" w:cstheme="majorBidi"/>
        </w:rPr>
        <w:t xml:space="preserve"> M, et al. Toward a Comprehensive Hypothesis of Chronic Interstitial Nephritis in Agricultural Communities. </w:t>
      </w:r>
      <w:r w:rsidRPr="006D7F24">
        <w:rPr>
          <w:rFonts w:asciiTheme="majorBidi" w:hAnsiTheme="majorBidi" w:cstheme="majorBidi"/>
          <w:i/>
          <w:iCs/>
        </w:rPr>
        <w:t>Adv. Chronic Kidney Dis</w:t>
      </w:r>
      <w:r w:rsidRPr="006D7F24">
        <w:rPr>
          <w:rFonts w:asciiTheme="majorBidi" w:hAnsiTheme="majorBidi" w:cstheme="majorBidi"/>
        </w:rPr>
        <w:t>. 2017;24(2):101-106.</w:t>
      </w:r>
    </w:p>
  </w:footnote>
  <w:footnote w:id="33">
    <w:p w14:paraId="07A4FB53" w14:textId="77777777"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34">
    <w:p w14:paraId="5F4A5147" w14:textId="77777777" w:rsidR="00C77637" w:rsidRPr="006D7F24" w:rsidRDefault="00C77637" w:rsidP="00ED710D">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i/>
          <w:iCs/>
        </w:rPr>
        <w:t>.</w:t>
      </w:r>
    </w:p>
  </w:footnote>
  <w:footnote w:id="35">
    <w:p w14:paraId="411CFE7D" w14:textId="329DB724"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r w:rsidRPr="006D7F24">
        <w:rPr>
          <w:rFonts w:asciiTheme="majorBidi" w:hAnsiTheme="majorBidi" w:cstheme="majorBidi"/>
          <w:i/>
          <w:iCs/>
        </w:rPr>
        <w:t>.</w:t>
      </w:r>
    </w:p>
  </w:footnote>
  <w:footnote w:id="36">
    <w:p w14:paraId="105BD841" w14:textId="595F474C" w:rsidR="00C77637" w:rsidRPr="006D7F24" w:rsidRDefault="00C77637" w:rsidP="00ED710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proofErr w:type="spellStart"/>
      <w:r w:rsidRPr="006D7F24">
        <w:rPr>
          <w:rFonts w:asciiTheme="majorBidi" w:hAnsiTheme="majorBidi" w:cstheme="majorBidi"/>
        </w:rPr>
        <w:t>Nerbass</w:t>
      </w:r>
      <w:proofErr w:type="spellEnd"/>
      <w:r w:rsidRPr="006D7F24">
        <w:rPr>
          <w:rFonts w:asciiTheme="majorBidi" w:hAnsiTheme="majorBidi" w:cstheme="majorBidi"/>
        </w:rPr>
        <w:t xml:space="preserve"> FB, </w:t>
      </w:r>
      <w:proofErr w:type="spellStart"/>
      <w:r w:rsidRPr="006D7F24">
        <w:rPr>
          <w:rFonts w:asciiTheme="majorBidi" w:hAnsiTheme="majorBidi" w:cstheme="majorBidi"/>
        </w:rPr>
        <w:t>Pecoits-Filho</w:t>
      </w:r>
      <w:proofErr w:type="spellEnd"/>
      <w:r w:rsidRPr="006D7F24">
        <w:rPr>
          <w:rFonts w:asciiTheme="majorBidi" w:hAnsiTheme="majorBidi" w:cstheme="majorBidi"/>
        </w:rPr>
        <w:t xml:space="preserve"> R, Clark WF, et al. Occupational Heat Stress and Kidney Health: From Farms to Factories. </w:t>
      </w:r>
      <w:r w:rsidRPr="006D7F24">
        <w:rPr>
          <w:rFonts w:asciiTheme="majorBidi" w:hAnsiTheme="majorBidi" w:cstheme="majorBidi"/>
          <w:i/>
          <w:iCs/>
        </w:rPr>
        <w:t xml:space="preserve">Kidney </w:t>
      </w:r>
      <w:proofErr w:type="spellStart"/>
      <w:r w:rsidRPr="006D7F24">
        <w:rPr>
          <w:rFonts w:asciiTheme="majorBidi" w:hAnsiTheme="majorBidi" w:cstheme="majorBidi"/>
          <w:i/>
          <w:iCs/>
        </w:rPr>
        <w:t>Int</w:t>
      </w:r>
      <w:proofErr w:type="spellEnd"/>
      <w:r w:rsidRPr="006D7F24">
        <w:rPr>
          <w:rFonts w:asciiTheme="majorBidi" w:hAnsiTheme="majorBidi" w:cstheme="majorBidi"/>
          <w:i/>
          <w:iCs/>
        </w:rPr>
        <w:t xml:space="preserve"> Rep</w:t>
      </w:r>
      <w:r w:rsidRPr="006D7F24">
        <w:rPr>
          <w:rFonts w:asciiTheme="majorBidi" w:hAnsiTheme="majorBidi" w:cstheme="majorBidi"/>
        </w:rPr>
        <w:t>. 2017 31;2(6):998-1008.</w:t>
      </w:r>
    </w:p>
  </w:footnote>
  <w:footnote w:id="37">
    <w:p w14:paraId="2E83FD19" w14:textId="09AC8483"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Labor Statistics. Occupational Injuries/Illnesses and Fatal Injuries Profiles. </w:t>
      </w:r>
      <w:hyperlink r:id="rId14" w:history="1">
        <w:r w:rsidRPr="006D7F24">
          <w:rPr>
            <w:rStyle w:val="Hyperlink"/>
            <w:rFonts w:asciiTheme="majorBidi" w:hAnsiTheme="majorBidi" w:cstheme="majorBidi"/>
          </w:rPr>
          <w:t>https://data.bls.gov/gqt/InitialPage</w:t>
        </w:r>
      </w:hyperlink>
      <w:r w:rsidRPr="006D7F24">
        <w:rPr>
          <w:rFonts w:asciiTheme="majorBidi" w:hAnsiTheme="majorBidi" w:cstheme="majorBidi"/>
        </w:rPr>
        <w:t xml:space="preserve">. Accessed March 6, 2018. Serious injuries are defined as those resulting in at least one day away from work. </w:t>
      </w:r>
    </w:p>
  </w:footnote>
  <w:footnote w:id="38">
    <w:p w14:paraId="18916680" w14:textId="3A6445D8"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Labor Statistics. Injuries, Illnesses, and Fatalities. Frequently Asked Questions. </w:t>
      </w:r>
      <w:hyperlink r:id="rId15" w:history="1">
        <w:r w:rsidRPr="006D7F24">
          <w:rPr>
            <w:rStyle w:val="Hyperlink"/>
            <w:rFonts w:asciiTheme="majorBidi" w:hAnsiTheme="majorBidi" w:cstheme="majorBidi"/>
          </w:rPr>
          <w:t>http://www.bls.gov/iif/oshfaq1.htm</w:t>
        </w:r>
      </w:hyperlink>
      <w:r w:rsidRPr="006D7F24">
        <w:rPr>
          <w:rFonts w:asciiTheme="majorBidi" w:hAnsiTheme="majorBidi" w:cstheme="majorBidi"/>
        </w:rPr>
        <w:t>. Accessed March 13, 2018.</w:t>
      </w:r>
    </w:p>
  </w:footnote>
  <w:footnote w:id="39">
    <w:p w14:paraId="1D15FBBE" w14:textId="33D84869"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29 CFR 1904.7.</w:t>
      </w:r>
    </w:p>
  </w:footnote>
  <w:footnote w:id="40">
    <w:p w14:paraId="6F67672F" w14:textId="0B5EAEED"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Bureau of Labor Statistics (BLS) Injury, Illness, and Fatalities. Frequently Asked Questions. </w:t>
      </w:r>
      <w:hyperlink r:id="rId16" w:history="1">
        <w:r w:rsidRPr="006D7F24">
          <w:rPr>
            <w:rStyle w:val="Hyperlink"/>
            <w:rFonts w:asciiTheme="majorBidi" w:hAnsiTheme="majorBidi" w:cstheme="majorBidi"/>
          </w:rPr>
          <w:t>http://www.bls.gov/iif/oshfaq1.htm</w:t>
        </w:r>
      </w:hyperlink>
      <w:r w:rsidRPr="006D7F24">
        <w:rPr>
          <w:rFonts w:asciiTheme="majorBidi" w:hAnsiTheme="majorBidi" w:cstheme="majorBidi"/>
        </w:rPr>
        <w:t>. Accessed March 14, 2018.</w:t>
      </w:r>
    </w:p>
  </w:footnote>
  <w:footnote w:id="41">
    <w:p w14:paraId="6CEE7AFF" w14:textId="4A69783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29 CFR 1904.7. </w:t>
      </w:r>
      <w:hyperlink r:id="rId17" w:history="1">
        <w:r w:rsidRPr="006D7F24">
          <w:rPr>
            <w:rStyle w:val="Hyperlink"/>
            <w:rFonts w:asciiTheme="majorBidi" w:hAnsiTheme="majorBidi" w:cstheme="majorBidi"/>
          </w:rPr>
          <w:t>http://www.osha.gov/pls/oshaweb/owadisp.show_document?p_table=STANDARDS&amp;p_id=9638</w:t>
        </w:r>
      </w:hyperlink>
      <w:r w:rsidRPr="006D7F24">
        <w:rPr>
          <w:rFonts w:asciiTheme="majorBidi" w:hAnsiTheme="majorBidi" w:cstheme="majorBidi"/>
        </w:rPr>
        <w:t>.</w:t>
      </w:r>
    </w:p>
  </w:footnote>
  <w:footnote w:id="42">
    <w:p w14:paraId="13F16B78" w14:textId="03B75562"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Government Accountability Office. Workplace Safety and Health: Enhancing OSHA</w:t>
      </w:r>
      <w:r w:rsidR="00DB23CF">
        <w:rPr>
          <w:rFonts w:asciiTheme="majorBidi" w:hAnsiTheme="majorBidi" w:cstheme="majorBidi"/>
        </w:rPr>
        <w:t>’</w:t>
      </w:r>
      <w:r w:rsidRPr="006D7F24">
        <w:rPr>
          <w:rFonts w:asciiTheme="majorBidi" w:hAnsiTheme="majorBidi" w:cstheme="majorBidi"/>
        </w:rPr>
        <w:t xml:space="preserve">s Records Audit Process Could Improve the Accuracy of Worker Injury and Illness Data. October 2009. </w:t>
      </w:r>
      <w:hyperlink r:id="rId18" w:history="1">
        <w:r w:rsidRPr="006D7F24">
          <w:rPr>
            <w:rStyle w:val="Hyperlink"/>
            <w:rFonts w:asciiTheme="majorBidi" w:hAnsiTheme="majorBidi" w:cstheme="majorBidi"/>
          </w:rPr>
          <w:t>http://www.gao.gov/new.items/d1010.pdf</w:t>
        </w:r>
      </w:hyperlink>
      <w:r w:rsidRPr="006D7F24">
        <w:rPr>
          <w:rFonts w:asciiTheme="majorBidi" w:hAnsiTheme="majorBidi" w:cstheme="majorBidi"/>
        </w:rPr>
        <w:t>. Accessed March 14, 2018.</w:t>
      </w:r>
    </w:p>
  </w:footnote>
  <w:footnote w:id="43">
    <w:p w14:paraId="2FB4A48D" w14:textId="11128940"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18.</w:t>
      </w:r>
    </w:p>
  </w:footnote>
  <w:footnote w:id="44">
    <w:p w14:paraId="3DB38110" w14:textId="7173EF71" w:rsidR="00C77637" w:rsidRPr="006D7F24" w:rsidRDefault="00C77637">
      <w:pPr>
        <w:pStyle w:val="FootnoteText"/>
      </w:pPr>
      <w:r w:rsidRPr="006D7F24">
        <w:rPr>
          <w:rStyle w:val="FootnoteReference"/>
        </w:rPr>
        <w:footnoteRef/>
      </w:r>
      <w:r w:rsidRPr="006D7F24">
        <w:t xml:space="preserve"> Ibid.</w:t>
      </w:r>
    </w:p>
  </w:footnote>
  <w:footnote w:id="45">
    <w:p w14:paraId="4019736A" w14:textId="5C1321C8"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17.</w:t>
      </w:r>
    </w:p>
  </w:footnote>
  <w:footnote w:id="46">
    <w:p w14:paraId="70D91627" w14:textId="4D0737A4" w:rsidR="00C77637" w:rsidRPr="006D7F24" w:rsidRDefault="00C77637">
      <w:pPr>
        <w:pStyle w:val="FootnoteText"/>
      </w:pPr>
      <w:r w:rsidRPr="006D7F24">
        <w:rPr>
          <w:rStyle w:val="FootnoteReference"/>
        </w:rPr>
        <w:footnoteRef/>
      </w:r>
      <w:r w:rsidRPr="006D7F24">
        <w:t xml:space="preserve"> Ibid. p. 18.</w:t>
      </w:r>
    </w:p>
  </w:footnote>
  <w:footnote w:id="47">
    <w:p w14:paraId="2B6D7A35" w14:textId="6503E5AC"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19.</w:t>
      </w:r>
    </w:p>
  </w:footnote>
  <w:footnote w:id="48">
    <w:p w14:paraId="21F60EC9"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AFL-CIO. (2005). Immigrant workers at risk: The urgent need for improved workplace safety and health policies</w:t>
      </w:r>
    </w:p>
    <w:p w14:paraId="77A1EC17" w14:textId="77777777" w:rsidR="00C77637" w:rsidRPr="006D7F24" w:rsidRDefault="00C77637" w:rsidP="00ED710D">
      <w:pPr>
        <w:pStyle w:val="FootnoteText"/>
        <w:contextualSpacing/>
        <w:rPr>
          <w:rFonts w:asciiTheme="majorBidi" w:hAnsiTheme="majorBidi" w:cstheme="majorBidi"/>
        </w:rPr>
      </w:pPr>
      <w:r w:rsidRPr="006D7F24">
        <w:rPr>
          <w:rFonts w:asciiTheme="majorBidi" w:hAnsiTheme="majorBidi" w:cstheme="majorBidi"/>
        </w:rPr>
        <w:t>and programs [Electronic version]. Washington, DC: Author.</w:t>
      </w:r>
    </w:p>
    <w:p w14:paraId="19EB1B9B" w14:textId="618EE687" w:rsidR="00C77637" w:rsidRPr="006D7F24" w:rsidRDefault="00E221DB" w:rsidP="00ED710D">
      <w:pPr>
        <w:pStyle w:val="FootnoteText"/>
        <w:contextualSpacing/>
        <w:rPr>
          <w:rFonts w:asciiTheme="majorBidi" w:hAnsiTheme="majorBidi" w:cstheme="majorBidi"/>
        </w:rPr>
      </w:pPr>
      <w:hyperlink r:id="rId19" w:history="1">
        <w:r w:rsidR="00C77637" w:rsidRPr="006D7F24">
          <w:rPr>
            <w:rStyle w:val="Hyperlink"/>
            <w:rFonts w:asciiTheme="majorBidi" w:hAnsiTheme="majorBidi" w:cstheme="majorBidi"/>
          </w:rPr>
          <w:t>http://digitalcommons.ilr.cornell.edu/laborunions/28/</w:t>
        </w:r>
      </w:hyperlink>
      <w:r w:rsidR="00C77637" w:rsidRPr="006D7F24">
        <w:rPr>
          <w:rFonts w:asciiTheme="majorBidi" w:hAnsiTheme="majorBidi" w:cstheme="majorBidi"/>
        </w:rPr>
        <w:t>. Accessed March 14, 2018.</w:t>
      </w:r>
    </w:p>
  </w:footnote>
  <w:footnote w:id="49">
    <w:p w14:paraId="1B9EDEA4" w14:textId="5DF87F45" w:rsidR="00C77637" w:rsidRPr="006D7F24" w:rsidRDefault="00C77637" w:rsidP="00D36620">
      <w:pPr>
        <w:pStyle w:val="FootnoteText"/>
      </w:pPr>
      <w:r w:rsidRPr="006D7F24">
        <w:rPr>
          <w:rStyle w:val="FootnoteReference"/>
        </w:rPr>
        <w:footnoteRef/>
      </w:r>
      <w:r w:rsidRPr="006D7F24">
        <w:t xml:space="preserve"> </w:t>
      </w:r>
      <w:r w:rsidR="00714461" w:rsidRPr="006D7F24">
        <w:rPr>
          <w:rFonts w:asciiTheme="majorBidi" w:hAnsiTheme="majorBidi" w:cstheme="majorBidi"/>
        </w:rPr>
        <w:t xml:space="preserve">Arbury S, </w:t>
      </w:r>
      <w:proofErr w:type="spellStart"/>
      <w:r w:rsidR="00714461" w:rsidRPr="006D7F24">
        <w:rPr>
          <w:rFonts w:asciiTheme="majorBidi" w:hAnsiTheme="majorBidi" w:cstheme="majorBidi"/>
        </w:rPr>
        <w:t>Lindsley</w:t>
      </w:r>
      <w:proofErr w:type="spellEnd"/>
      <w:r w:rsidR="00714461" w:rsidRPr="006D7F24">
        <w:rPr>
          <w:rFonts w:asciiTheme="majorBidi" w:hAnsiTheme="majorBidi" w:cstheme="majorBidi"/>
        </w:rPr>
        <w:t xml:space="preserve"> M, Hodgson M. A critical review of OSHA heat enforcement cases: Lessons learned. </w:t>
      </w:r>
      <w:r w:rsidR="00714461" w:rsidRPr="006D7F24">
        <w:rPr>
          <w:rFonts w:asciiTheme="majorBidi" w:hAnsiTheme="majorBidi" w:cstheme="majorBidi"/>
          <w:i/>
          <w:iCs/>
        </w:rPr>
        <w:t xml:space="preserve">J </w:t>
      </w:r>
      <w:proofErr w:type="spellStart"/>
      <w:r w:rsidR="00714461" w:rsidRPr="006D7F24">
        <w:rPr>
          <w:rFonts w:asciiTheme="majorBidi" w:hAnsiTheme="majorBidi" w:cstheme="majorBidi"/>
          <w:i/>
          <w:iCs/>
        </w:rPr>
        <w:t>Occup</w:t>
      </w:r>
      <w:proofErr w:type="spellEnd"/>
      <w:r w:rsidR="00714461" w:rsidRPr="006D7F24">
        <w:rPr>
          <w:rFonts w:asciiTheme="majorBidi" w:hAnsiTheme="majorBidi" w:cstheme="majorBidi"/>
          <w:i/>
          <w:iCs/>
        </w:rPr>
        <w:t xml:space="preserve"> Environ Med</w:t>
      </w:r>
      <w:r w:rsidR="00714461" w:rsidRPr="006D7F24">
        <w:rPr>
          <w:rFonts w:asciiTheme="majorBidi" w:hAnsiTheme="majorBidi" w:cstheme="majorBidi"/>
        </w:rPr>
        <w:t>. 2016;58(4):359-363.</w:t>
      </w:r>
      <w:r w:rsidR="00714461">
        <w:rPr>
          <w:rFonts w:asciiTheme="majorBidi" w:hAnsiTheme="majorBidi" w:cstheme="majorBidi"/>
        </w:rPr>
        <w:t xml:space="preserve"> p. 361.</w:t>
      </w:r>
    </w:p>
  </w:footnote>
  <w:footnote w:id="50">
    <w:p w14:paraId="5CFBC78E" w14:textId="77777777" w:rsidR="00C77637" w:rsidRPr="006D7F24" w:rsidRDefault="00C77637" w:rsidP="00ED710D">
      <w:pPr>
        <w:spacing w:after="0"/>
        <w:contextualSpacing/>
        <w:rPr>
          <w:rFonts w:asciiTheme="majorBidi" w:hAnsiTheme="majorBidi" w:cstheme="majorBidi"/>
          <w:sz w:val="20"/>
          <w:szCs w:val="20"/>
        </w:rPr>
      </w:pPr>
      <w:r w:rsidRPr="006D7F24">
        <w:rPr>
          <w:rStyle w:val="FootnoteReference"/>
          <w:rFonts w:asciiTheme="majorBidi" w:hAnsiTheme="majorBidi" w:cstheme="majorBidi"/>
          <w:sz w:val="20"/>
          <w:szCs w:val="20"/>
        </w:rPr>
        <w:footnoteRef/>
      </w:r>
      <w:r w:rsidRPr="006D7F24">
        <w:rPr>
          <w:rFonts w:asciiTheme="majorBidi" w:hAnsiTheme="majorBidi" w:cstheme="majorBidi"/>
          <w:sz w:val="20"/>
          <w:szCs w:val="20"/>
        </w:rPr>
        <w:t xml:space="preserve"> </w:t>
      </w:r>
      <w:r w:rsidRPr="006D7F24">
        <w:rPr>
          <w:rFonts w:asciiTheme="majorBidi" w:eastAsia="Times New Roman" w:hAnsiTheme="majorBidi" w:cstheme="majorBidi"/>
          <w:sz w:val="20"/>
          <w:szCs w:val="20"/>
        </w:rPr>
        <w:t xml:space="preserve">Environmental Protection Agency (EPA). A Guide to Heat Stress in Agriculture (1993). Page 7. </w:t>
      </w:r>
      <w:hyperlink r:id="rId20" w:history="1">
        <w:r w:rsidRPr="006D7F24">
          <w:rPr>
            <w:rStyle w:val="Hyperlink"/>
            <w:rFonts w:asciiTheme="majorBidi" w:eastAsia="Times New Roman" w:hAnsiTheme="majorBidi" w:cstheme="majorBidi"/>
            <w:sz w:val="20"/>
            <w:szCs w:val="20"/>
          </w:rPr>
          <w:t>http://nepis.epa.gov/EPA/html/Pubs/pubalpha_A.html</w:t>
        </w:r>
      </w:hyperlink>
      <w:r w:rsidRPr="006D7F24">
        <w:rPr>
          <w:rFonts w:asciiTheme="majorBidi" w:hAnsiTheme="majorBidi" w:cstheme="majorBidi"/>
          <w:sz w:val="20"/>
          <w:szCs w:val="20"/>
        </w:rPr>
        <w:t>. Accessed March 15, 2018.</w:t>
      </w:r>
    </w:p>
  </w:footnote>
  <w:footnote w:id="51">
    <w:p w14:paraId="5D63EE2D" w14:textId="422EAA3A" w:rsidR="00C77637" w:rsidRPr="006D7F24" w:rsidRDefault="00C77637" w:rsidP="008904E1">
      <w:pPr>
        <w:pStyle w:val="FootnoteText"/>
      </w:pPr>
      <w:r w:rsidRPr="006D7F24">
        <w:rPr>
          <w:rStyle w:val="FootnoteReference"/>
        </w:rPr>
        <w:footnoteRef/>
      </w:r>
      <w:r w:rsidRPr="006D7F24">
        <w:t xml:space="preserve"> NIOSH 2016 Criteria Recommendations. p. 110.</w:t>
      </w:r>
    </w:p>
  </w:footnote>
  <w:footnote w:id="52">
    <w:p w14:paraId="641A623C" w14:textId="33567139"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eastAsia="Times New Roman" w:hAnsiTheme="majorBidi" w:cstheme="majorBidi"/>
        </w:rPr>
        <w:t>Mines R, An Evaluation of the Gathering of Occupational Injury Data by the National Agricultural Workers Survey (NAWS), submitted to the Office of the Assistant Secretary for Policy, U.S. Department of Labor, July 13, 2004, at p. 30; Jackson L., Rosenb</w:t>
      </w:r>
      <w:r w:rsidR="004D037F" w:rsidRPr="006D7F24">
        <w:rPr>
          <w:rFonts w:asciiTheme="majorBidi" w:eastAsia="Times New Roman" w:hAnsiTheme="majorBidi" w:cstheme="majorBidi"/>
        </w:rPr>
        <w:t>e</w:t>
      </w:r>
      <w:r w:rsidRPr="006D7F24">
        <w:rPr>
          <w:rFonts w:asciiTheme="majorBidi" w:eastAsia="Times New Roman" w:hAnsiTheme="majorBidi" w:cstheme="majorBidi"/>
        </w:rPr>
        <w:t xml:space="preserve">rg R., Preventing Heat-Related Illness Among Agricultural Workers, Journal of </w:t>
      </w:r>
      <w:proofErr w:type="spellStart"/>
      <w:r w:rsidRPr="006D7F24">
        <w:rPr>
          <w:rFonts w:asciiTheme="majorBidi" w:eastAsia="Times New Roman" w:hAnsiTheme="majorBidi" w:cstheme="majorBidi"/>
        </w:rPr>
        <w:t>Agromedicine</w:t>
      </w:r>
      <w:proofErr w:type="spellEnd"/>
      <w:r w:rsidRPr="006D7F24">
        <w:rPr>
          <w:rFonts w:asciiTheme="majorBidi" w:eastAsia="Times New Roman" w:hAnsiTheme="majorBidi" w:cstheme="majorBidi"/>
        </w:rPr>
        <w:t xml:space="preserve">, 2010, 15:200-215; Hofmann J, Snyder K, </w:t>
      </w:r>
      <w:proofErr w:type="spellStart"/>
      <w:r w:rsidRPr="006D7F24">
        <w:rPr>
          <w:rFonts w:asciiTheme="majorBidi" w:eastAsia="Times New Roman" w:hAnsiTheme="majorBidi" w:cstheme="majorBidi"/>
        </w:rPr>
        <w:t>Keifer</w:t>
      </w:r>
      <w:proofErr w:type="spellEnd"/>
      <w:r w:rsidRPr="006D7F24">
        <w:rPr>
          <w:rFonts w:asciiTheme="majorBidi" w:eastAsia="Times New Roman" w:hAnsiTheme="majorBidi" w:cstheme="majorBidi"/>
        </w:rPr>
        <w:t xml:space="preserve"> M, A Descriptive Study of Workers</w:t>
      </w:r>
      <w:r w:rsidR="00DB23CF">
        <w:rPr>
          <w:rFonts w:asciiTheme="majorBidi" w:eastAsia="Times New Roman" w:hAnsiTheme="majorBidi" w:cstheme="majorBidi"/>
        </w:rPr>
        <w:t>’</w:t>
      </w:r>
      <w:r w:rsidRPr="006D7F24">
        <w:rPr>
          <w:rFonts w:asciiTheme="majorBidi" w:eastAsia="Times New Roman" w:hAnsiTheme="majorBidi" w:cstheme="majorBidi"/>
        </w:rPr>
        <w:t xml:space="preserve"> Compensation Claims in Washington State Orchards, Occupational Medicine (2006), at 56: 251-257; and Hansen E., </w:t>
      </w:r>
      <w:proofErr w:type="spellStart"/>
      <w:r w:rsidRPr="006D7F24">
        <w:rPr>
          <w:rFonts w:asciiTheme="majorBidi" w:eastAsia="Times New Roman" w:hAnsiTheme="majorBidi" w:cstheme="majorBidi"/>
        </w:rPr>
        <w:t>Donahoe</w:t>
      </w:r>
      <w:proofErr w:type="spellEnd"/>
      <w:r w:rsidRPr="006D7F24">
        <w:rPr>
          <w:rFonts w:asciiTheme="majorBidi" w:eastAsia="Times New Roman" w:hAnsiTheme="majorBidi" w:cstheme="majorBidi"/>
        </w:rPr>
        <w:t xml:space="preserve"> M., Health Issues of Migrant and Seasonal Farmworkers, Journal of Health Care for the Poor and Underserved, May 2003 14:2, 153-164, 154.</w:t>
      </w:r>
    </w:p>
  </w:footnote>
  <w:footnote w:id="53">
    <w:p w14:paraId="21092EB2" w14:textId="2D96818F" w:rsidR="00C77637" w:rsidRPr="006D7F24" w:rsidRDefault="00C77637" w:rsidP="00382C40">
      <w:pPr>
        <w:spacing w:after="0"/>
        <w:contextualSpacing/>
        <w:rPr>
          <w:rFonts w:asciiTheme="majorBidi" w:hAnsiTheme="majorBidi" w:cstheme="majorBidi"/>
          <w:sz w:val="20"/>
          <w:szCs w:val="20"/>
        </w:rPr>
      </w:pPr>
      <w:r w:rsidRPr="006D7F24">
        <w:rPr>
          <w:rStyle w:val="FootnoteReference"/>
          <w:rFonts w:asciiTheme="majorBidi" w:hAnsiTheme="majorBidi" w:cstheme="majorBidi"/>
          <w:sz w:val="20"/>
          <w:szCs w:val="20"/>
        </w:rPr>
        <w:footnoteRef/>
      </w:r>
      <w:r w:rsidRPr="006D7F24">
        <w:rPr>
          <w:rFonts w:asciiTheme="majorBidi" w:hAnsiTheme="majorBidi" w:cstheme="majorBidi"/>
          <w:sz w:val="20"/>
          <w:szCs w:val="20"/>
        </w:rPr>
        <w:t xml:space="preserve"> </w:t>
      </w:r>
      <w:r w:rsidRPr="006D7F24">
        <w:rPr>
          <w:rFonts w:asciiTheme="majorBidi" w:eastAsia="Times New Roman" w:hAnsiTheme="majorBidi" w:cstheme="majorBidi"/>
          <w:sz w:val="20"/>
          <w:szCs w:val="20"/>
        </w:rPr>
        <w:t>Jackson L., Rosenb</w:t>
      </w:r>
      <w:r w:rsidR="008862FB" w:rsidRPr="006D7F24">
        <w:rPr>
          <w:rFonts w:asciiTheme="majorBidi" w:eastAsia="Times New Roman" w:hAnsiTheme="majorBidi" w:cstheme="majorBidi"/>
          <w:sz w:val="20"/>
          <w:szCs w:val="20"/>
        </w:rPr>
        <w:t>e</w:t>
      </w:r>
      <w:r w:rsidRPr="006D7F24">
        <w:rPr>
          <w:rFonts w:asciiTheme="majorBidi" w:eastAsia="Times New Roman" w:hAnsiTheme="majorBidi" w:cstheme="majorBidi"/>
          <w:sz w:val="20"/>
          <w:szCs w:val="20"/>
        </w:rPr>
        <w:t xml:space="preserve">rg R., Preventing heat-related illness among agricultural workers. </w:t>
      </w:r>
      <w:r w:rsidRPr="006D7F24">
        <w:rPr>
          <w:rFonts w:asciiTheme="majorBidi" w:eastAsia="Times New Roman" w:hAnsiTheme="majorBidi" w:cstheme="majorBidi"/>
          <w:i/>
          <w:iCs/>
          <w:sz w:val="20"/>
          <w:szCs w:val="20"/>
        </w:rPr>
        <w:t xml:space="preserve">Journal of </w:t>
      </w:r>
      <w:proofErr w:type="spellStart"/>
      <w:r w:rsidRPr="006D7F24">
        <w:rPr>
          <w:rFonts w:asciiTheme="majorBidi" w:eastAsia="Times New Roman" w:hAnsiTheme="majorBidi" w:cstheme="majorBidi"/>
          <w:i/>
          <w:iCs/>
          <w:sz w:val="20"/>
          <w:szCs w:val="20"/>
        </w:rPr>
        <w:t>Agromedicine</w:t>
      </w:r>
      <w:proofErr w:type="spellEnd"/>
      <w:r w:rsidRPr="006D7F24">
        <w:rPr>
          <w:rFonts w:asciiTheme="majorBidi" w:eastAsia="Times New Roman" w:hAnsiTheme="majorBidi" w:cstheme="majorBidi"/>
          <w:sz w:val="20"/>
          <w:szCs w:val="20"/>
        </w:rPr>
        <w:t>. 2010. 15:200-215.</w:t>
      </w:r>
    </w:p>
  </w:footnote>
  <w:footnote w:id="54">
    <w:p w14:paraId="11C32E66" w14:textId="69266377" w:rsidR="00C77637" w:rsidRPr="006D7F24" w:rsidRDefault="00C77637" w:rsidP="00DC567B">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96.</w:t>
      </w:r>
    </w:p>
  </w:footnote>
  <w:footnote w:id="55">
    <w:p w14:paraId="07D7C724" w14:textId="77777777" w:rsidR="00C77637" w:rsidRPr="006D7F24" w:rsidRDefault="00C77637" w:rsidP="00DC567B">
      <w:pPr>
        <w:pStyle w:val="FootnoteText"/>
      </w:pPr>
      <w:r w:rsidRPr="006D7F24">
        <w:rPr>
          <w:rStyle w:val="FootnoteReference"/>
        </w:rPr>
        <w:footnoteRef/>
      </w:r>
      <w:r w:rsidRPr="006D7F24">
        <w:t xml:space="preserve"> BLS seasonally adjusted employment data for April 2018.</w:t>
      </w:r>
    </w:p>
  </w:footnote>
  <w:footnote w:id="56">
    <w:p w14:paraId="7BFF5983" w14:textId="0F176742" w:rsidR="00C77637" w:rsidRPr="006D7F24" w:rsidRDefault="00C77637" w:rsidP="00DC567B">
      <w:pPr>
        <w:pStyle w:val="FootnoteText"/>
      </w:pPr>
      <w:r w:rsidRPr="006D7F24">
        <w:rPr>
          <w:rStyle w:val="FootnoteReference"/>
        </w:rPr>
        <w:footnoteRef/>
      </w:r>
      <w:r w:rsidRPr="006D7F24">
        <w:t xml:space="preserve"> BLS seasonally adjusted employment for California, Minnesota, and Washington totals 2</w:t>
      </w:r>
      <w:r w:rsidR="00701BE3">
        <w:t>5.1</w:t>
      </w:r>
      <w:r w:rsidRPr="006D7F24">
        <w:t xml:space="preserve"> million.</w:t>
      </w:r>
    </w:p>
  </w:footnote>
  <w:footnote w:id="57">
    <w:p w14:paraId="3B3477E5" w14:textId="3C1E0F2C" w:rsidR="00C77637" w:rsidRPr="006D7F24" w:rsidRDefault="00C77637">
      <w:pPr>
        <w:pStyle w:val="FootnoteText"/>
      </w:pPr>
      <w:r w:rsidRPr="006D7F24">
        <w:rPr>
          <w:rStyle w:val="FootnoteReference"/>
        </w:rPr>
        <w:footnoteRef/>
      </w:r>
      <w:r w:rsidRPr="006D7F24">
        <w:t xml:space="preserve"> The numbers for heat stroke are 464 and 0.38 cases per 1,000 person-years; for heat exhaustion they are 1,699 and 1.41 cases per 1,000 person-years. Defense Health Agency, Work/Rest Times and Fluid Replacement Guide, Medical Monthly Surveillance Report Vol. 25 No. 4, p. 8, Apr. 2018. Only 69 of these cases were diagnosed in Iraq or Afghanistan. Ibid. p. 10.</w:t>
      </w:r>
    </w:p>
  </w:footnote>
  <w:footnote w:id="58">
    <w:p w14:paraId="03CDAEB8" w14:textId="76068723" w:rsidR="00C77637" w:rsidRPr="006D7F24" w:rsidRDefault="00C77637">
      <w:pPr>
        <w:pStyle w:val="FootnoteText"/>
      </w:pPr>
      <w:r w:rsidRPr="006D7F24">
        <w:rPr>
          <w:rStyle w:val="FootnoteReference"/>
        </w:rPr>
        <w:footnoteRef/>
      </w:r>
      <w:r w:rsidRPr="006D7F24">
        <w:t xml:space="preserve"> </w:t>
      </w:r>
      <w:r w:rsidR="00D84B34" w:rsidRPr="006D7F24">
        <w:rPr>
          <w:rFonts w:asciiTheme="majorBidi" w:hAnsiTheme="majorBidi" w:cstheme="majorBidi"/>
        </w:rPr>
        <w:t xml:space="preserve">Arbury S, </w:t>
      </w:r>
      <w:proofErr w:type="spellStart"/>
      <w:r w:rsidR="00D84B34" w:rsidRPr="006D7F24">
        <w:rPr>
          <w:rFonts w:asciiTheme="majorBidi" w:hAnsiTheme="majorBidi" w:cstheme="majorBidi"/>
        </w:rPr>
        <w:t>Lindsley</w:t>
      </w:r>
      <w:proofErr w:type="spellEnd"/>
      <w:r w:rsidR="00D84B34" w:rsidRPr="006D7F24">
        <w:rPr>
          <w:rFonts w:asciiTheme="majorBidi" w:hAnsiTheme="majorBidi" w:cstheme="majorBidi"/>
        </w:rPr>
        <w:t xml:space="preserve"> M, Hodgson M. A critical review of OSHA heat enforcement cases: Lessons learned. </w:t>
      </w:r>
      <w:r w:rsidR="00D84B34" w:rsidRPr="006D7F24">
        <w:rPr>
          <w:rFonts w:asciiTheme="majorBidi" w:hAnsiTheme="majorBidi" w:cstheme="majorBidi"/>
          <w:i/>
          <w:iCs/>
        </w:rPr>
        <w:t xml:space="preserve">J </w:t>
      </w:r>
      <w:proofErr w:type="spellStart"/>
      <w:r w:rsidR="00D84B34" w:rsidRPr="006D7F24">
        <w:rPr>
          <w:rFonts w:asciiTheme="majorBidi" w:hAnsiTheme="majorBidi" w:cstheme="majorBidi"/>
          <w:i/>
          <w:iCs/>
        </w:rPr>
        <w:t>Occup</w:t>
      </w:r>
      <w:proofErr w:type="spellEnd"/>
      <w:r w:rsidR="00D84B34" w:rsidRPr="006D7F24">
        <w:rPr>
          <w:rFonts w:asciiTheme="majorBidi" w:hAnsiTheme="majorBidi" w:cstheme="majorBidi"/>
          <w:i/>
          <w:iCs/>
        </w:rPr>
        <w:t xml:space="preserve"> Environ Med</w:t>
      </w:r>
      <w:r w:rsidR="00D84B34" w:rsidRPr="006D7F24">
        <w:rPr>
          <w:rFonts w:asciiTheme="majorBidi" w:hAnsiTheme="majorBidi" w:cstheme="majorBidi"/>
        </w:rPr>
        <w:t>. 2016;58(4):359-363.</w:t>
      </w:r>
      <w:r w:rsidR="00D84B34">
        <w:rPr>
          <w:rFonts w:asciiTheme="majorBidi" w:hAnsiTheme="majorBidi" w:cstheme="majorBidi"/>
        </w:rPr>
        <w:t xml:space="preserve"> p. 361.</w:t>
      </w:r>
    </w:p>
  </w:footnote>
  <w:footnote w:id="59">
    <w:p w14:paraId="6EF1EF65" w14:textId="6AE56B5C" w:rsidR="00C77637" w:rsidRPr="006D7F24" w:rsidRDefault="00C77637">
      <w:pPr>
        <w:pStyle w:val="FootnoteText"/>
      </w:pPr>
      <w:r w:rsidRPr="006D7F24">
        <w:rPr>
          <w:rStyle w:val="FootnoteReference"/>
        </w:rPr>
        <w:footnoteRef/>
      </w:r>
      <w:r w:rsidRPr="006D7F24">
        <w:t xml:space="preserve"> </w:t>
      </w:r>
      <w:r w:rsidR="00443128">
        <w:t xml:space="preserve">Tustin A, Cannon D, Arbury S, Thomas R, Hodgson M, Risk factors for heat-related illness in U.S. workers: An OSHA case series. </w:t>
      </w:r>
      <w:r w:rsidR="00443128" w:rsidRPr="006D7F24">
        <w:rPr>
          <w:rFonts w:asciiTheme="majorBidi" w:hAnsiTheme="majorBidi" w:cstheme="majorBidi"/>
          <w:i/>
          <w:iCs/>
        </w:rPr>
        <w:t xml:space="preserve">J </w:t>
      </w:r>
      <w:proofErr w:type="spellStart"/>
      <w:r w:rsidR="00443128" w:rsidRPr="006D7F24">
        <w:rPr>
          <w:rFonts w:asciiTheme="majorBidi" w:hAnsiTheme="majorBidi" w:cstheme="majorBidi"/>
          <w:i/>
          <w:iCs/>
        </w:rPr>
        <w:t>Occup</w:t>
      </w:r>
      <w:proofErr w:type="spellEnd"/>
      <w:r w:rsidR="00443128" w:rsidRPr="006D7F24">
        <w:rPr>
          <w:rFonts w:asciiTheme="majorBidi" w:hAnsiTheme="majorBidi" w:cstheme="majorBidi"/>
          <w:i/>
          <w:iCs/>
        </w:rPr>
        <w:t xml:space="preserve"> Environ Med</w:t>
      </w:r>
      <w:r w:rsidR="00443128" w:rsidRPr="006D7F24">
        <w:rPr>
          <w:rFonts w:asciiTheme="majorBidi" w:hAnsiTheme="majorBidi" w:cstheme="majorBidi"/>
        </w:rPr>
        <w:t>.</w:t>
      </w:r>
      <w:r w:rsidR="00443128">
        <w:rPr>
          <w:rFonts w:asciiTheme="majorBidi" w:hAnsiTheme="majorBidi" w:cstheme="majorBidi"/>
        </w:rPr>
        <w:t xml:space="preserve"> </w:t>
      </w:r>
      <w:r w:rsidR="00443128" w:rsidRPr="00443128">
        <w:rPr>
          <w:rFonts w:asciiTheme="majorBidi" w:hAnsiTheme="majorBidi" w:cstheme="majorBidi"/>
        </w:rPr>
        <w:t xml:space="preserve">May 30, 2018 </w:t>
      </w:r>
      <w:r w:rsidR="00443128">
        <w:rPr>
          <w:rFonts w:asciiTheme="majorBidi" w:hAnsiTheme="majorBidi" w:cstheme="majorBidi"/>
        </w:rPr>
        <w:t>–</w:t>
      </w:r>
      <w:r w:rsidR="00443128" w:rsidRPr="00443128">
        <w:rPr>
          <w:rFonts w:asciiTheme="majorBidi" w:hAnsiTheme="majorBidi" w:cstheme="majorBidi"/>
        </w:rPr>
        <w:t xml:space="preserve"> Volume Publish Ahead of Print</w:t>
      </w:r>
      <w:r w:rsidR="00443128">
        <w:rPr>
          <w:rFonts w:asciiTheme="majorBidi" w:hAnsiTheme="majorBidi" w:cstheme="majorBidi"/>
        </w:rPr>
        <w:t>. p. 7.</w:t>
      </w:r>
    </w:p>
  </w:footnote>
  <w:footnote w:id="60">
    <w:p w14:paraId="63377694"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Criteria for a Recommended Standard: Occupational Exposure to Hot Environments. DHHS (NIOSH) Publication Number 72-10269. 1972. </w:t>
      </w:r>
      <w:hyperlink r:id="rId21" w:history="1">
        <w:r w:rsidRPr="006D7F24">
          <w:rPr>
            <w:rStyle w:val="Hyperlink"/>
            <w:rFonts w:asciiTheme="majorBidi" w:hAnsiTheme="majorBidi" w:cstheme="majorBidi"/>
          </w:rPr>
          <w:t>https://www.cdc.gov/niosh/docs/72-10269/</w:t>
        </w:r>
      </w:hyperlink>
      <w:r w:rsidRPr="006D7F24">
        <w:rPr>
          <w:rFonts w:asciiTheme="majorBidi" w:hAnsiTheme="majorBidi" w:cstheme="majorBidi"/>
        </w:rPr>
        <w:t>. Accessed March 12, 2018.</w:t>
      </w:r>
    </w:p>
  </w:footnote>
  <w:footnote w:id="61">
    <w:p w14:paraId="61CD0359"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National Institute for Occupational Safety and Health. DHHS (NIOSH) Publication No. 86-113. Criteria for a Recommended Standard: Occupational Exposure to Hot Environments (Revised Criteria 1986). April 1986. </w:t>
      </w:r>
      <w:hyperlink r:id="rId22" w:history="1">
        <w:r w:rsidRPr="006D7F24">
          <w:rPr>
            <w:rStyle w:val="Hyperlink"/>
            <w:rFonts w:asciiTheme="majorBidi" w:hAnsiTheme="majorBidi" w:cstheme="majorBidi"/>
          </w:rPr>
          <w:t>https://www.cdc.gov/niosh/docs/86-113/86-113.pdf</w:t>
        </w:r>
      </w:hyperlink>
      <w:r w:rsidRPr="006D7F24">
        <w:rPr>
          <w:rFonts w:asciiTheme="majorBidi" w:hAnsiTheme="majorBidi" w:cstheme="majorBidi"/>
        </w:rPr>
        <w:t>. Accessed March 12, 2018.</w:t>
      </w:r>
    </w:p>
  </w:footnote>
  <w:footnote w:id="62">
    <w:p w14:paraId="110669A4"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w:t>
      </w:r>
    </w:p>
  </w:footnote>
  <w:footnote w:id="63">
    <w:p w14:paraId="3E0F792B" w14:textId="72C2A95D"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Cal/OSHA - Title 8, Section 3395. Heat Illness Prevention. </w:t>
      </w:r>
      <w:hyperlink r:id="rId23" w:history="1">
        <w:r w:rsidRPr="006D7F24">
          <w:rPr>
            <w:rStyle w:val="Hyperlink"/>
            <w:rFonts w:asciiTheme="majorBidi" w:hAnsiTheme="majorBidi" w:cstheme="majorBidi"/>
          </w:rPr>
          <w:t>https://www.dir.ca.gov/title8/3395.html</w:t>
        </w:r>
      </w:hyperlink>
      <w:r w:rsidRPr="006D7F24">
        <w:rPr>
          <w:rFonts w:asciiTheme="majorBidi" w:hAnsiTheme="majorBidi" w:cstheme="majorBidi"/>
        </w:rPr>
        <w:t>. Accessed March 14, 2018.</w:t>
      </w:r>
    </w:p>
  </w:footnote>
  <w:footnote w:id="64">
    <w:p w14:paraId="72A8301F" w14:textId="5C141F74"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Minnesota Administrative Rules. 5205.0110 Indoor Ventilation and Temperature in Places of Employment. </w:t>
      </w:r>
      <w:hyperlink r:id="rId24" w:history="1">
        <w:r w:rsidRPr="006D7F24">
          <w:rPr>
            <w:rStyle w:val="Hyperlink"/>
            <w:rFonts w:asciiTheme="majorBidi" w:hAnsiTheme="majorBidi" w:cstheme="majorBidi"/>
          </w:rPr>
          <w:t>https://www.revisor.mn.gov/rules/?id=5205.0110</w:t>
        </w:r>
      </w:hyperlink>
      <w:r w:rsidRPr="006D7F24">
        <w:rPr>
          <w:rFonts w:asciiTheme="majorBidi" w:hAnsiTheme="majorBidi" w:cstheme="majorBidi"/>
        </w:rPr>
        <w:t>. Accessed March 14, 2018.</w:t>
      </w:r>
    </w:p>
  </w:footnote>
  <w:footnote w:id="65">
    <w:p w14:paraId="394B1CBC"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Washington State Legislature. General Occupational Health Standards. 296-62-095. Outdoor heat exposure. </w:t>
      </w:r>
      <w:hyperlink r:id="rId25" w:anchor="296-62-095" w:history="1">
        <w:r w:rsidRPr="006D7F24">
          <w:rPr>
            <w:rStyle w:val="Hyperlink"/>
            <w:rFonts w:asciiTheme="majorBidi" w:hAnsiTheme="majorBidi" w:cstheme="majorBidi"/>
          </w:rPr>
          <w:t>http://app.leg.wa.gov/WAC/default.aspx?cite=296-62&amp;full=true#296-62-095</w:t>
        </w:r>
      </w:hyperlink>
      <w:r w:rsidRPr="006D7F24">
        <w:rPr>
          <w:rFonts w:asciiTheme="majorBidi" w:hAnsiTheme="majorBidi" w:cstheme="majorBidi"/>
        </w:rPr>
        <w:t>. Accessed March 14, 2018.</w:t>
      </w:r>
    </w:p>
  </w:footnote>
  <w:footnote w:id="66">
    <w:p w14:paraId="119A1B5C" w14:textId="0B077A6A"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Legislative Information. Senate Bill No. 1167. Employment safety: indoor workers: heat regulations. Chapter 839. </w:t>
      </w:r>
      <w:hyperlink r:id="rId26" w:history="1">
        <w:r w:rsidRPr="006D7F24">
          <w:rPr>
            <w:rStyle w:val="Hyperlink"/>
            <w:rFonts w:asciiTheme="majorBidi" w:hAnsiTheme="majorBidi" w:cstheme="majorBidi"/>
          </w:rPr>
          <w:t>http://leginfo.legislature.ca.gov/faces/billNavClient.xhtml?bill_id=201520160SB1167</w:t>
        </w:r>
      </w:hyperlink>
      <w:r w:rsidRPr="006D7F24">
        <w:rPr>
          <w:rFonts w:asciiTheme="majorBidi" w:hAnsiTheme="majorBidi" w:cstheme="majorBidi"/>
        </w:rPr>
        <w:t>. Accessed March 13, 2018.</w:t>
      </w:r>
    </w:p>
  </w:footnote>
  <w:footnote w:id="67">
    <w:p w14:paraId="48439219" w14:textId="38EFDCBF"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Department of Industrial Relations. </w:t>
      </w:r>
      <w:hyperlink r:id="rId27" w:history="1">
        <w:r w:rsidRPr="006D7F24">
          <w:rPr>
            <w:rStyle w:val="Hyperlink"/>
            <w:rFonts w:asciiTheme="majorBidi" w:hAnsiTheme="majorBidi" w:cstheme="majorBidi"/>
          </w:rPr>
          <w:t>https://www.dir.ca.gov/DIRNews/2005/IR2005-33.html</w:t>
        </w:r>
      </w:hyperlink>
      <w:r w:rsidRPr="006D7F24">
        <w:rPr>
          <w:rFonts w:asciiTheme="majorBidi" w:hAnsiTheme="majorBidi" w:cstheme="majorBidi"/>
        </w:rPr>
        <w:t>. Accessed March 14, 2018.</w:t>
      </w:r>
    </w:p>
  </w:footnote>
  <w:footnote w:id="68">
    <w:p w14:paraId="63489FD9" w14:textId="64F4539E"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Wilson E. Heat Stress Prevention Heats Up in California. </w:t>
      </w:r>
      <w:r w:rsidRPr="006D7F24">
        <w:rPr>
          <w:rFonts w:asciiTheme="majorBidi" w:hAnsiTheme="majorBidi" w:cstheme="majorBidi"/>
          <w:i/>
          <w:iCs/>
        </w:rPr>
        <w:t>EHS Today</w:t>
      </w:r>
      <w:r w:rsidRPr="006D7F24">
        <w:rPr>
          <w:rFonts w:asciiTheme="majorBidi" w:hAnsiTheme="majorBidi" w:cstheme="majorBidi"/>
        </w:rPr>
        <w:t xml:space="preserve">. June 1, 2008. </w:t>
      </w:r>
      <w:hyperlink r:id="rId28" w:history="1">
        <w:r w:rsidRPr="006D7F24">
          <w:rPr>
            <w:rStyle w:val="Hyperlink"/>
            <w:rFonts w:asciiTheme="majorBidi" w:hAnsiTheme="majorBidi" w:cstheme="majorBidi"/>
          </w:rPr>
          <w:t>http://ehstoday.com/mag/heat_stress_prevention/</w:t>
        </w:r>
      </w:hyperlink>
      <w:r w:rsidRPr="006D7F24">
        <w:rPr>
          <w:rFonts w:asciiTheme="majorBidi" w:hAnsiTheme="majorBidi" w:cstheme="majorBidi"/>
        </w:rPr>
        <w:t>. Accessed March 17, 2018.</w:t>
      </w:r>
    </w:p>
  </w:footnote>
  <w:footnote w:id="69">
    <w:p w14:paraId="74292EB5"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California Code of Regulations. Title 8, section 3395, Heat Illness Prevention. </w:t>
      </w:r>
      <w:hyperlink r:id="rId29" w:history="1">
        <w:r w:rsidRPr="006D7F24">
          <w:rPr>
            <w:rStyle w:val="Hyperlink"/>
            <w:rFonts w:asciiTheme="majorBidi" w:hAnsiTheme="majorBidi" w:cstheme="majorBidi"/>
          </w:rPr>
          <w:t>http://www.dir.ca.gov/title8/3395.html</w:t>
        </w:r>
      </w:hyperlink>
      <w:r w:rsidRPr="006D7F24">
        <w:rPr>
          <w:rFonts w:asciiTheme="majorBidi" w:hAnsiTheme="majorBidi" w:cstheme="majorBidi"/>
        </w:rPr>
        <w:t xml:space="preserve">. </w:t>
      </w:r>
    </w:p>
  </w:footnote>
  <w:footnote w:id="70">
    <w:p w14:paraId="520C8279" w14:textId="77777777" w:rsidR="00C77637" w:rsidRPr="006D7F24" w:rsidRDefault="00C77637" w:rsidP="00A45F3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Obtained from Cal/OSHA on August 2, 2011. Data compiled from federal IMIS database.</w:t>
      </w:r>
    </w:p>
  </w:footnote>
  <w:footnote w:id="71">
    <w:p w14:paraId="572BF1E5" w14:textId="77777777"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 xml:space="preserve">Occupational Safety and Health Administration. General Duty Standard search. </w:t>
      </w:r>
      <w:hyperlink r:id="rId30" w:history="1">
        <w:r w:rsidRPr="006D7F24">
          <w:rPr>
            <w:rStyle w:val="Hyperlink"/>
            <w:rFonts w:asciiTheme="majorBidi" w:hAnsiTheme="majorBidi" w:cstheme="majorBidi"/>
          </w:rPr>
          <w:t>https://www.osha.gov/pls/imis/generalsearch.html</w:t>
        </w:r>
      </w:hyperlink>
      <w:r w:rsidRPr="006D7F24">
        <w:rPr>
          <w:rFonts w:asciiTheme="majorBidi" w:hAnsiTheme="majorBidi" w:cstheme="majorBidi"/>
          <w:color w:val="000000"/>
        </w:rPr>
        <w:t>. Accessed January 11, 2018.</w:t>
      </w:r>
    </w:p>
  </w:footnote>
  <w:footnote w:id="72">
    <w:p w14:paraId="4BEBC751" w14:textId="5DD7CDE5" w:rsidR="00C77637" w:rsidRPr="006D7F24" w:rsidRDefault="00C77637" w:rsidP="00ED710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Obtained from Cal/OSHA on August 2, 2011 and presented in September 2011 petition by Public Citizen et al. to OSHA for a federal heat stress standard. </w:t>
      </w:r>
      <w:hyperlink r:id="rId31" w:history="1">
        <w:r w:rsidRPr="006D7F24">
          <w:rPr>
            <w:rStyle w:val="Hyperlink"/>
            <w:rFonts w:asciiTheme="majorBidi" w:hAnsiTheme="majorBidi" w:cstheme="majorBidi"/>
          </w:rPr>
          <w:t>https://www.citizen.org/sites/default/files/petition-for-a-heat-standard-090111.pdf</w:t>
        </w:r>
      </w:hyperlink>
      <w:r w:rsidRPr="006D7F24">
        <w:rPr>
          <w:rFonts w:asciiTheme="majorBidi" w:hAnsiTheme="majorBidi" w:cstheme="majorBidi"/>
        </w:rPr>
        <w:t>. Per Cal/OSHA, data were compiled from federal IMIS database. We have sought more recent data from Cal/OSHA but, at the time of this writing, have not received it yet.</w:t>
      </w:r>
    </w:p>
  </w:footnote>
  <w:footnote w:id="73">
    <w:p w14:paraId="3D73D62E" w14:textId="17536DFA" w:rsidR="00C77637" w:rsidRPr="006D7F24" w:rsidRDefault="00C77637" w:rsidP="00740114">
      <w:pPr>
        <w:pStyle w:val="FootnoteText"/>
      </w:pPr>
      <w:r w:rsidRPr="006D7F24">
        <w:rPr>
          <w:rStyle w:val="FootnoteReference"/>
        </w:rPr>
        <w:footnoteRef/>
      </w:r>
      <w:r w:rsidR="00DB23CF">
        <w:t xml:space="preserve"> </w:t>
      </w:r>
      <w:r w:rsidRPr="006D7F24">
        <w:t>Manual of Naval Preventive Medicine</w:t>
      </w:r>
      <w:r w:rsidRPr="006D7F24">
        <w:rPr>
          <w:i/>
        </w:rPr>
        <w:t>.</w:t>
      </w:r>
      <w:r w:rsidRPr="006D7F24">
        <w:t xml:space="preserve"> Department of the Navy. NAVMED P-5010-3 (Rev. 2-2009). pp. 3-15–3-19.</w:t>
      </w:r>
    </w:p>
  </w:footnote>
  <w:footnote w:id="74">
    <w:p w14:paraId="1FEC71B0" w14:textId="263C738D" w:rsidR="00C77637" w:rsidRPr="006D7F24" w:rsidRDefault="00C77637" w:rsidP="00740114">
      <w:pPr>
        <w:pStyle w:val="FootnoteText"/>
      </w:pPr>
      <w:r w:rsidRPr="006D7F24">
        <w:rPr>
          <w:rStyle w:val="FootnoteReference"/>
        </w:rPr>
        <w:footnoteRef/>
      </w:r>
      <w:r w:rsidRPr="006D7F24">
        <w:t xml:space="preserve"> Ibid. p. 3–17.</w:t>
      </w:r>
    </w:p>
  </w:footnote>
  <w:footnote w:id="75">
    <w:p w14:paraId="493C1F3E" w14:textId="077B0D4E" w:rsidR="00C77637" w:rsidRPr="006D7F24" w:rsidRDefault="00C77637" w:rsidP="00E942BE">
      <w:pPr>
        <w:pStyle w:val="FootnoteText"/>
      </w:pPr>
      <w:r w:rsidRPr="006D7F24">
        <w:rPr>
          <w:rStyle w:val="FootnoteReference"/>
        </w:rPr>
        <w:footnoteRef/>
      </w:r>
      <w:r w:rsidRPr="006D7F24">
        <w:t xml:space="preserve"> Marine Corps Heat and Cold Stress Injury Prevention Program. MARADMIN 111/15. March 9, 2015. </w:t>
      </w:r>
      <w:hyperlink r:id="rId32" w:history="1">
        <w:r w:rsidRPr="006D7F24">
          <w:rPr>
            <w:rStyle w:val="Hyperlink"/>
          </w:rPr>
          <w:t>https://www.marines.mil/News/Messages/Messages-Display/Article/897018/marine-corps-heat-and-cold-stress-injury-prevention-program/</w:t>
        </w:r>
      </w:hyperlink>
      <w:r w:rsidRPr="006D7F24">
        <w:t>. Accessed June 4, 2018.</w:t>
      </w:r>
    </w:p>
  </w:footnote>
  <w:footnote w:id="76">
    <w:p w14:paraId="36C77670" w14:textId="564ABA65" w:rsidR="00C77637" w:rsidRPr="006D7F24" w:rsidRDefault="00C77637" w:rsidP="00740114">
      <w:pPr>
        <w:pStyle w:val="FootnoteText"/>
      </w:pPr>
      <w:r w:rsidRPr="006D7F24">
        <w:rPr>
          <w:rStyle w:val="FootnoteReference"/>
        </w:rPr>
        <w:footnoteRef/>
      </w:r>
      <w:r w:rsidRPr="006D7F24">
        <w:t xml:space="preserve"> Marine Corps Base Order 6200.1A. July 22, 2002. pp.1–2.</w:t>
      </w:r>
    </w:p>
  </w:footnote>
  <w:footnote w:id="77">
    <w:p w14:paraId="3DDF40BC" w14:textId="6918FD04" w:rsidR="00C77637" w:rsidRPr="006D7F24" w:rsidRDefault="00C77637">
      <w:pPr>
        <w:pStyle w:val="FootnoteText"/>
      </w:pPr>
      <w:r w:rsidRPr="006D7F24">
        <w:rPr>
          <w:rStyle w:val="FootnoteReference"/>
        </w:rPr>
        <w:footnoteRef/>
      </w:r>
      <w:r w:rsidRPr="006D7F24">
        <w:t xml:space="preserve"> Technical Bulletin: Heat Stress Control and Heat Casualty Management. Headquarters, Departments of the Army and Air Force. TB MED 507 / AFPAM 48-152 (I). March 7, 2003.</w:t>
      </w:r>
    </w:p>
  </w:footnote>
  <w:footnote w:id="78">
    <w:p w14:paraId="6E13E8B9" w14:textId="00587377" w:rsidR="00C77637" w:rsidRPr="006D7F24" w:rsidRDefault="00C77637">
      <w:pPr>
        <w:pStyle w:val="FootnoteText"/>
      </w:pPr>
      <w:r w:rsidRPr="006D7F24">
        <w:rPr>
          <w:rStyle w:val="FootnoteReference"/>
        </w:rPr>
        <w:footnoteRef/>
      </w:r>
      <w:r w:rsidRPr="006D7F24">
        <w:t xml:space="preserve"> Technical Bulletin: Heat Stress Control and Heat Casualty Management. Headquarters, Departments of the Army and Air Force. TB MED 507 / AFPAM 48-152 (I). March 7, 2003. p. 16–18, Table 3-3.</w:t>
      </w:r>
    </w:p>
  </w:footnote>
  <w:footnote w:id="79">
    <w:p w14:paraId="39D818B1" w14:textId="77777777" w:rsidR="00C77637" w:rsidRPr="006D7F24" w:rsidRDefault="00C77637" w:rsidP="003F0B72">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Ollie J. and Kenny G.P. Heat exposure in the Canadian workplace. </w:t>
      </w:r>
      <w:r w:rsidRPr="006D7F24">
        <w:rPr>
          <w:rFonts w:asciiTheme="majorBidi" w:hAnsiTheme="majorBidi" w:cstheme="majorBidi"/>
          <w:i/>
        </w:rPr>
        <w:t>Am. J. of Indus. Med</w:t>
      </w:r>
      <w:r w:rsidRPr="006D7F24">
        <w:rPr>
          <w:rFonts w:asciiTheme="majorBidi" w:hAnsiTheme="majorBidi" w:cstheme="majorBidi"/>
        </w:rPr>
        <w:t>. 2010;53:842–53. p. 845.</w:t>
      </w:r>
    </w:p>
  </w:footnote>
  <w:footnote w:id="80">
    <w:p w14:paraId="7A72CF45" w14:textId="19106803" w:rsidR="00C77637" w:rsidRPr="006D7F24" w:rsidRDefault="00C77637" w:rsidP="0046650A">
      <w:pPr>
        <w:pStyle w:val="FootnoteText"/>
      </w:pPr>
      <w:r w:rsidRPr="006D7F24">
        <w:rPr>
          <w:rStyle w:val="FootnoteReference"/>
        </w:rPr>
        <w:footnoteRef/>
      </w:r>
      <w:r w:rsidRPr="006D7F24">
        <w:t xml:space="preserve"> Canada Occupational Health and Safety Regulations § 9.9. </w:t>
      </w:r>
      <w:hyperlink r:id="rId33" w:anchor="h-96" w:history="1">
        <w:r w:rsidRPr="006D7F24">
          <w:rPr>
            <w:rStyle w:val="Hyperlink"/>
          </w:rPr>
          <w:t>http://laws.justice.gc.ca/eng/regulations/SOR-86-304/page-18.html#h-96</w:t>
        </w:r>
      </w:hyperlink>
      <w:r w:rsidRPr="006D7F24">
        <w:t xml:space="preserve">. </w:t>
      </w:r>
      <w:r w:rsidR="005E355A">
        <w:t>Accessed</w:t>
      </w:r>
      <w:r w:rsidRPr="006D7F24">
        <w:t xml:space="preserve"> June 6, 2018.</w:t>
      </w:r>
    </w:p>
  </w:footnote>
  <w:footnote w:id="81">
    <w:p w14:paraId="21867CC9" w14:textId="5999F331" w:rsidR="00C77637" w:rsidRPr="006D7F24" w:rsidRDefault="00C77637" w:rsidP="0046650A">
      <w:pPr>
        <w:pStyle w:val="FootnoteText"/>
      </w:pPr>
      <w:r w:rsidRPr="006D7F24">
        <w:rPr>
          <w:rStyle w:val="FootnoteReference"/>
        </w:rPr>
        <w:footnoteRef/>
      </w:r>
      <w:r w:rsidRPr="006D7F24">
        <w:t xml:space="preserve"> Canada Occupational Health and Safety Regulations § 16.10(2)(b). </w:t>
      </w:r>
      <w:hyperlink r:id="rId34" w:anchor="h-259" w:history="1">
        <w:r w:rsidR="005E355A" w:rsidRPr="000B772D">
          <w:rPr>
            <w:rStyle w:val="Hyperlink"/>
          </w:rPr>
          <w:t>http://laws.justice.gc.ca/eng/regulations/SOR-86-304/page-42.html#h-259</w:t>
        </w:r>
      </w:hyperlink>
      <w:r w:rsidRPr="006D7F24">
        <w:t xml:space="preserve">. </w:t>
      </w:r>
      <w:r w:rsidR="005E355A">
        <w:t>Accessed</w:t>
      </w:r>
      <w:r w:rsidRPr="006D7F24">
        <w:t xml:space="preserve"> June 6, 2018.</w:t>
      </w:r>
    </w:p>
  </w:footnote>
  <w:footnote w:id="82">
    <w:p w14:paraId="3F6DE218" w14:textId="7D49BF1A" w:rsidR="00C77637" w:rsidRPr="006D7F24" w:rsidRDefault="00C77637" w:rsidP="0046650A">
      <w:pPr>
        <w:pStyle w:val="FootnoteText"/>
      </w:pPr>
      <w:r w:rsidRPr="006D7F24">
        <w:rPr>
          <w:rStyle w:val="FootnoteReference"/>
        </w:rPr>
        <w:footnoteRef/>
      </w:r>
      <w:r w:rsidRPr="006D7F24">
        <w:t xml:space="preserve"> Canada Occupational Health and Safety Regulations § 14.9(2). </w:t>
      </w:r>
      <w:hyperlink r:id="rId35" w:anchor="h-202" w:history="1">
        <w:r w:rsidRPr="006D7F24">
          <w:rPr>
            <w:rStyle w:val="Hyperlink"/>
          </w:rPr>
          <w:t>http://laws.justice.gc.ca/eng/regulations/SOR-86-304/page-35.html#h-202</w:t>
        </w:r>
      </w:hyperlink>
      <w:r w:rsidRPr="006D7F24">
        <w:t xml:space="preserve">. </w:t>
      </w:r>
      <w:r w:rsidR="005E355A">
        <w:t>Accessed</w:t>
      </w:r>
      <w:r w:rsidRPr="006D7F24">
        <w:t xml:space="preserve"> June 6, 2018.</w:t>
      </w:r>
    </w:p>
  </w:footnote>
  <w:footnote w:id="83">
    <w:p w14:paraId="615C272A" w14:textId="76C43D45" w:rsidR="00C77637" w:rsidRPr="006D7F24" w:rsidRDefault="00C77637" w:rsidP="00FC620B">
      <w:pPr>
        <w:pStyle w:val="FootnoteText"/>
      </w:pPr>
      <w:r w:rsidRPr="006D7F24">
        <w:rPr>
          <w:rStyle w:val="FootnoteReference"/>
        </w:rPr>
        <w:footnoteRef/>
      </w:r>
      <w:r w:rsidRPr="006D7F24">
        <w:t xml:space="preserve"> </w:t>
      </w:r>
      <w:r w:rsidRPr="006D7F24">
        <w:rPr>
          <w:rFonts w:asciiTheme="majorBidi" w:hAnsiTheme="majorBidi" w:cstheme="majorBidi"/>
        </w:rPr>
        <w:t xml:space="preserve">NIOSH 2016 Criteria Recommendations. p. 108. Taken by NIOSH from: Tanaka M. Heat stress standard for hot work environments in Japan. </w:t>
      </w:r>
      <w:proofErr w:type="spellStart"/>
      <w:r w:rsidRPr="006D7F24">
        <w:rPr>
          <w:rFonts w:asciiTheme="majorBidi" w:hAnsiTheme="majorBidi" w:cstheme="majorBidi"/>
          <w:i/>
          <w:iCs/>
        </w:rPr>
        <w:t>Ind</w:t>
      </w:r>
      <w:proofErr w:type="spellEnd"/>
      <w:r w:rsidRPr="006D7F24">
        <w:rPr>
          <w:rFonts w:asciiTheme="majorBidi" w:hAnsiTheme="majorBidi" w:cstheme="majorBidi"/>
          <w:i/>
          <w:iCs/>
        </w:rPr>
        <w:t xml:space="preserve"> Health</w:t>
      </w:r>
      <w:r w:rsidRPr="006D7F24">
        <w:rPr>
          <w:rFonts w:asciiTheme="majorBidi" w:hAnsiTheme="majorBidi" w:cstheme="majorBidi"/>
        </w:rPr>
        <w:t>. 2007;45(1):85–90.</w:t>
      </w:r>
    </w:p>
  </w:footnote>
  <w:footnote w:id="84">
    <w:p w14:paraId="3781DB82" w14:textId="46F32BFE"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color w:val="000000"/>
        </w:rPr>
        <w:t>NIOSH 2016 Criteria Recommendations. pp. 1–10.</w:t>
      </w:r>
    </w:p>
  </w:footnote>
  <w:footnote w:id="85">
    <w:p w14:paraId="0BCEDF93" w14:textId="5BB4B0D7" w:rsidR="00C77637" w:rsidRPr="006D7F24" w:rsidRDefault="00C77637" w:rsidP="00360794">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94.</w:t>
      </w:r>
    </w:p>
  </w:footnote>
  <w:footnote w:id="86">
    <w:p w14:paraId="1A63B99C" w14:textId="65C705D6" w:rsidR="00C77637" w:rsidRPr="006D7F24" w:rsidRDefault="00C77637" w:rsidP="00360794">
      <w:pPr>
        <w:pStyle w:val="FootnoteText"/>
      </w:pPr>
      <w:r w:rsidRPr="006D7F24">
        <w:rPr>
          <w:rStyle w:val="FootnoteReference"/>
        </w:rPr>
        <w:footnoteRef/>
      </w:r>
      <w:r w:rsidRPr="006D7F24">
        <w:t xml:space="preserve"> </w:t>
      </w:r>
      <w:r w:rsidRPr="006D7F24">
        <w:rPr>
          <w:rFonts w:asciiTheme="majorBidi" w:hAnsiTheme="majorBidi" w:cstheme="majorBidi"/>
        </w:rPr>
        <w:t>NIOSH 2016 Criteria Recommendations. p. 95.</w:t>
      </w:r>
    </w:p>
  </w:footnote>
  <w:footnote w:id="87">
    <w:p w14:paraId="7ED459C7" w14:textId="7616A51B"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Technical Manual. Section III: Chapter 4 (Heat Stress). Updated September 15, 2017. </w:t>
      </w:r>
      <w:hyperlink r:id="rId36" w:history="1">
        <w:r w:rsidRPr="006D7F24">
          <w:rPr>
            <w:rStyle w:val="Hyperlink"/>
            <w:rFonts w:asciiTheme="majorBidi" w:hAnsiTheme="majorBidi" w:cstheme="majorBidi"/>
          </w:rPr>
          <w:t>https://www.osha.gov/dts/osta/otm/otm_iii/otm_iii_4.html</w:t>
        </w:r>
      </w:hyperlink>
      <w:r w:rsidRPr="006D7F24">
        <w:rPr>
          <w:rFonts w:asciiTheme="majorBidi" w:hAnsiTheme="majorBidi" w:cstheme="majorBidi"/>
        </w:rPr>
        <w:t>. Accessed March 12, 2018.</w:t>
      </w:r>
    </w:p>
  </w:footnote>
  <w:footnote w:id="88">
    <w:p w14:paraId="33852BC4" w14:textId="77777777"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Occupational Safety and Health Administration. OSHA Technical Manual: Heat Stress. Section III: Chapter 4. </w:t>
      </w:r>
      <w:hyperlink r:id="rId37" w:anchor="metabolic" w:history="1">
        <w:r w:rsidRPr="006D7F24">
          <w:rPr>
            <w:rStyle w:val="Hyperlink"/>
            <w:rFonts w:asciiTheme="majorBidi" w:hAnsiTheme="majorBidi" w:cstheme="majorBidi"/>
          </w:rPr>
          <w:t>https://www.osha.gov/dts/osta/otm/otm_iii/otm_iii_4.html#metabolic</w:t>
        </w:r>
      </w:hyperlink>
      <w:r w:rsidRPr="006D7F24">
        <w:rPr>
          <w:rFonts w:asciiTheme="majorBidi" w:hAnsiTheme="majorBidi" w:cstheme="majorBidi"/>
        </w:rPr>
        <w:t>. Accessed March 17, 2018.</w:t>
      </w:r>
    </w:p>
  </w:footnote>
  <w:footnote w:id="89">
    <w:p w14:paraId="16ECDD71" w14:textId="068258F2"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94–95. Note that the minutes per hour represent the amount of allowed work per hour, gradually decreasing as the WBGT (Y-axis) increases, keeping metabolic load constant.</w:t>
      </w:r>
    </w:p>
  </w:footnote>
  <w:footnote w:id="90">
    <w:p w14:paraId="17F7E65C" w14:textId="2A6EF917" w:rsidR="00C77637" w:rsidRPr="006D7F24" w:rsidRDefault="00C77637" w:rsidP="007757ED">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viii.</w:t>
      </w:r>
    </w:p>
  </w:footnote>
  <w:footnote w:id="91">
    <w:p w14:paraId="1C4D14A4" w14:textId="097C14A9"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92">
    <w:p w14:paraId="541D9A6A" w14:textId="1EB6F098"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83–84.</w:t>
      </w:r>
    </w:p>
  </w:footnote>
  <w:footnote w:id="93">
    <w:p w14:paraId="0EB9AF40" w14:textId="7A71A3E2" w:rsidR="00C77637" w:rsidRPr="006D7F24" w:rsidRDefault="00C77637" w:rsidP="00546E8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7.</w:t>
      </w:r>
    </w:p>
  </w:footnote>
  <w:footnote w:id="94">
    <w:p w14:paraId="780A1C70" w14:textId="644E10EC"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9–10.</w:t>
      </w:r>
    </w:p>
  </w:footnote>
  <w:footnote w:id="95">
    <w:p w14:paraId="36F1EDC6" w14:textId="7A2FDE70"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viii, 33, 34.78</w:t>
      </w:r>
    </w:p>
  </w:footnote>
  <w:footnote w:id="96">
    <w:p w14:paraId="7A3B8CC8" w14:textId="55C77316"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34.</w:t>
      </w:r>
    </w:p>
  </w:footnote>
  <w:footnote w:id="97">
    <w:p w14:paraId="5994DC46" w14:textId="3DFCA28C" w:rsidR="00C77637" w:rsidRPr="006D7F24" w:rsidRDefault="00C77637" w:rsidP="00C37051">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34.</w:t>
      </w:r>
    </w:p>
  </w:footnote>
  <w:footnote w:id="98">
    <w:p w14:paraId="3ED360F1" w14:textId="0F276CBB"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33. Note </w:t>
      </w:r>
      <w:r w:rsidR="0096523D">
        <w:rPr>
          <w:rFonts w:asciiTheme="majorBidi" w:hAnsiTheme="majorBidi" w:cstheme="majorBidi"/>
        </w:rPr>
        <w:t xml:space="preserve">that NISOSH </w:t>
      </w:r>
      <w:r w:rsidRPr="006D7F24">
        <w:rPr>
          <w:rFonts w:asciiTheme="majorBidi" w:hAnsiTheme="majorBidi" w:cstheme="majorBidi"/>
        </w:rPr>
        <w:t>refers only to environmental heat load</w:t>
      </w:r>
      <w:r w:rsidR="0096523D">
        <w:rPr>
          <w:rFonts w:asciiTheme="majorBidi" w:hAnsiTheme="majorBidi" w:cstheme="majorBidi"/>
        </w:rPr>
        <w:t xml:space="preserve"> here</w:t>
      </w:r>
      <w:r w:rsidRPr="006D7F24">
        <w:rPr>
          <w:rFonts w:asciiTheme="majorBidi" w:hAnsiTheme="majorBidi" w:cstheme="majorBidi"/>
        </w:rPr>
        <w:t>, but metabolic heat changes (with increasing workload) would also, per NIOSH</w:t>
      </w:r>
      <w:r w:rsidR="00DB23CF">
        <w:rPr>
          <w:rFonts w:asciiTheme="majorBidi" w:hAnsiTheme="majorBidi" w:cstheme="majorBidi"/>
        </w:rPr>
        <w:t>’</w:t>
      </w:r>
      <w:r w:rsidRPr="006D7F24">
        <w:rPr>
          <w:rFonts w:asciiTheme="majorBidi" w:hAnsiTheme="majorBidi" w:cstheme="majorBidi"/>
        </w:rPr>
        <w:t>s logic employed in its REL/RAL calculations, require re-acclimatization.</w:t>
      </w:r>
    </w:p>
  </w:footnote>
  <w:footnote w:id="99">
    <w:p w14:paraId="4E3ACC86" w14:textId="10C0D3ED"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32.</w:t>
      </w:r>
    </w:p>
  </w:footnote>
  <w:footnote w:id="100">
    <w:p w14:paraId="40C51BC1" w14:textId="6CB078B7"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Arbury S, </w:t>
      </w:r>
      <w:proofErr w:type="spellStart"/>
      <w:r w:rsidRPr="006D7F24">
        <w:rPr>
          <w:rFonts w:asciiTheme="majorBidi" w:hAnsiTheme="majorBidi" w:cstheme="majorBidi"/>
        </w:rPr>
        <w:t>Lindsley</w:t>
      </w:r>
      <w:proofErr w:type="spellEnd"/>
      <w:r w:rsidRPr="006D7F24">
        <w:rPr>
          <w:rFonts w:asciiTheme="majorBidi" w:hAnsiTheme="majorBidi" w:cstheme="majorBidi"/>
        </w:rPr>
        <w:t xml:space="preserve"> M, Hodgson M. A critical review of OSHA heat enforcement cases: Lessons learned. </w:t>
      </w:r>
      <w:r w:rsidRPr="006D7F24">
        <w:rPr>
          <w:rFonts w:asciiTheme="majorBidi" w:hAnsiTheme="majorBidi" w:cstheme="majorBidi"/>
          <w:i/>
          <w:iCs/>
        </w:rPr>
        <w:t xml:space="preserve">J </w:t>
      </w:r>
      <w:proofErr w:type="spellStart"/>
      <w:r w:rsidRPr="006D7F24">
        <w:rPr>
          <w:rFonts w:asciiTheme="majorBidi" w:hAnsiTheme="majorBidi" w:cstheme="majorBidi"/>
          <w:i/>
          <w:iCs/>
        </w:rPr>
        <w:t>Occup</w:t>
      </w:r>
      <w:proofErr w:type="spellEnd"/>
      <w:r w:rsidRPr="006D7F24">
        <w:rPr>
          <w:rFonts w:asciiTheme="majorBidi" w:hAnsiTheme="majorBidi" w:cstheme="majorBidi"/>
          <w:i/>
          <w:iCs/>
        </w:rPr>
        <w:t xml:space="preserve"> Environ Med</w:t>
      </w:r>
      <w:r w:rsidRPr="006D7F24">
        <w:rPr>
          <w:rFonts w:asciiTheme="majorBidi" w:hAnsiTheme="majorBidi" w:cstheme="majorBidi"/>
        </w:rPr>
        <w:t>. 2016;58(4):359-363.</w:t>
      </w:r>
    </w:p>
  </w:footnote>
  <w:footnote w:id="101">
    <w:p w14:paraId="64C6843E" w14:textId="4913E48A"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02">
    <w:p w14:paraId="2ECC2327" w14:textId="4DDEC4EE"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03">
    <w:p w14:paraId="686D66D5" w14:textId="116B4910"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w:t>
      </w:r>
    </w:p>
  </w:footnote>
  <w:footnote w:id="104">
    <w:p w14:paraId="480EE726" w14:textId="448730E3" w:rsidR="00C77637" w:rsidRPr="006D7F24" w:rsidRDefault="00C77637" w:rsidP="00360794">
      <w:pPr>
        <w:pStyle w:val="FootnoteText"/>
        <w:contextualSpacing/>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w:t>
      </w:r>
    </w:p>
  </w:footnote>
  <w:footnote w:id="105">
    <w:p w14:paraId="7EC67A9D" w14:textId="13FD7F14"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NIOSH 2016 Criteria Recommendations. p. 3.</w:t>
      </w:r>
    </w:p>
  </w:footnote>
  <w:footnote w:id="106">
    <w:p w14:paraId="1F5AC2C3" w14:textId="77777777" w:rsidR="00C77637" w:rsidRPr="006D7F24" w:rsidRDefault="00C77637" w:rsidP="00360794">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p>
  </w:footnote>
  <w:footnote w:id="107">
    <w:p w14:paraId="77EE71B4" w14:textId="77777777" w:rsidR="00C77637" w:rsidRPr="006D7F24" w:rsidRDefault="00C77637" w:rsidP="00360794">
      <w:pPr>
        <w:pStyle w:val="FootnoteText"/>
        <w:rPr>
          <w:rFonts w:asciiTheme="majorBidi" w:hAnsiTheme="majorBidi" w:cstheme="majorBidi"/>
          <w:i/>
          <w:iCs/>
        </w:rPr>
      </w:pPr>
      <w:r w:rsidRPr="006D7F24">
        <w:rPr>
          <w:rStyle w:val="FootnoteReference"/>
          <w:rFonts w:asciiTheme="majorBidi" w:hAnsiTheme="majorBidi" w:cstheme="majorBidi"/>
        </w:rPr>
        <w:footnoteRef/>
      </w:r>
      <w:r w:rsidRPr="006D7F24">
        <w:rPr>
          <w:rFonts w:asciiTheme="majorBidi" w:hAnsiTheme="majorBidi" w:cstheme="majorBidi"/>
        </w:rPr>
        <w:t xml:space="preserve"> </w:t>
      </w:r>
      <w:r w:rsidRPr="006D7F24">
        <w:rPr>
          <w:rFonts w:asciiTheme="majorBidi" w:hAnsiTheme="majorBidi" w:cstheme="majorBidi"/>
          <w:iCs/>
        </w:rPr>
        <w:t>Ibid.</w:t>
      </w:r>
    </w:p>
  </w:footnote>
  <w:footnote w:id="108">
    <w:p w14:paraId="118CEF71" w14:textId="77FDF717"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4–6.</w:t>
      </w:r>
    </w:p>
  </w:footnote>
  <w:footnote w:id="109">
    <w:p w14:paraId="66CA8F00" w14:textId="51CEA6BE"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6–7.</w:t>
      </w:r>
    </w:p>
  </w:footnote>
  <w:footnote w:id="110">
    <w:p w14:paraId="03DCE1BF" w14:textId="2B938F1E"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10.</w:t>
      </w:r>
    </w:p>
  </w:footnote>
  <w:footnote w:id="111">
    <w:p w14:paraId="4BCD21B2" w14:textId="188324BA"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80–81.</w:t>
      </w:r>
    </w:p>
  </w:footnote>
  <w:footnote w:id="112">
    <w:p w14:paraId="1792842E" w14:textId="19B38815"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7–8.</w:t>
      </w:r>
    </w:p>
  </w:footnote>
  <w:footnote w:id="113">
    <w:p w14:paraId="6AE59C5E" w14:textId="55B93B44" w:rsidR="00C77637" w:rsidRPr="006D7F24" w:rsidRDefault="00C77637" w:rsidP="00360794">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6.</w:t>
      </w:r>
    </w:p>
  </w:footnote>
  <w:footnote w:id="114">
    <w:p w14:paraId="05ACC32E" w14:textId="4B68BE09" w:rsidR="00C77637" w:rsidRPr="00483316" w:rsidRDefault="00C77637" w:rsidP="0001764D">
      <w:pPr>
        <w:pStyle w:val="FootnoteText"/>
        <w:rPr>
          <w:rFonts w:asciiTheme="majorBidi" w:hAnsiTheme="majorBidi" w:cstheme="majorBidi"/>
        </w:rPr>
      </w:pPr>
      <w:r w:rsidRPr="006D7F24">
        <w:rPr>
          <w:rStyle w:val="FootnoteReference"/>
          <w:rFonts w:asciiTheme="majorBidi" w:hAnsiTheme="majorBidi" w:cstheme="majorBidi"/>
        </w:rPr>
        <w:footnoteRef/>
      </w:r>
      <w:r w:rsidRPr="006D7F24">
        <w:rPr>
          <w:rFonts w:asciiTheme="majorBidi" w:hAnsiTheme="majorBidi" w:cstheme="majorBidi"/>
        </w:rPr>
        <w:t xml:space="preserve"> Ibid. p.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06FA0" w14:textId="391B8EBB" w:rsidR="0061738E" w:rsidRPr="00BF4180" w:rsidRDefault="0061738E" w:rsidP="000021E8">
    <w:pPr>
      <w:pStyle w:val="Header"/>
      <w:rPr>
        <w:rFonts w:asciiTheme="minorBidi" w:hAnsiTheme="minorBidi" w:cstheme="minorBidi"/>
        <w:bCs/>
      </w:rPr>
    </w:pPr>
    <w:r w:rsidRPr="00BF4180">
      <w:rPr>
        <w:rFonts w:asciiTheme="minorBidi" w:hAnsiTheme="minorBidi" w:cstheme="minorBidi"/>
        <w:bCs/>
      </w:rPr>
      <w:t>Public Citizen et al.</w:t>
    </w:r>
    <w:r w:rsidRPr="00BF4180">
      <w:rPr>
        <w:rFonts w:asciiTheme="minorBidi" w:hAnsiTheme="minorBidi" w:cstheme="minorBidi"/>
        <w:bCs/>
      </w:rPr>
      <w:tab/>
      <w:t>Petition to OSHA for a Heat Standard</w:t>
    </w:r>
    <w:r w:rsidRPr="00BF4180">
      <w:rPr>
        <w:rFonts w:asciiTheme="minorBidi" w:hAnsiTheme="minorBidi" w:cstheme="minorBidi"/>
        <w:bCs/>
      </w:rPr>
      <w:tab/>
    </w:r>
    <w:r w:rsidR="006A048E">
      <w:rPr>
        <w:rFonts w:asciiTheme="minorBidi" w:hAnsiTheme="minorBidi" w:cstheme="minorBidi"/>
        <w:bCs/>
      </w:rPr>
      <w:t xml:space="preserve">July </w:t>
    </w:r>
    <w:r w:rsidRPr="00BF4180">
      <w:rPr>
        <w:rFonts w:asciiTheme="minorBidi" w:hAnsiTheme="minorBidi" w:cstheme="minorBidi"/>
        <w:bCs/>
      </w:rPr>
      <w:t>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478E2" w14:textId="77777777" w:rsidR="0061738E" w:rsidRDefault="0061738E">
    <w:pPr>
      <w:pStyle w:val="Header"/>
    </w:pPr>
    <w:r>
      <w:rPr>
        <w:noProof/>
      </w:rPr>
      <w:drawing>
        <wp:inline distT="0" distB="0" distL="0" distR="0" wp14:anchorId="500802F3" wp14:editId="5E65FD97">
          <wp:extent cx="5943600" cy="1487170"/>
          <wp:effectExtent l="0" t="0" r="0" b="0"/>
          <wp:docPr id="13" name="Picture 13" descr="new letterhead 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letterhead upd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8717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7F1C"/>
    <w:multiLevelType w:val="hybridMultilevel"/>
    <w:tmpl w:val="13F0487A"/>
    <w:lvl w:ilvl="0" w:tplc="2812853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E69CE"/>
    <w:multiLevelType w:val="hybridMultilevel"/>
    <w:tmpl w:val="2294F506"/>
    <w:lvl w:ilvl="0" w:tplc="35265FAE">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E1685"/>
    <w:multiLevelType w:val="hybridMultilevel"/>
    <w:tmpl w:val="A27ACA74"/>
    <w:lvl w:ilvl="0" w:tplc="67DAA7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4DE"/>
    <w:multiLevelType w:val="hybridMultilevel"/>
    <w:tmpl w:val="BCEA0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B0DD1"/>
    <w:multiLevelType w:val="hybridMultilevel"/>
    <w:tmpl w:val="CF56BB2C"/>
    <w:lvl w:ilvl="0" w:tplc="48649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50EE4"/>
    <w:multiLevelType w:val="hybridMultilevel"/>
    <w:tmpl w:val="9AB81BEA"/>
    <w:lvl w:ilvl="0" w:tplc="66AC2FD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C2143D"/>
    <w:multiLevelType w:val="hybridMultilevel"/>
    <w:tmpl w:val="5180FD70"/>
    <w:lvl w:ilvl="0" w:tplc="020A7A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C7EDC"/>
    <w:multiLevelType w:val="multilevel"/>
    <w:tmpl w:val="171C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2D33F5"/>
    <w:multiLevelType w:val="hybridMultilevel"/>
    <w:tmpl w:val="64E2C414"/>
    <w:lvl w:ilvl="0" w:tplc="D7B49444">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2A42CA"/>
    <w:multiLevelType w:val="hybridMultilevel"/>
    <w:tmpl w:val="7360AD9C"/>
    <w:lvl w:ilvl="0" w:tplc="4BF44A1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E5040"/>
    <w:multiLevelType w:val="multilevel"/>
    <w:tmpl w:val="C1BA810A"/>
    <w:styleLink w:val="SBookAntiqua12"/>
    <w:lvl w:ilvl="0">
      <w:start w:val="1"/>
      <w:numFmt w:val="decimal"/>
      <w:pStyle w:val="s1ba12"/>
      <w:lvlText w:val="%1."/>
      <w:lvlJc w:val="left"/>
      <w:pPr>
        <w:ind w:left="360" w:hanging="360"/>
      </w:pPr>
      <w:rPr>
        <w:rFonts w:hint="default"/>
      </w:rPr>
    </w:lvl>
    <w:lvl w:ilvl="1">
      <w:start w:val="1"/>
      <w:numFmt w:val="lowerLetter"/>
      <w:pStyle w:val="s2ba12"/>
      <w:lvlText w:val="%2."/>
      <w:lvlJc w:val="left"/>
      <w:pPr>
        <w:ind w:left="720" w:hanging="360"/>
      </w:pPr>
      <w:rPr>
        <w:rFonts w:hint="default"/>
      </w:rPr>
    </w:lvl>
    <w:lvl w:ilvl="2">
      <w:start w:val="1"/>
      <w:numFmt w:val="bullet"/>
      <w:pStyle w:val="s3ba12"/>
      <w:lvlText w:val=""/>
      <w:lvlJc w:val="left"/>
      <w:pPr>
        <w:ind w:left="1080" w:hanging="360"/>
      </w:pPr>
      <w:rPr>
        <w:rFonts w:ascii="Symbol" w:hAnsi="Symbol" w:hint="default"/>
        <w:color w:val="auto"/>
      </w:rPr>
    </w:lvl>
    <w:lvl w:ilvl="3">
      <w:start w:val="1"/>
      <w:numFmt w:val="bullet"/>
      <w:pStyle w:val="s4ba12"/>
      <w:lvlText w:val=""/>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7F44CD"/>
    <w:multiLevelType w:val="hybridMultilevel"/>
    <w:tmpl w:val="EDF6B0C4"/>
    <w:lvl w:ilvl="0" w:tplc="4F0AC4AA">
      <w:start w:val="1"/>
      <w:numFmt w:val="bullet"/>
      <w:pStyle w:val="Bullet1"/>
      <w:lvlText w:val=""/>
      <w:lvlJc w:val="left"/>
      <w:pPr>
        <w:ind w:left="720" w:hanging="360"/>
      </w:pPr>
      <w:rPr>
        <w:rFonts w:ascii="Symbol" w:hAnsi="Symbol" w:hint="default"/>
      </w:rPr>
    </w:lvl>
    <w:lvl w:ilvl="1" w:tplc="CA629898">
      <w:start w:val="1"/>
      <w:numFmt w:val="bullet"/>
      <w:pStyle w:val="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D0451"/>
    <w:multiLevelType w:val="hybridMultilevel"/>
    <w:tmpl w:val="7C6CB60A"/>
    <w:lvl w:ilvl="0" w:tplc="8974D0A8">
      <w:start w:val="3"/>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77FC4"/>
    <w:multiLevelType w:val="hybridMultilevel"/>
    <w:tmpl w:val="C51AF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C6143"/>
    <w:multiLevelType w:val="hybridMultilevel"/>
    <w:tmpl w:val="30B4BCE4"/>
    <w:lvl w:ilvl="0" w:tplc="5844A76A">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B10182"/>
    <w:multiLevelType w:val="multilevel"/>
    <w:tmpl w:val="FE4A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090A2F"/>
    <w:multiLevelType w:val="multilevel"/>
    <w:tmpl w:val="A66AA8C6"/>
    <w:styleLink w:val="StyleforNotes"/>
    <w:lvl w:ilvl="0">
      <w:start w:val="1"/>
      <w:numFmt w:val="decimal"/>
      <w:suff w:val="space"/>
      <w:lvlText w:val="Class %1:"/>
      <w:lvlJc w:val="left"/>
      <w:pPr>
        <w:ind w:left="0" w:firstLine="0"/>
      </w:pPr>
      <w:rPr>
        <w:rFonts w:hint="default"/>
        <w:b/>
      </w:rPr>
    </w:lvl>
    <w:lvl w:ilvl="1">
      <w:start w:val="1"/>
      <w:numFmt w:val="upperRoman"/>
      <w:pStyle w:val="L1"/>
      <w:lvlText w:val="%2."/>
      <w:lvlJc w:val="left"/>
      <w:pPr>
        <w:ind w:left="475" w:hanging="475"/>
      </w:pPr>
      <w:rPr>
        <w:rFonts w:hint="default"/>
      </w:rPr>
    </w:lvl>
    <w:lvl w:ilvl="2">
      <w:start w:val="1"/>
      <w:numFmt w:val="upperLetter"/>
      <w:pStyle w:val="L2"/>
      <w:lvlText w:val="%3."/>
      <w:lvlJc w:val="left"/>
      <w:pPr>
        <w:ind w:left="835" w:hanging="475"/>
      </w:pPr>
      <w:rPr>
        <w:rFonts w:hint="default"/>
      </w:rPr>
    </w:lvl>
    <w:lvl w:ilvl="3">
      <w:start w:val="1"/>
      <w:numFmt w:val="decimal"/>
      <w:pStyle w:val="L3"/>
      <w:lvlText w:val="%4."/>
      <w:lvlJc w:val="left"/>
      <w:pPr>
        <w:ind w:left="1195" w:hanging="475"/>
      </w:pPr>
      <w:rPr>
        <w:rFonts w:hint="default"/>
      </w:rPr>
    </w:lvl>
    <w:lvl w:ilvl="4">
      <w:start w:val="1"/>
      <w:numFmt w:val="lowerLetter"/>
      <w:pStyle w:val="L4"/>
      <w:lvlText w:val="%5."/>
      <w:lvlJc w:val="left"/>
      <w:pPr>
        <w:ind w:left="1555" w:hanging="475"/>
      </w:pPr>
      <w:rPr>
        <w:rFonts w:hint="default"/>
      </w:rPr>
    </w:lvl>
    <w:lvl w:ilvl="5">
      <w:start w:val="1"/>
      <w:numFmt w:val="decimal"/>
      <w:pStyle w:val="L5"/>
      <w:lvlText w:val="%6)"/>
      <w:lvlJc w:val="left"/>
      <w:pPr>
        <w:ind w:left="1915" w:hanging="475"/>
      </w:pPr>
      <w:rPr>
        <w:rFonts w:hint="default"/>
      </w:rPr>
    </w:lvl>
    <w:lvl w:ilvl="6">
      <w:start w:val="1"/>
      <w:numFmt w:val="lowerLetter"/>
      <w:pStyle w:val="L6"/>
      <w:lvlText w:val="%7)"/>
      <w:lvlJc w:val="left"/>
      <w:pPr>
        <w:ind w:left="2275" w:hanging="475"/>
      </w:pPr>
      <w:rPr>
        <w:rFonts w:hint="default"/>
      </w:rPr>
    </w:lvl>
    <w:lvl w:ilvl="7">
      <w:start w:val="1"/>
      <w:numFmt w:val="lowerRoman"/>
      <w:pStyle w:val="L7"/>
      <w:lvlText w:val="%8."/>
      <w:lvlJc w:val="left"/>
      <w:pPr>
        <w:ind w:left="2635" w:hanging="475"/>
      </w:pPr>
      <w:rPr>
        <w:rFonts w:hint="default"/>
      </w:rPr>
    </w:lvl>
    <w:lvl w:ilvl="8">
      <w:numFmt w:val="none"/>
      <w:pStyle w:val="L8"/>
      <w:lvlText w:val="o"/>
      <w:lvlJc w:val="left"/>
      <w:pPr>
        <w:ind w:left="2995" w:hanging="475"/>
      </w:pPr>
      <w:rPr>
        <w:rFonts w:hint="default"/>
      </w:rPr>
    </w:lvl>
  </w:abstractNum>
  <w:abstractNum w:abstractNumId="17" w15:restartNumberingAfterBreak="0">
    <w:nsid w:val="47BD587E"/>
    <w:multiLevelType w:val="hybridMultilevel"/>
    <w:tmpl w:val="44DE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C8147A"/>
    <w:multiLevelType w:val="hybridMultilevel"/>
    <w:tmpl w:val="DABE537C"/>
    <w:lvl w:ilvl="0" w:tplc="2264BA4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981"/>
    <w:multiLevelType w:val="hybridMultilevel"/>
    <w:tmpl w:val="CFCC7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42A2C"/>
    <w:multiLevelType w:val="hybridMultilevel"/>
    <w:tmpl w:val="9648C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CF0ABD"/>
    <w:multiLevelType w:val="hybridMultilevel"/>
    <w:tmpl w:val="64C688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81455F"/>
    <w:multiLevelType w:val="hybridMultilevel"/>
    <w:tmpl w:val="3BBE401A"/>
    <w:lvl w:ilvl="0" w:tplc="CE90E798">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50E91"/>
    <w:multiLevelType w:val="hybridMultilevel"/>
    <w:tmpl w:val="F594D8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0556AD"/>
    <w:multiLevelType w:val="hybridMultilevel"/>
    <w:tmpl w:val="66E4CB56"/>
    <w:lvl w:ilvl="0" w:tplc="0AC8ED7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4658B8"/>
    <w:multiLevelType w:val="hybridMultilevel"/>
    <w:tmpl w:val="3A8EC8C0"/>
    <w:lvl w:ilvl="0" w:tplc="CF768D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F5450"/>
    <w:multiLevelType w:val="hybridMultilevel"/>
    <w:tmpl w:val="74127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441BD"/>
    <w:multiLevelType w:val="hybridMultilevel"/>
    <w:tmpl w:val="77D6C0F4"/>
    <w:lvl w:ilvl="0" w:tplc="6A6622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0149CF"/>
    <w:multiLevelType w:val="hybridMultilevel"/>
    <w:tmpl w:val="333A91A2"/>
    <w:lvl w:ilvl="0" w:tplc="0C80FEE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784836"/>
    <w:multiLevelType w:val="hybridMultilevel"/>
    <w:tmpl w:val="2DF2FBD4"/>
    <w:lvl w:ilvl="0" w:tplc="A1C8EBFE">
      <w:start w:val="1"/>
      <w:numFmt w:val="upp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857B64"/>
    <w:multiLevelType w:val="hybridMultilevel"/>
    <w:tmpl w:val="72DCC950"/>
    <w:lvl w:ilvl="0" w:tplc="7D824A28">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C7E5C"/>
    <w:multiLevelType w:val="multilevel"/>
    <w:tmpl w:val="CBE4A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F587A"/>
    <w:multiLevelType w:val="hybridMultilevel"/>
    <w:tmpl w:val="47B4196E"/>
    <w:lvl w:ilvl="0" w:tplc="B7EA1732">
      <w:start w:val="4"/>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0"/>
  </w:num>
  <w:num w:numId="12">
    <w:abstractNumId w:val="10"/>
  </w:num>
  <w:num w:numId="13">
    <w:abstractNumId w:val="10"/>
  </w:num>
  <w:num w:numId="14">
    <w:abstractNumId w:val="10"/>
  </w:num>
  <w:num w:numId="15">
    <w:abstractNumId w:val="10"/>
  </w:num>
  <w:num w:numId="16">
    <w:abstractNumId w:val="28"/>
  </w:num>
  <w:num w:numId="17">
    <w:abstractNumId w:val="5"/>
  </w:num>
  <w:num w:numId="18">
    <w:abstractNumId w:val="25"/>
  </w:num>
  <w:num w:numId="19">
    <w:abstractNumId w:val="8"/>
  </w:num>
  <w:num w:numId="20">
    <w:abstractNumId w:val="1"/>
  </w:num>
  <w:num w:numId="21">
    <w:abstractNumId w:val="18"/>
  </w:num>
  <w:num w:numId="22">
    <w:abstractNumId w:val="22"/>
  </w:num>
  <w:num w:numId="23">
    <w:abstractNumId w:val="24"/>
  </w:num>
  <w:num w:numId="24">
    <w:abstractNumId w:val="13"/>
  </w:num>
  <w:num w:numId="25">
    <w:abstractNumId w:val="14"/>
  </w:num>
  <w:num w:numId="26">
    <w:abstractNumId w:val="29"/>
  </w:num>
  <w:num w:numId="27">
    <w:abstractNumId w:val="4"/>
  </w:num>
  <w:num w:numId="28">
    <w:abstractNumId w:val="27"/>
  </w:num>
  <w:num w:numId="29">
    <w:abstractNumId w:val="6"/>
  </w:num>
  <w:num w:numId="30">
    <w:abstractNumId w:val="26"/>
  </w:num>
  <w:num w:numId="31">
    <w:abstractNumId w:val="20"/>
  </w:num>
  <w:num w:numId="32">
    <w:abstractNumId w:val="21"/>
  </w:num>
  <w:num w:numId="33">
    <w:abstractNumId w:val="11"/>
  </w:num>
  <w:num w:numId="34">
    <w:abstractNumId w:val="19"/>
  </w:num>
  <w:num w:numId="35">
    <w:abstractNumId w:val="23"/>
  </w:num>
  <w:num w:numId="36">
    <w:abstractNumId w:val="32"/>
  </w:num>
  <w:num w:numId="37">
    <w:abstractNumId w:val="12"/>
  </w:num>
  <w:num w:numId="38">
    <w:abstractNumId w:val="31"/>
  </w:num>
  <w:num w:numId="39">
    <w:abstractNumId w:val="0"/>
  </w:num>
  <w:num w:numId="40">
    <w:abstractNumId w:val="2"/>
  </w:num>
  <w:num w:numId="41">
    <w:abstractNumId w:val="9"/>
  </w:num>
  <w:num w:numId="42">
    <w:abstractNumId w:val="3"/>
  </w:num>
  <w:num w:numId="43">
    <w:abstractNumId w:val="30"/>
  </w:num>
  <w:num w:numId="44">
    <w:abstractNumId w:val="17"/>
  </w:num>
  <w:num w:numId="45">
    <w:abstractNumId w:val="7"/>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0D"/>
    <w:rsid w:val="00000BE9"/>
    <w:rsid w:val="00000E5E"/>
    <w:rsid w:val="00001652"/>
    <w:rsid w:val="0000171B"/>
    <w:rsid w:val="000021C0"/>
    <w:rsid w:val="000021E8"/>
    <w:rsid w:val="000029AF"/>
    <w:rsid w:val="00002FFD"/>
    <w:rsid w:val="000040B8"/>
    <w:rsid w:val="000053DF"/>
    <w:rsid w:val="000056D2"/>
    <w:rsid w:val="00005C4E"/>
    <w:rsid w:val="000062D5"/>
    <w:rsid w:val="00007B62"/>
    <w:rsid w:val="00007CE1"/>
    <w:rsid w:val="00007E69"/>
    <w:rsid w:val="00010D70"/>
    <w:rsid w:val="00012D55"/>
    <w:rsid w:val="00012E11"/>
    <w:rsid w:val="00013B53"/>
    <w:rsid w:val="0001412C"/>
    <w:rsid w:val="00015DF2"/>
    <w:rsid w:val="000166FA"/>
    <w:rsid w:val="0001764D"/>
    <w:rsid w:val="00020A7E"/>
    <w:rsid w:val="00021F12"/>
    <w:rsid w:val="00021F17"/>
    <w:rsid w:val="00023203"/>
    <w:rsid w:val="00023BF5"/>
    <w:rsid w:val="000244AD"/>
    <w:rsid w:val="00025A78"/>
    <w:rsid w:val="00025EF9"/>
    <w:rsid w:val="00030FF6"/>
    <w:rsid w:val="000322F5"/>
    <w:rsid w:val="00034633"/>
    <w:rsid w:val="000355D2"/>
    <w:rsid w:val="00036014"/>
    <w:rsid w:val="0003688F"/>
    <w:rsid w:val="000418BE"/>
    <w:rsid w:val="0004448B"/>
    <w:rsid w:val="0004527A"/>
    <w:rsid w:val="00045371"/>
    <w:rsid w:val="00050CBF"/>
    <w:rsid w:val="00051BB8"/>
    <w:rsid w:val="00052920"/>
    <w:rsid w:val="00052B09"/>
    <w:rsid w:val="00052E38"/>
    <w:rsid w:val="0005406D"/>
    <w:rsid w:val="000544B3"/>
    <w:rsid w:val="000549A8"/>
    <w:rsid w:val="000551A3"/>
    <w:rsid w:val="00055FBF"/>
    <w:rsid w:val="00057BCD"/>
    <w:rsid w:val="0006172B"/>
    <w:rsid w:val="00062017"/>
    <w:rsid w:val="0006227D"/>
    <w:rsid w:val="00062885"/>
    <w:rsid w:val="0006476C"/>
    <w:rsid w:val="00064DDE"/>
    <w:rsid w:val="00065FDE"/>
    <w:rsid w:val="00066FF7"/>
    <w:rsid w:val="00067144"/>
    <w:rsid w:val="0006742A"/>
    <w:rsid w:val="00070078"/>
    <w:rsid w:val="00070CE6"/>
    <w:rsid w:val="00070F6C"/>
    <w:rsid w:val="00071671"/>
    <w:rsid w:val="00073794"/>
    <w:rsid w:val="000748D0"/>
    <w:rsid w:val="00075D1C"/>
    <w:rsid w:val="00076130"/>
    <w:rsid w:val="000771E1"/>
    <w:rsid w:val="0008151F"/>
    <w:rsid w:val="00082AF3"/>
    <w:rsid w:val="00083534"/>
    <w:rsid w:val="00083855"/>
    <w:rsid w:val="000844FA"/>
    <w:rsid w:val="00084722"/>
    <w:rsid w:val="00084FFD"/>
    <w:rsid w:val="00086C95"/>
    <w:rsid w:val="0009019F"/>
    <w:rsid w:val="00090947"/>
    <w:rsid w:val="000923C2"/>
    <w:rsid w:val="00093851"/>
    <w:rsid w:val="00093CBA"/>
    <w:rsid w:val="00094514"/>
    <w:rsid w:val="000954B7"/>
    <w:rsid w:val="00095852"/>
    <w:rsid w:val="00095AD1"/>
    <w:rsid w:val="00095DA4"/>
    <w:rsid w:val="00096E45"/>
    <w:rsid w:val="00097233"/>
    <w:rsid w:val="00097E78"/>
    <w:rsid w:val="000A05B3"/>
    <w:rsid w:val="000A0E47"/>
    <w:rsid w:val="000A16FC"/>
    <w:rsid w:val="000A1AB0"/>
    <w:rsid w:val="000A1B0E"/>
    <w:rsid w:val="000A25F8"/>
    <w:rsid w:val="000A269F"/>
    <w:rsid w:val="000A4D4C"/>
    <w:rsid w:val="000A51D0"/>
    <w:rsid w:val="000B1895"/>
    <w:rsid w:val="000B1C31"/>
    <w:rsid w:val="000B3992"/>
    <w:rsid w:val="000B3F2C"/>
    <w:rsid w:val="000B4E1C"/>
    <w:rsid w:val="000B5976"/>
    <w:rsid w:val="000B6FCC"/>
    <w:rsid w:val="000B7CC1"/>
    <w:rsid w:val="000C0C69"/>
    <w:rsid w:val="000C16F7"/>
    <w:rsid w:val="000C38A1"/>
    <w:rsid w:val="000C3EC6"/>
    <w:rsid w:val="000C4B8C"/>
    <w:rsid w:val="000C6A8B"/>
    <w:rsid w:val="000C6F20"/>
    <w:rsid w:val="000C7BCF"/>
    <w:rsid w:val="000D03DB"/>
    <w:rsid w:val="000D0592"/>
    <w:rsid w:val="000D4A72"/>
    <w:rsid w:val="000D5BEC"/>
    <w:rsid w:val="000D69C4"/>
    <w:rsid w:val="000D7F06"/>
    <w:rsid w:val="000E1F2B"/>
    <w:rsid w:val="000E365C"/>
    <w:rsid w:val="000E3AB9"/>
    <w:rsid w:val="000E589E"/>
    <w:rsid w:val="000E6CCB"/>
    <w:rsid w:val="000E737E"/>
    <w:rsid w:val="000E7893"/>
    <w:rsid w:val="000F1376"/>
    <w:rsid w:val="000F2AA9"/>
    <w:rsid w:val="000F5CC3"/>
    <w:rsid w:val="000F6DE6"/>
    <w:rsid w:val="000F7200"/>
    <w:rsid w:val="000F75E6"/>
    <w:rsid w:val="00100BCD"/>
    <w:rsid w:val="001027F5"/>
    <w:rsid w:val="00102CC4"/>
    <w:rsid w:val="0010445B"/>
    <w:rsid w:val="001055A0"/>
    <w:rsid w:val="00105C59"/>
    <w:rsid w:val="00106D8D"/>
    <w:rsid w:val="001070CE"/>
    <w:rsid w:val="001076B3"/>
    <w:rsid w:val="001100DA"/>
    <w:rsid w:val="00110188"/>
    <w:rsid w:val="0011036D"/>
    <w:rsid w:val="0011317E"/>
    <w:rsid w:val="00114934"/>
    <w:rsid w:val="0011526B"/>
    <w:rsid w:val="0011685B"/>
    <w:rsid w:val="00116DFB"/>
    <w:rsid w:val="0012106E"/>
    <w:rsid w:val="00123F0E"/>
    <w:rsid w:val="001259F8"/>
    <w:rsid w:val="0012625D"/>
    <w:rsid w:val="0013154A"/>
    <w:rsid w:val="00131FE0"/>
    <w:rsid w:val="00135F56"/>
    <w:rsid w:val="001374D2"/>
    <w:rsid w:val="001375F6"/>
    <w:rsid w:val="0013767A"/>
    <w:rsid w:val="001419C8"/>
    <w:rsid w:val="00141A2D"/>
    <w:rsid w:val="00141DB1"/>
    <w:rsid w:val="00141F0F"/>
    <w:rsid w:val="00144116"/>
    <w:rsid w:val="0014471F"/>
    <w:rsid w:val="0014571F"/>
    <w:rsid w:val="0014778E"/>
    <w:rsid w:val="00150799"/>
    <w:rsid w:val="0015115A"/>
    <w:rsid w:val="0015297B"/>
    <w:rsid w:val="00152C22"/>
    <w:rsid w:val="001556FB"/>
    <w:rsid w:val="00156DCB"/>
    <w:rsid w:val="00156E39"/>
    <w:rsid w:val="00156FAB"/>
    <w:rsid w:val="0015726B"/>
    <w:rsid w:val="00157948"/>
    <w:rsid w:val="00157FA1"/>
    <w:rsid w:val="001619D9"/>
    <w:rsid w:val="00161AA5"/>
    <w:rsid w:val="00164933"/>
    <w:rsid w:val="00164AD5"/>
    <w:rsid w:val="00164F4A"/>
    <w:rsid w:val="0016537B"/>
    <w:rsid w:val="00165FC2"/>
    <w:rsid w:val="00166F5E"/>
    <w:rsid w:val="00170406"/>
    <w:rsid w:val="00170B6C"/>
    <w:rsid w:val="00171C9C"/>
    <w:rsid w:val="00174680"/>
    <w:rsid w:val="001750C8"/>
    <w:rsid w:val="00176484"/>
    <w:rsid w:val="0017681F"/>
    <w:rsid w:val="00176BE7"/>
    <w:rsid w:val="0017749D"/>
    <w:rsid w:val="0017750E"/>
    <w:rsid w:val="00177BAB"/>
    <w:rsid w:val="00181851"/>
    <w:rsid w:val="001819D7"/>
    <w:rsid w:val="00182BD9"/>
    <w:rsid w:val="00182EBC"/>
    <w:rsid w:val="001860A3"/>
    <w:rsid w:val="00191F64"/>
    <w:rsid w:val="00192A92"/>
    <w:rsid w:val="00193E9F"/>
    <w:rsid w:val="001954E7"/>
    <w:rsid w:val="00195CCA"/>
    <w:rsid w:val="00196075"/>
    <w:rsid w:val="00196D3C"/>
    <w:rsid w:val="001976B2"/>
    <w:rsid w:val="00197863"/>
    <w:rsid w:val="001A09D4"/>
    <w:rsid w:val="001A0DA6"/>
    <w:rsid w:val="001A1C75"/>
    <w:rsid w:val="001A296A"/>
    <w:rsid w:val="001A3929"/>
    <w:rsid w:val="001A4E0F"/>
    <w:rsid w:val="001A5443"/>
    <w:rsid w:val="001B1498"/>
    <w:rsid w:val="001B1570"/>
    <w:rsid w:val="001B6DA9"/>
    <w:rsid w:val="001B7FFE"/>
    <w:rsid w:val="001C03EF"/>
    <w:rsid w:val="001C0B78"/>
    <w:rsid w:val="001C15C1"/>
    <w:rsid w:val="001C1E1C"/>
    <w:rsid w:val="001C2010"/>
    <w:rsid w:val="001C32EB"/>
    <w:rsid w:val="001C47C9"/>
    <w:rsid w:val="001C50D5"/>
    <w:rsid w:val="001C526C"/>
    <w:rsid w:val="001C5AD9"/>
    <w:rsid w:val="001C5AF0"/>
    <w:rsid w:val="001C6934"/>
    <w:rsid w:val="001C7ABA"/>
    <w:rsid w:val="001C7D65"/>
    <w:rsid w:val="001D17AB"/>
    <w:rsid w:val="001D1892"/>
    <w:rsid w:val="001D4801"/>
    <w:rsid w:val="001D4D27"/>
    <w:rsid w:val="001D590D"/>
    <w:rsid w:val="001D6F60"/>
    <w:rsid w:val="001D7CBB"/>
    <w:rsid w:val="001D7F56"/>
    <w:rsid w:val="001E041D"/>
    <w:rsid w:val="001E17E0"/>
    <w:rsid w:val="001E1C8D"/>
    <w:rsid w:val="001E298D"/>
    <w:rsid w:val="001E50AA"/>
    <w:rsid w:val="001E5BF2"/>
    <w:rsid w:val="001E67BC"/>
    <w:rsid w:val="001E7148"/>
    <w:rsid w:val="001E7EB1"/>
    <w:rsid w:val="001F1E3A"/>
    <w:rsid w:val="001F25D5"/>
    <w:rsid w:val="001F3DAB"/>
    <w:rsid w:val="001F4079"/>
    <w:rsid w:val="001F437E"/>
    <w:rsid w:val="001F4BB4"/>
    <w:rsid w:val="001F64F7"/>
    <w:rsid w:val="001F708B"/>
    <w:rsid w:val="0020064E"/>
    <w:rsid w:val="00200661"/>
    <w:rsid w:val="00201414"/>
    <w:rsid w:val="00201E1A"/>
    <w:rsid w:val="00201FA7"/>
    <w:rsid w:val="002030DC"/>
    <w:rsid w:val="00203207"/>
    <w:rsid w:val="00206A50"/>
    <w:rsid w:val="00206A76"/>
    <w:rsid w:val="0021150F"/>
    <w:rsid w:val="0021217D"/>
    <w:rsid w:val="00212609"/>
    <w:rsid w:val="00212B99"/>
    <w:rsid w:val="00213C0A"/>
    <w:rsid w:val="00214B2D"/>
    <w:rsid w:val="00214F56"/>
    <w:rsid w:val="0022093A"/>
    <w:rsid w:val="00220C72"/>
    <w:rsid w:val="00222639"/>
    <w:rsid w:val="0022441A"/>
    <w:rsid w:val="00225C64"/>
    <w:rsid w:val="002267EE"/>
    <w:rsid w:val="00226D4F"/>
    <w:rsid w:val="0023117B"/>
    <w:rsid w:val="002337FA"/>
    <w:rsid w:val="00233F0E"/>
    <w:rsid w:val="00234765"/>
    <w:rsid w:val="002350FE"/>
    <w:rsid w:val="00235CE3"/>
    <w:rsid w:val="0023794B"/>
    <w:rsid w:val="0024098D"/>
    <w:rsid w:val="002419E4"/>
    <w:rsid w:val="00242544"/>
    <w:rsid w:val="00242800"/>
    <w:rsid w:val="002428AC"/>
    <w:rsid w:val="00242927"/>
    <w:rsid w:val="002438CE"/>
    <w:rsid w:val="00243ED4"/>
    <w:rsid w:val="00244334"/>
    <w:rsid w:val="0024743D"/>
    <w:rsid w:val="00247F15"/>
    <w:rsid w:val="00252584"/>
    <w:rsid w:val="002527DE"/>
    <w:rsid w:val="002528CC"/>
    <w:rsid w:val="00253692"/>
    <w:rsid w:val="002538B1"/>
    <w:rsid w:val="002538CA"/>
    <w:rsid w:val="002540D1"/>
    <w:rsid w:val="002549CB"/>
    <w:rsid w:val="00257AAE"/>
    <w:rsid w:val="002604D8"/>
    <w:rsid w:val="00260ADE"/>
    <w:rsid w:val="00261493"/>
    <w:rsid w:val="00262685"/>
    <w:rsid w:val="002628FD"/>
    <w:rsid w:val="00262DF9"/>
    <w:rsid w:val="002638F7"/>
    <w:rsid w:val="00263F9A"/>
    <w:rsid w:val="0026475D"/>
    <w:rsid w:val="00264E90"/>
    <w:rsid w:val="00265962"/>
    <w:rsid w:val="0026696E"/>
    <w:rsid w:val="002670BC"/>
    <w:rsid w:val="00267635"/>
    <w:rsid w:val="00267879"/>
    <w:rsid w:val="00267968"/>
    <w:rsid w:val="002707A4"/>
    <w:rsid w:val="00270F6B"/>
    <w:rsid w:val="00271A6F"/>
    <w:rsid w:val="00271DE4"/>
    <w:rsid w:val="00274356"/>
    <w:rsid w:val="0027488E"/>
    <w:rsid w:val="00274F3A"/>
    <w:rsid w:val="0027540C"/>
    <w:rsid w:val="002768E2"/>
    <w:rsid w:val="00276A09"/>
    <w:rsid w:val="00280430"/>
    <w:rsid w:val="00280D67"/>
    <w:rsid w:val="00280E81"/>
    <w:rsid w:val="00283FEB"/>
    <w:rsid w:val="00284141"/>
    <w:rsid w:val="00284A75"/>
    <w:rsid w:val="002853B5"/>
    <w:rsid w:val="00285782"/>
    <w:rsid w:val="00286141"/>
    <w:rsid w:val="00286144"/>
    <w:rsid w:val="00287491"/>
    <w:rsid w:val="00287BA3"/>
    <w:rsid w:val="00291B27"/>
    <w:rsid w:val="002924F1"/>
    <w:rsid w:val="00293662"/>
    <w:rsid w:val="00294366"/>
    <w:rsid w:val="00294989"/>
    <w:rsid w:val="00295572"/>
    <w:rsid w:val="00295CB7"/>
    <w:rsid w:val="002967BC"/>
    <w:rsid w:val="00296C55"/>
    <w:rsid w:val="00297F6D"/>
    <w:rsid w:val="002A025A"/>
    <w:rsid w:val="002A0CBB"/>
    <w:rsid w:val="002A14AB"/>
    <w:rsid w:val="002A1CB7"/>
    <w:rsid w:val="002A5678"/>
    <w:rsid w:val="002B09BD"/>
    <w:rsid w:val="002B1A9A"/>
    <w:rsid w:val="002B40C2"/>
    <w:rsid w:val="002B4C53"/>
    <w:rsid w:val="002B7C24"/>
    <w:rsid w:val="002C1E9A"/>
    <w:rsid w:val="002C50A3"/>
    <w:rsid w:val="002C52F3"/>
    <w:rsid w:val="002C5AA7"/>
    <w:rsid w:val="002C610F"/>
    <w:rsid w:val="002C64F9"/>
    <w:rsid w:val="002C665A"/>
    <w:rsid w:val="002C7DB6"/>
    <w:rsid w:val="002D281B"/>
    <w:rsid w:val="002D37C3"/>
    <w:rsid w:val="002D5484"/>
    <w:rsid w:val="002D7042"/>
    <w:rsid w:val="002D71B0"/>
    <w:rsid w:val="002D724F"/>
    <w:rsid w:val="002E0869"/>
    <w:rsid w:val="002E19F3"/>
    <w:rsid w:val="002E2392"/>
    <w:rsid w:val="002E29BC"/>
    <w:rsid w:val="002E3926"/>
    <w:rsid w:val="002E3B42"/>
    <w:rsid w:val="002E4E39"/>
    <w:rsid w:val="002E592B"/>
    <w:rsid w:val="002E672C"/>
    <w:rsid w:val="002E71ED"/>
    <w:rsid w:val="002E7A88"/>
    <w:rsid w:val="002F1DC8"/>
    <w:rsid w:val="002F45E3"/>
    <w:rsid w:val="002F4808"/>
    <w:rsid w:val="002F4CD2"/>
    <w:rsid w:val="002F64A6"/>
    <w:rsid w:val="00300587"/>
    <w:rsid w:val="00301DAB"/>
    <w:rsid w:val="00302297"/>
    <w:rsid w:val="0030252E"/>
    <w:rsid w:val="00302612"/>
    <w:rsid w:val="00304325"/>
    <w:rsid w:val="00304F44"/>
    <w:rsid w:val="00305614"/>
    <w:rsid w:val="0031033A"/>
    <w:rsid w:val="00311D00"/>
    <w:rsid w:val="00312843"/>
    <w:rsid w:val="00313182"/>
    <w:rsid w:val="00313B99"/>
    <w:rsid w:val="00313DBD"/>
    <w:rsid w:val="00313E7C"/>
    <w:rsid w:val="003142E2"/>
    <w:rsid w:val="0031623E"/>
    <w:rsid w:val="003210D2"/>
    <w:rsid w:val="00321C3A"/>
    <w:rsid w:val="00322AB1"/>
    <w:rsid w:val="00322E12"/>
    <w:rsid w:val="00323648"/>
    <w:rsid w:val="00323878"/>
    <w:rsid w:val="00323FE5"/>
    <w:rsid w:val="0032568A"/>
    <w:rsid w:val="00326116"/>
    <w:rsid w:val="00326A66"/>
    <w:rsid w:val="00327953"/>
    <w:rsid w:val="00332910"/>
    <w:rsid w:val="00332E04"/>
    <w:rsid w:val="003331D1"/>
    <w:rsid w:val="003332D3"/>
    <w:rsid w:val="003335DF"/>
    <w:rsid w:val="00335F69"/>
    <w:rsid w:val="00336595"/>
    <w:rsid w:val="003365EE"/>
    <w:rsid w:val="00337AC3"/>
    <w:rsid w:val="003427B8"/>
    <w:rsid w:val="00343132"/>
    <w:rsid w:val="00343906"/>
    <w:rsid w:val="00343C53"/>
    <w:rsid w:val="00344750"/>
    <w:rsid w:val="003448C2"/>
    <w:rsid w:val="00344B7F"/>
    <w:rsid w:val="00344E1E"/>
    <w:rsid w:val="003453F9"/>
    <w:rsid w:val="00345ACC"/>
    <w:rsid w:val="00346843"/>
    <w:rsid w:val="003473CF"/>
    <w:rsid w:val="003544B9"/>
    <w:rsid w:val="003553B6"/>
    <w:rsid w:val="003560F5"/>
    <w:rsid w:val="00360794"/>
    <w:rsid w:val="00361053"/>
    <w:rsid w:val="00362929"/>
    <w:rsid w:val="00362EA5"/>
    <w:rsid w:val="003634B2"/>
    <w:rsid w:val="00370F7E"/>
    <w:rsid w:val="00371319"/>
    <w:rsid w:val="00372975"/>
    <w:rsid w:val="003734C0"/>
    <w:rsid w:val="00375352"/>
    <w:rsid w:val="00375915"/>
    <w:rsid w:val="00376AE3"/>
    <w:rsid w:val="003772BF"/>
    <w:rsid w:val="00380755"/>
    <w:rsid w:val="00381452"/>
    <w:rsid w:val="003816F4"/>
    <w:rsid w:val="003824D4"/>
    <w:rsid w:val="00382C40"/>
    <w:rsid w:val="003847AC"/>
    <w:rsid w:val="00385700"/>
    <w:rsid w:val="00385C76"/>
    <w:rsid w:val="00386073"/>
    <w:rsid w:val="00386A8E"/>
    <w:rsid w:val="00386F93"/>
    <w:rsid w:val="00387CD8"/>
    <w:rsid w:val="003900E0"/>
    <w:rsid w:val="00390A2D"/>
    <w:rsid w:val="00392975"/>
    <w:rsid w:val="00393074"/>
    <w:rsid w:val="003932DE"/>
    <w:rsid w:val="0039436E"/>
    <w:rsid w:val="0039522A"/>
    <w:rsid w:val="00395C46"/>
    <w:rsid w:val="00395EEF"/>
    <w:rsid w:val="00396A95"/>
    <w:rsid w:val="003A0565"/>
    <w:rsid w:val="003A19FE"/>
    <w:rsid w:val="003A282B"/>
    <w:rsid w:val="003A4974"/>
    <w:rsid w:val="003A568D"/>
    <w:rsid w:val="003A64D9"/>
    <w:rsid w:val="003A6884"/>
    <w:rsid w:val="003A7309"/>
    <w:rsid w:val="003A793F"/>
    <w:rsid w:val="003A7C78"/>
    <w:rsid w:val="003B19D2"/>
    <w:rsid w:val="003B2EE7"/>
    <w:rsid w:val="003B32C2"/>
    <w:rsid w:val="003B4050"/>
    <w:rsid w:val="003B459A"/>
    <w:rsid w:val="003B5355"/>
    <w:rsid w:val="003B6BBF"/>
    <w:rsid w:val="003B70DE"/>
    <w:rsid w:val="003C09CD"/>
    <w:rsid w:val="003C0A06"/>
    <w:rsid w:val="003C0E1C"/>
    <w:rsid w:val="003C11F5"/>
    <w:rsid w:val="003C2A6D"/>
    <w:rsid w:val="003C31CE"/>
    <w:rsid w:val="003C3472"/>
    <w:rsid w:val="003C416D"/>
    <w:rsid w:val="003C4810"/>
    <w:rsid w:val="003C52D6"/>
    <w:rsid w:val="003C68E1"/>
    <w:rsid w:val="003C79D9"/>
    <w:rsid w:val="003C7F42"/>
    <w:rsid w:val="003D147C"/>
    <w:rsid w:val="003D1AF4"/>
    <w:rsid w:val="003D1B3A"/>
    <w:rsid w:val="003D208D"/>
    <w:rsid w:val="003D280C"/>
    <w:rsid w:val="003D3C69"/>
    <w:rsid w:val="003D3D39"/>
    <w:rsid w:val="003D42CF"/>
    <w:rsid w:val="003D45BD"/>
    <w:rsid w:val="003D4F35"/>
    <w:rsid w:val="003D6850"/>
    <w:rsid w:val="003D70FA"/>
    <w:rsid w:val="003E0C53"/>
    <w:rsid w:val="003E2336"/>
    <w:rsid w:val="003E2ADC"/>
    <w:rsid w:val="003E3156"/>
    <w:rsid w:val="003E3182"/>
    <w:rsid w:val="003E3639"/>
    <w:rsid w:val="003E4184"/>
    <w:rsid w:val="003E4479"/>
    <w:rsid w:val="003E53E0"/>
    <w:rsid w:val="003E54C5"/>
    <w:rsid w:val="003E7E40"/>
    <w:rsid w:val="003F0B72"/>
    <w:rsid w:val="003F12E8"/>
    <w:rsid w:val="003F1A34"/>
    <w:rsid w:val="003F6252"/>
    <w:rsid w:val="003F6FA6"/>
    <w:rsid w:val="003F7479"/>
    <w:rsid w:val="003F74E6"/>
    <w:rsid w:val="00400C82"/>
    <w:rsid w:val="004033BD"/>
    <w:rsid w:val="0040424B"/>
    <w:rsid w:val="004043FD"/>
    <w:rsid w:val="004061C2"/>
    <w:rsid w:val="00406584"/>
    <w:rsid w:val="00407643"/>
    <w:rsid w:val="00407B30"/>
    <w:rsid w:val="00407D7D"/>
    <w:rsid w:val="00407FCA"/>
    <w:rsid w:val="0041177B"/>
    <w:rsid w:val="00412A8B"/>
    <w:rsid w:val="00412C8D"/>
    <w:rsid w:val="004151F9"/>
    <w:rsid w:val="00417A30"/>
    <w:rsid w:val="00417DE4"/>
    <w:rsid w:val="00421195"/>
    <w:rsid w:val="004229D3"/>
    <w:rsid w:val="00423B8B"/>
    <w:rsid w:val="00423EC0"/>
    <w:rsid w:val="00423FFA"/>
    <w:rsid w:val="0042464A"/>
    <w:rsid w:val="00425043"/>
    <w:rsid w:val="004256C6"/>
    <w:rsid w:val="00425B31"/>
    <w:rsid w:val="00427025"/>
    <w:rsid w:val="0042738C"/>
    <w:rsid w:val="0042759D"/>
    <w:rsid w:val="004279A1"/>
    <w:rsid w:val="00430197"/>
    <w:rsid w:val="0043138E"/>
    <w:rsid w:val="00431F0C"/>
    <w:rsid w:val="0043356F"/>
    <w:rsid w:val="00433AF9"/>
    <w:rsid w:val="00433B3C"/>
    <w:rsid w:val="0043508E"/>
    <w:rsid w:val="004371BE"/>
    <w:rsid w:val="00437840"/>
    <w:rsid w:val="00440057"/>
    <w:rsid w:val="004401C1"/>
    <w:rsid w:val="00440573"/>
    <w:rsid w:val="004412A3"/>
    <w:rsid w:val="00442A6E"/>
    <w:rsid w:val="00443128"/>
    <w:rsid w:val="0044317A"/>
    <w:rsid w:val="00444204"/>
    <w:rsid w:val="004454DC"/>
    <w:rsid w:val="00446153"/>
    <w:rsid w:val="004477F4"/>
    <w:rsid w:val="00447E01"/>
    <w:rsid w:val="00451750"/>
    <w:rsid w:val="00453DBF"/>
    <w:rsid w:val="00454567"/>
    <w:rsid w:val="00455568"/>
    <w:rsid w:val="0045605F"/>
    <w:rsid w:val="00456226"/>
    <w:rsid w:val="00457356"/>
    <w:rsid w:val="0046097C"/>
    <w:rsid w:val="00461D9C"/>
    <w:rsid w:val="0046339E"/>
    <w:rsid w:val="00464DB8"/>
    <w:rsid w:val="00465751"/>
    <w:rsid w:val="00465F75"/>
    <w:rsid w:val="0046650A"/>
    <w:rsid w:val="00466764"/>
    <w:rsid w:val="0046681F"/>
    <w:rsid w:val="00466842"/>
    <w:rsid w:val="0046797E"/>
    <w:rsid w:val="00467D71"/>
    <w:rsid w:val="004703B1"/>
    <w:rsid w:val="004708DA"/>
    <w:rsid w:val="00470E07"/>
    <w:rsid w:val="00472308"/>
    <w:rsid w:val="0047314A"/>
    <w:rsid w:val="00473614"/>
    <w:rsid w:val="00475CFD"/>
    <w:rsid w:val="00477A38"/>
    <w:rsid w:val="00480A01"/>
    <w:rsid w:val="00482D58"/>
    <w:rsid w:val="004833E4"/>
    <w:rsid w:val="00483AFE"/>
    <w:rsid w:val="00485F41"/>
    <w:rsid w:val="00487EC8"/>
    <w:rsid w:val="00490245"/>
    <w:rsid w:val="004924BE"/>
    <w:rsid w:val="0049549F"/>
    <w:rsid w:val="00495632"/>
    <w:rsid w:val="00495E1F"/>
    <w:rsid w:val="00497CB2"/>
    <w:rsid w:val="00497EF2"/>
    <w:rsid w:val="004A1196"/>
    <w:rsid w:val="004A12CD"/>
    <w:rsid w:val="004A275E"/>
    <w:rsid w:val="004A2A63"/>
    <w:rsid w:val="004A3CFA"/>
    <w:rsid w:val="004A3F9C"/>
    <w:rsid w:val="004A4A85"/>
    <w:rsid w:val="004A4E6A"/>
    <w:rsid w:val="004A5C08"/>
    <w:rsid w:val="004A5D86"/>
    <w:rsid w:val="004A7E8F"/>
    <w:rsid w:val="004B1046"/>
    <w:rsid w:val="004B1A4C"/>
    <w:rsid w:val="004B3659"/>
    <w:rsid w:val="004B426B"/>
    <w:rsid w:val="004B4B5A"/>
    <w:rsid w:val="004B6DDE"/>
    <w:rsid w:val="004C0F9A"/>
    <w:rsid w:val="004C1160"/>
    <w:rsid w:val="004C151B"/>
    <w:rsid w:val="004C1EF4"/>
    <w:rsid w:val="004C2574"/>
    <w:rsid w:val="004C4662"/>
    <w:rsid w:val="004C4B43"/>
    <w:rsid w:val="004C62F4"/>
    <w:rsid w:val="004C6C73"/>
    <w:rsid w:val="004C6E84"/>
    <w:rsid w:val="004C7A5A"/>
    <w:rsid w:val="004D037F"/>
    <w:rsid w:val="004D118E"/>
    <w:rsid w:val="004D2EDC"/>
    <w:rsid w:val="004D416D"/>
    <w:rsid w:val="004D41C4"/>
    <w:rsid w:val="004D4CDC"/>
    <w:rsid w:val="004D5A43"/>
    <w:rsid w:val="004E1C3F"/>
    <w:rsid w:val="004E1D76"/>
    <w:rsid w:val="004E3B5F"/>
    <w:rsid w:val="004E3EC6"/>
    <w:rsid w:val="004E5127"/>
    <w:rsid w:val="004E5225"/>
    <w:rsid w:val="004E5A53"/>
    <w:rsid w:val="004F0C00"/>
    <w:rsid w:val="004F19F8"/>
    <w:rsid w:val="004F1EE9"/>
    <w:rsid w:val="004F2035"/>
    <w:rsid w:val="004F2692"/>
    <w:rsid w:val="004F3958"/>
    <w:rsid w:val="004F4427"/>
    <w:rsid w:val="004F6469"/>
    <w:rsid w:val="004F665E"/>
    <w:rsid w:val="004F6902"/>
    <w:rsid w:val="004F6AC6"/>
    <w:rsid w:val="00500695"/>
    <w:rsid w:val="00500C09"/>
    <w:rsid w:val="0050105E"/>
    <w:rsid w:val="00502231"/>
    <w:rsid w:val="005022E5"/>
    <w:rsid w:val="0050248F"/>
    <w:rsid w:val="005025A1"/>
    <w:rsid w:val="00502D9A"/>
    <w:rsid w:val="00502EED"/>
    <w:rsid w:val="00505973"/>
    <w:rsid w:val="00505DFF"/>
    <w:rsid w:val="00506D05"/>
    <w:rsid w:val="0050778B"/>
    <w:rsid w:val="0051042D"/>
    <w:rsid w:val="00510740"/>
    <w:rsid w:val="005122FD"/>
    <w:rsid w:val="005126EB"/>
    <w:rsid w:val="00512986"/>
    <w:rsid w:val="00512B6E"/>
    <w:rsid w:val="00512D01"/>
    <w:rsid w:val="00513064"/>
    <w:rsid w:val="00513C93"/>
    <w:rsid w:val="00514C98"/>
    <w:rsid w:val="00515F3F"/>
    <w:rsid w:val="0051609E"/>
    <w:rsid w:val="00516B2E"/>
    <w:rsid w:val="00517658"/>
    <w:rsid w:val="00521520"/>
    <w:rsid w:val="00521BB8"/>
    <w:rsid w:val="0052231C"/>
    <w:rsid w:val="0052304B"/>
    <w:rsid w:val="005244A5"/>
    <w:rsid w:val="00524BAF"/>
    <w:rsid w:val="00524CF2"/>
    <w:rsid w:val="00525335"/>
    <w:rsid w:val="0052548C"/>
    <w:rsid w:val="0052632C"/>
    <w:rsid w:val="00527386"/>
    <w:rsid w:val="00530D28"/>
    <w:rsid w:val="005317B1"/>
    <w:rsid w:val="00531FE5"/>
    <w:rsid w:val="00533F6B"/>
    <w:rsid w:val="00534809"/>
    <w:rsid w:val="00534ABA"/>
    <w:rsid w:val="00535695"/>
    <w:rsid w:val="00536111"/>
    <w:rsid w:val="00536337"/>
    <w:rsid w:val="00540132"/>
    <w:rsid w:val="005406BF"/>
    <w:rsid w:val="005419CC"/>
    <w:rsid w:val="0054395F"/>
    <w:rsid w:val="00543D28"/>
    <w:rsid w:val="005442F7"/>
    <w:rsid w:val="00545E17"/>
    <w:rsid w:val="00546E84"/>
    <w:rsid w:val="00547E4D"/>
    <w:rsid w:val="005505D6"/>
    <w:rsid w:val="00550725"/>
    <w:rsid w:val="0055085C"/>
    <w:rsid w:val="00551A34"/>
    <w:rsid w:val="0055248A"/>
    <w:rsid w:val="00552C69"/>
    <w:rsid w:val="00553975"/>
    <w:rsid w:val="00553CD5"/>
    <w:rsid w:val="0055501C"/>
    <w:rsid w:val="005559DD"/>
    <w:rsid w:val="00556EA6"/>
    <w:rsid w:val="00556FC1"/>
    <w:rsid w:val="005574B7"/>
    <w:rsid w:val="005608E9"/>
    <w:rsid w:val="00561BC8"/>
    <w:rsid w:val="00561FBE"/>
    <w:rsid w:val="005625F5"/>
    <w:rsid w:val="00562E98"/>
    <w:rsid w:val="00563071"/>
    <w:rsid w:val="005633C5"/>
    <w:rsid w:val="0056378F"/>
    <w:rsid w:val="005638E9"/>
    <w:rsid w:val="00564149"/>
    <w:rsid w:val="00564301"/>
    <w:rsid w:val="0056488B"/>
    <w:rsid w:val="00564BFE"/>
    <w:rsid w:val="00565251"/>
    <w:rsid w:val="005658C6"/>
    <w:rsid w:val="005663FA"/>
    <w:rsid w:val="00566736"/>
    <w:rsid w:val="0057179D"/>
    <w:rsid w:val="00571E65"/>
    <w:rsid w:val="00572546"/>
    <w:rsid w:val="00574C41"/>
    <w:rsid w:val="00575D8B"/>
    <w:rsid w:val="00575EA7"/>
    <w:rsid w:val="005762DE"/>
    <w:rsid w:val="00576BF5"/>
    <w:rsid w:val="00577162"/>
    <w:rsid w:val="00581D91"/>
    <w:rsid w:val="0058305B"/>
    <w:rsid w:val="005832BE"/>
    <w:rsid w:val="00583B02"/>
    <w:rsid w:val="00583D3A"/>
    <w:rsid w:val="00584EF4"/>
    <w:rsid w:val="0058545E"/>
    <w:rsid w:val="005856C8"/>
    <w:rsid w:val="005862F1"/>
    <w:rsid w:val="0058660E"/>
    <w:rsid w:val="00591E82"/>
    <w:rsid w:val="00592513"/>
    <w:rsid w:val="005926DC"/>
    <w:rsid w:val="005929EB"/>
    <w:rsid w:val="00593B8C"/>
    <w:rsid w:val="0059453B"/>
    <w:rsid w:val="00594C78"/>
    <w:rsid w:val="00594E94"/>
    <w:rsid w:val="00597084"/>
    <w:rsid w:val="00597D73"/>
    <w:rsid w:val="005A018C"/>
    <w:rsid w:val="005A01CE"/>
    <w:rsid w:val="005A1406"/>
    <w:rsid w:val="005A1574"/>
    <w:rsid w:val="005A17DA"/>
    <w:rsid w:val="005A1C0F"/>
    <w:rsid w:val="005A3779"/>
    <w:rsid w:val="005A54A2"/>
    <w:rsid w:val="005A703E"/>
    <w:rsid w:val="005B1B8D"/>
    <w:rsid w:val="005B250B"/>
    <w:rsid w:val="005B2645"/>
    <w:rsid w:val="005B37C1"/>
    <w:rsid w:val="005B44B1"/>
    <w:rsid w:val="005B5E89"/>
    <w:rsid w:val="005C7A83"/>
    <w:rsid w:val="005C7E60"/>
    <w:rsid w:val="005D1E11"/>
    <w:rsid w:val="005D3E5B"/>
    <w:rsid w:val="005D42B7"/>
    <w:rsid w:val="005D5751"/>
    <w:rsid w:val="005D6050"/>
    <w:rsid w:val="005D74D4"/>
    <w:rsid w:val="005D7AB9"/>
    <w:rsid w:val="005E15A8"/>
    <w:rsid w:val="005E184B"/>
    <w:rsid w:val="005E193E"/>
    <w:rsid w:val="005E2CC7"/>
    <w:rsid w:val="005E2F21"/>
    <w:rsid w:val="005E355A"/>
    <w:rsid w:val="005E4F8F"/>
    <w:rsid w:val="005E5895"/>
    <w:rsid w:val="005E5C59"/>
    <w:rsid w:val="005F3A5C"/>
    <w:rsid w:val="005F3F77"/>
    <w:rsid w:val="005F555C"/>
    <w:rsid w:val="00603BC2"/>
    <w:rsid w:val="00604588"/>
    <w:rsid w:val="00607141"/>
    <w:rsid w:val="00607B6D"/>
    <w:rsid w:val="00607EF1"/>
    <w:rsid w:val="00612055"/>
    <w:rsid w:val="006129D7"/>
    <w:rsid w:val="00613609"/>
    <w:rsid w:val="00613E40"/>
    <w:rsid w:val="006141CD"/>
    <w:rsid w:val="0061516A"/>
    <w:rsid w:val="006152BC"/>
    <w:rsid w:val="00615FCD"/>
    <w:rsid w:val="0061610D"/>
    <w:rsid w:val="00616CB3"/>
    <w:rsid w:val="0061738E"/>
    <w:rsid w:val="00620438"/>
    <w:rsid w:val="00621255"/>
    <w:rsid w:val="006213FF"/>
    <w:rsid w:val="00622C6D"/>
    <w:rsid w:val="0062313D"/>
    <w:rsid w:val="00623AEC"/>
    <w:rsid w:val="00623B7D"/>
    <w:rsid w:val="00624FCE"/>
    <w:rsid w:val="00625F62"/>
    <w:rsid w:val="006265BD"/>
    <w:rsid w:val="006266EE"/>
    <w:rsid w:val="006268A1"/>
    <w:rsid w:val="00627D26"/>
    <w:rsid w:val="00631FB4"/>
    <w:rsid w:val="0063234D"/>
    <w:rsid w:val="006339F6"/>
    <w:rsid w:val="00634B59"/>
    <w:rsid w:val="0063642D"/>
    <w:rsid w:val="00636C2F"/>
    <w:rsid w:val="00636F59"/>
    <w:rsid w:val="006375BF"/>
    <w:rsid w:val="0064154D"/>
    <w:rsid w:val="0064378F"/>
    <w:rsid w:val="0064391F"/>
    <w:rsid w:val="00643F88"/>
    <w:rsid w:val="006440EF"/>
    <w:rsid w:val="006458D0"/>
    <w:rsid w:val="00646236"/>
    <w:rsid w:val="00646A34"/>
    <w:rsid w:val="00646B37"/>
    <w:rsid w:val="006474C5"/>
    <w:rsid w:val="00651C00"/>
    <w:rsid w:val="00653D6E"/>
    <w:rsid w:val="00655603"/>
    <w:rsid w:val="00655C7B"/>
    <w:rsid w:val="00660840"/>
    <w:rsid w:val="006617DF"/>
    <w:rsid w:val="0066245E"/>
    <w:rsid w:val="00662AD6"/>
    <w:rsid w:val="00663310"/>
    <w:rsid w:val="006633C7"/>
    <w:rsid w:val="00666206"/>
    <w:rsid w:val="00670342"/>
    <w:rsid w:val="006707EE"/>
    <w:rsid w:val="00671997"/>
    <w:rsid w:val="00672B62"/>
    <w:rsid w:val="006738A9"/>
    <w:rsid w:val="00674912"/>
    <w:rsid w:val="00674C14"/>
    <w:rsid w:val="00675098"/>
    <w:rsid w:val="00676C95"/>
    <w:rsid w:val="0067736C"/>
    <w:rsid w:val="00677405"/>
    <w:rsid w:val="0068084A"/>
    <w:rsid w:val="00680DDF"/>
    <w:rsid w:val="00681EDA"/>
    <w:rsid w:val="0068249C"/>
    <w:rsid w:val="00682942"/>
    <w:rsid w:val="00683706"/>
    <w:rsid w:val="0068408A"/>
    <w:rsid w:val="006842B2"/>
    <w:rsid w:val="00687DCE"/>
    <w:rsid w:val="00693B42"/>
    <w:rsid w:val="0069471B"/>
    <w:rsid w:val="00694878"/>
    <w:rsid w:val="006961EB"/>
    <w:rsid w:val="006965E0"/>
    <w:rsid w:val="00697A71"/>
    <w:rsid w:val="006A048E"/>
    <w:rsid w:val="006A063D"/>
    <w:rsid w:val="006A1638"/>
    <w:rsid w:val="006A2B1B"/>
    <w:rsid w:val="006A3EF9"/>
    <w:rsid w:val="006A4652"/>
    <w:rsid w:val="006A5E35"/>
    <w:rsid w:val="006A67FC"/>
    <w:rsid w:val="006A6B27"/>
    <w:rsid w:val="006A7711"/>
    <w:rsid w:val="006B0638"/>
    <w:rsid w:val="006B0C7B"/>
    <w:rsid w:val="006B16BD"/>
    <w:rsid w:val="006B197B"/>
    <w:rsid w:val="006B19D5"/>
    <w:rsid w:val="006B2248"/>
    <w:rsid w:val="006B2443"/>
    <w:rsid w:val="006B35EF"/>
    <w:rsid w:val="006B458A"/>
    <w:rsid w:val="006B6550"/>
    <w:rsid w:val="006B71B5"/>
    <w:rsid w:val="006B7487"/>
    <w:rsid w:val="006C0335"/>
    <w:rsid w:val="006C13AA"/>
    <w:rsid w:val="006C1F41"/>
    <w:rsid w:val="006C2072"/>
    <w:rsid w:val="006C2247"/>
    <w:rsid w:val="006C2EF8"/>
    <w:rsid w:val="006C2F96"/>
    <w:rsid w:val="006C5A82"/>
    <w:rsid w:val="006D0E51"/>
    <w:rsid w:val="006D1FA6"/>
    <w:rsid w:val="006D2076"/>
    <w:rsid w:val="006D23F2"/>
    <w:rsid w:val="006D2A43"/>
    <w:rsid w:val="006D2E38"/>
    <w:rsid w:val="006D3ABB"/>
    <w:rsid w:val="006D4002"/>
    <w:rsid w:val="006D5718"/>
    <w:rsid w:val="006D5727"/>
    <w:rsid w:val="006D60AE"/>
    <w:rsid w:val="006D64CF"/>
    <w:rsid w:val="006D6D1B"/>
    <w:rsid w:val="006D7B53"/>
    <w:rsid w:val="006D7F24"/>
    <w:rsid w:val="006E04B2"/>
    <w:rsid w:val="006E0868"/>
    <w:rsid w:val="006E1064"/>
    <w:rsid w:val="006E16BC"/>
    <w:rsid w:val="006E2D9D"/>
    <w:rsid w:val="006E3D07"/>
    <w:rsid w:val="006E4019"/>
    <w:rsid w:val="006F1140"/>
    <w:rsid w:val="006F159F"/>
    <w:rsid w:val="006F1D5A"/>
    <w:rsid w:val="006F1F00"/>
    <w:rsid w:val="006F2D40"/>
    <w:rsid w:val="006F2E88"/>
    <w:rsid w:val="006F2FE0"/>
    <w:rsid w:val="006F3348"/>
    <w:rsid w:val="006F3586"/>
    <w:rsid w:val="006F3F74"/>
    <w:rsid w:val="006F5868"/>
    <w:rsid w:val="006F6C83"/>
    <w:rsid w:val="00700061"/>
    <w:rsid w:val="0070132B"/>
    <w:rsid w:val="0070136D"/>
    <w:rsid w:val="00701BE3"/>
    <w:rsid w:val="007025B6"/>
    <w:rsid w:val="00703E4D"/>
    <w:rsid w:val="00704E4B"/>
    <w:rsid w:val="00706538"/>
    <w:rsid w:val="00707641"/>
    <w:rsid w:val="0070774B"/>
    <w:rsid w:val="00710CE0"/>
    <w:rsid w:val="00712524"/>
    <w:rsid w:val="007133E5"/>
    <w:rsid w:val="00714461"/>
    <w:rsid w:val="00715A31"/>
    <w:rsid w:val="007160BB"/>
    <w:rsid w:val="00716508"/>
    <w:rsid w:val="00716692"/>
    <w:rsid w:val="007168D3"/>
    <w:rsid w:val="00716A1F"/>
    <w:rsid w:val="007172E6"/>
    <w:rsid w:val="00717AD9"/>
    <w:rsid w:val="007202BD"/>
    <w:rsid w:val="007207F2"/>
    <w:rsid w:val="00721517"/>
    <w:rsid w:val="0072273C"/>
    <w:rsid w:val="007230A7"/>
    <w:rsid w:val="00723264"/>
    <w:rsid w:val="007238AF"/>
    <w:rsid w:val="007239EE"/>
    <w:rsid w:val="00723C1C"/>
    <w:rsid w:val="00724608"/>
    <w:rsid w:val="007248E2"/>
    <w:rsid w:val="00725F74"/>
    <w:rsid w:val="0073430E"/>
    <w:rsid w:val="00735F06"/>
    <w:rsid w:val="00736F38"/>
    <w:rsid w:val="00740114"/>
    <w:rsid w:val="00740340"/>
    <w:rsid w:val="0074148E"/>
    <w:rsid w:val="00741DE2"/>
    <w:rsid w:val="00741F3C"/>
    <w:rsid w:val="00742843"/>
    <w:rsid w:val="00742F10"/>
    <w:rsid w:val="0074333A"/>
    <w:rsid w:val="007437D1"/>
    <w:rsid w:val="00743F2B"/>
    <w:rsid w:val="0074737A"/>
    <w:rsid w:val="007476AA"/>
    <w:rsid w:val="007552BE"/>
    <w:rsid w:val="0075546A"/>
    <w:rsid w:val="00755AFA"/>
    <w:rsid w:val="00756835"/>
    <w:rsid w:val="00757985"/>
    <w:rsid w:val="007614AE"/>
    <w:rsid w:val="007622AA"/>
    <w:rsid w:val="007635CB"/>
    <w:rsid w:val="00763BBE"/>
    <w:rsid w:val="00765087"/>
    <w:rsid w:val="00765580"/>
    <w:rsid w:val="007660C2"/>
    <w:rsid w:val="00766684"/>
    <w:rsid w:val="00766836"/>
    <w:rsid w:val="0077044A"/>
    <w:rsid w:val="007707F5"/>
    <w:rsid w:val="00770BD2"/>
    <w:rsid w:val="0077173C"/>
    <w:rsid w:val="0077254B"/>
    <w:rsid w:val="007757ED"/>
    <w:rsid w:val="00775A42"/>
    <w:rsid w:val="00775B3F"/>
    <w:rsid w:val="007763F0"/>
    <w:rsid w:val="00780A0B"/>
    <w:rsid w:val="007829F5"/>
    <w:rsid w:val="00783400"/>
    <w:rsid w:val="0078615F"/>
    <w:rsid w:val="00786570"/>
    <w:rsid w:val="00786AAB"/>
    <w:rsid w:val="0079048C"/>
    <w:rsid w:val="00790521"/>
    <w:rsid w:val="00791508"/>
    <w:rsid w:val="00791D3F"/>
    <w:rsid w:val="00792A90"/>
    <w:rsid w:val="00792DAC"/>
    <w:rsid w:val="007936B2"/>
    <w:rsid w:val="00793B72"/>
    <w:rsid w:val="00795FCF"/>
    <w:rsid w:val="00797813"/>
    <w:rsid w:val="00797D57"/>
    <w:rsid w:val="007A0C13"/>
    <w:rsid w:val="007A1634"/>
    <w:rsid w:val="007A1BBF"/>
    <w:rsid w:val="007A2E48"/>
    <w:rsid w:val="007A3F0B"/>
    <w:rsid w:val="007A4143"/>
    <w:rsid w:val="007A63F3"/>
    <w:rsid w:val="007B05C3"/>
    <w:rsid w:val="007B0784"/>
    <w:rsid w:val="007B1A53"/>
    <w:rsid w:val="007B2E13"/>
    <w:rsid w:val="007B2ED4"/>
    <w:rsid w:val="007B3C9B"/>
    <w:rsid w:val="007B6007"/>
    <w:rsid w:val="007B6841"/>
    <w:rsid w:val="007B6CB0"/>
    <w:rsid w:val="007B6E17"/>
    <w:rsid w:val="007B7020"/>
    <w:rsid w:val="007C09DC"/>
    <w:rsid w:val="007C176C"/>
    <w:rsid w:val="007C2A2C"/>
    <w:rsid w:val="007C2B8E"/>
    <w:rsid w:val="007C2CC4"/>
    <w:rsid w:val="007C3AA4"/>
    <w:rsid w:val="007C4B07"/>
    <w:rsid w:val="007C5AC6"/>
    <w:rsid w:val="007C6E26"/>
    <w:rsid w:val="007D18FF"/>
    <w:rsid w:val="007D2F38"/>
    <w:rsid w:val="007D31B0"/>
    <w:rsid w:val="007D74A4"/>
    <w:rsid w:val="007D7759"/>
    <w:rsid w:val="007D7CF9"/>
    <w:rsid w:val="007E0078"/>
    <w:rsid w:val="007E02B1"/>
    <w:rsid w:val="007E06AC"/>
    <w:rsid w:val="007E2BA5"/>
    <w:rsid w:val="007E552C"/>
    <w:rsid w:val="007F0487"/>
    <w:rsid w:val="007F2085"/>
    <w:rsid w:val="007F260B"/>
    <w:rsid w:val="007F295A"/>
    <w:rsid w:val="007F33F3"/>
    <w:rsid w:val="007F3D9C"/>
    <w:rsid w:val="007F4E0A"/>
    <w:rsid w:val="007F4F5C"/>
    <w:rsid w:val="007F542A"/>
    <w:rsid w:val="007F5FDE"/>
    <w:rsid w:val="007F6077"/>
    <w:rsid w:val="007F6CDD"/>
    <w:rsid w:val="007F7206"/>
    <w:rsid w:val="007F7DFA"/>
    <w:rsid w:val="00801990"/>
    <w:rsid w:val="00802A5F"/>
    <w:rsid w:val="008063C2"/>
    <w:rsid w:val="00806F98"/>
    <w:rsid w:val="00807AAF"/>
    <w:rsid w:val="0081112D"/>
    <w:rsid w:val="00811AC4"/>
    <w:rsid w:val="008123E2"/>
    <w:rsid w:val="008129AC"/>
    <w:rsid w:val="00812EBE"/>
    <w:rsid w:val="008130C4"/>
    <w:rsid w:val="0081786B"/>
    <w:rsid w:val="00817B07"/>
    <w:rsid w:val="00821785"/>
    <w:rsid w:val="008217C2"/>
    <w:rsid w:val="00823204"/>
    <w:rsid w:val="008254AB"/>
    <w:rsid w:val="00831651"/>
    <w:rsid w:val="00832EE9"/>
    <w:rsid w:val="0083599A"/>
    <w:rsid w:val="00835C48"/>
    <w:rsid w:val="00836ACC"/>
    <w:rsid w:val="00837E96"/>
    <w:rsid w:val="00840481"/>
    <w:rsid w:val="00844286"/>
    <w:rsid w:val="008451B0"/>
    <w:rsid w:val="00845C8D"/>
    <w:rsid w:val="0084685D"/>
    <w:rsid w:val="00846895"/>
    <w:rsid w:val="0084717E"/>
    <w:rsid w:val="008505FD"/>
    <w:rsid w:val="00850BF7"/>
    <w:rsid w:val="008510AA"/>
    <w:rsid w:val="0085224C"/>
    <w:rsid w:val="00852EC1"/>
    <w:rsid w:val="008535BC"/>
    <w:rsid w:val="00853A56"/>
    <w:rsid w:val="0085603B"/>
    <w:rsid w:val="00856D02"/>
    <w:rsid w:val="00856E2F"/>
    <w:rsid w:val="008602AA"/>
    <w:rsid w:val="00861694"/>
    <w:rsid w:val="00861B97"/>
    <w:rsid w:val="008622F8"/>
    <w:rsid w:val="008631B7"/>
    <w:rsid w:val="0086358F"/>
    <w:rsid w:val="0086397E"/>
    <w:rsid w:val="00872B14"/>
    <w:rsid w:val="00872D95"/>
    <w:rsid w:val="0087399D"/>
    <w:rsid w:val="0087545A"/>
    <w:rsid w:val="0087559C"/>
    <w:rsid w:val="00875B4B"/>
    <w:rsid w:val="008764B0"/>
    <w:rsid w:val="00876619"/>
    <w:rsid w:val="0087728A"/>
    <w:rsid w:val="00877D1F"/>
    <w:rsid w:val="00877DFB"/>
    <w:rsid w:val="00880D1B"/>
    <w:rsid w:val="008826E3"/>
    <w:rsid w:val="00883F4B"/>
    <w:rsid w:val="00884AB8"/>
    <w:rsid w:val="00885AA6"/>
    <w:rsid w:val="00885BED"/>
    <w:rsid w:val="008862FB"/>
    <w:rsid w:val="00887382"/>
    <w:rsid w:val="00887941"/>
    <w:rsid w:val="008904E1"/>
    <w:rsid w:val="00891249"/>
    <w:rsid w:val="008917A6"/>
    <w:rsid w:val="00893FB9"/>
    <w:rsid w:val="0089465F"/>
    <w:rsid w:val="00894E3B"/>
    <w:rsid w:val="00895024"/>
    <w:rsid w:val="008950BB"/>
    <w:rsid w:val="008962F9"/>
    <w:rsid w:val="00896601"/>
    <w:rsid w:val="00896E92"/>
    <w:rsid w:val="008A0546"/>
    <w:rsid w:val="008A0A7A"/>
    <w:rsid w:val="008A13A6"/>
    <w:rsid w:val="008A3AAB"/>
    <w:rsid w:val="008A3CA6"/>
    <w:rsid w:val="008A3FCA"/>
    <w:rsid w:val="008A478F"/>
    <w:rsid w:val="008A772A"/>
    <w:rsid w:val="008A774C"/>
    <w:rsid w:val="008A7F7E"/>
    <w:rsid w:val="008B0A02"/>
    <w:rsid w:val="008B13A5"/>
    <w:rsid w:val="008B2A9B"/>
    <w:rsid w:val="008B2CEB"/>
    <w:rsid w:val="008B310F"/>
    <w:rsid w:val="008B36E0"/>
    <w:rsid w:val="008B3907"/>
    <w:rsid w:val="008B4D5A"/>
    <w:rsid w:val="008B693E"/>
    <w:rsid w:val="008B7376"/>
    <w:rsid w:val="008B7EAF"/>
    <w:rsid w:val="008C0C3F"/>
    <w:rsid w:val="008C1358"/>
    <w:rsid w:val="008C1CEE"/>
    <w:rsid w:val="008C5081"/>
    <w:rsid w:val="008C633D"/>
    <w:rsid w:val="008C7116"/>
    <w:rsid w:val="008D126F"/>
    <w:rsid w:val="008D2DDD"/>
    <w:rsid w:val="008D2F42"/>
    <w:rsid w:val="008D3D62"/>
    <w:rsid w:val="008D4B06"/>
    <w:rsid w:val="008D5AB8"/>
    <w:rsid w:val="008D5DB0"/>
    <w:rsid w:val="008D6126"/>
    <w:rsid w:val="008D70A5"/>
    <w:rsid w:val="008D7F7B"/>
    <w:rsid w:val="008E1061"/>
    <w:rsid w:val="008E16D2"/>
    <w:rsid w:val="008E1D0D"/>
    <w:rsid w:val="008E22AB"/>
    <w:rsid w:val="008E3476"/>
    <w:rsid w:val="008E433A"/>
    <w:rsid w:val="008E4A45"/>
    <w:rsid w:val="008F0A2B"/>
    <w:rsid w:val="008F16A8"/>
    <w:rsid w:val="008F1E81"/>
    <w:rsid w:val="008F2C74"/>
    <w:rsid w:val="008F350C"/>
    <w:rsid w:val="008F35CF"/>
    <w:rsid w:val="008F5011"/>
    <w:rsid w:val="008F5643"/>
    <w:rsid w:val="008F68E4"/>
    <w:rsid w:val="00900020"/>
    <w:rsid w:val="00900149"/>
    <w:rsid w:val="00901AF5"/>
    <w:rsid w:val="00901B2E"/>
    <w:rsid w:val="00902FE0"/>
    <w:rsid w:val="0090310A"/>
    <w:rsid w:val="00903A63"/>
    <w:rsid w:val="00904156"/>
    <w:rsid w:val="00905675"/>
    <w:rsid w:val="00906026"/>
    <w:rsid w:val="00906FF5"/>
    <w:rsid w:val="00912151"/>
    <w:rsid w:val="00912891"/>
    <w:rsid w:val="00913F30"/>
    <w:rsid w:val="009165F3"/>
    <w:rsid w:val="009178FC"/>
    <w:rsid w:val="00917A48"/>
    <w:rsid w:val="00920558"/>
    <w:rsid w:val="00921E86"/>
    <w:rsid w:val="00923AD1"/>
    <w:rsid w:val="00924DDE"/>
    <w:rsid w:val="00926580"/>
    <w:rsid w:val="00927415"/>
    <w:rsid w:val="009278F1"/>
    <w:rsid w:val="009301ED"/>
    <w:rsid w:val="00930F79"/>
    <w:rsid w:val="00931C99"/>
    <w:rsid w:val="00931DD5"/>
    <w:rsid w:val="009326EE"/>
    <w:rsid w:val="009329FD"/>
    <w:rsid w:val="009345BC"/>
    <w:rsid w:val="00934F48"/>
    <w:rsid w:val="0093614C"/>
    <w:rsid w:val="00937F43"/>
    <w:rsid w:val="00940475"/>
    <w:rsid w:val="00940DE4"/>
    <w:rsid w:val="00940E08"/>
    <w:rsid w:val="00940FC9"/>
    <w:rsid w:val="00941F03"/>
    <w:rsid w:val="00941F53"/>
    <w:rsid w:val="00942C58"/>
    <w:rsid w:val="00942E83"/>
    <w:rsid w:val="009431A8"/>
    <w:rsid w:val="009437C4"/>
    <w:rsid w:val="009437D9"/>
    <w:rsid w:val="00945922"/>
    <w:rsid w:val="0094735C"/>
    <w:rsid w:val="009473A3"/>
    <w:rsid w:val="009475DF"/>
    <w:rsid w:val="00947CDA"/>
    <w:rsid w:val="00950550"/>
    <w:rsid w:val="00951582"/>
    <w:rsid w:val="00951FE7"/>
    <w:rsid w:val="00952398"/>
    <w:rsid w:val="00952B57"/>
    <w:rsid w:val="00953270"/>
    <w:rsid w:val="00953271"/>
    <w:rsid w:val="0095344B"/>
    <w:rsid w:val="009537FE"/>
    <w:rsid w:val="00953B88"/>
    <w:rsid w:val="009545FD"/>
    <w:rsid w:val="00954BF4"/>
    <w:rsid w:val="0095681B"/>
    <w:rsid w:val="00956968"/>
    <w:rsid w:val="00957307"/>
    <w:rsid w:val="00957FAD"/>
    <w:rsid w:val="00960274"/>
    <w:rsid w:val="00960D93"/>
    <w:rsid w:val="00962EC7"/>
    <w:rsid w:val="00963872"/>
    <w:rsid w:val="00964699"/>
    <w:rsid w:val="0096523D"/>
    <w:rsid w:val="009653C6"/>
    <w:rsid w:val="00966D39"/>
    <w:rsid w:val="009675F4"/>
    <w:rsid w:val="009713C7"/>
    <w:rsid w:val="009722A0"/>
    <w:rsid w:val="00974821"/>
    <w:rsid w:val="009773F3"/>
    <w:rsid w:val="0098003E"/>
    <w:rsid w:val="00981593"/>
    <w:rsid w:val="00981861"/>
    <w:rsid w:val="00983F86"/>
    <w:rsid w:val="00985BF1"/>
    <w:rsid w:val="00987F3B"/>
    <w:rsid w:val="00990B97"/>
    <w:rsid w:val="009928EF"/>
    <w:rsid w:val="00992EAF"/>
    <w:rsid w:val="009940CC"/>
    <w:rsid w:val="00996C8B"/>
    <w:rsid w:val="009A29D4"/>
    <w:rsid w:val="009A305C"/>
    <w:rsid w:val="009A4015"/>
    <w:rsid w:val="009A7675"/>
    <w:rsid w:val="009A79B0"/>
    <w:rsid w:val="009A7BC2"/>
    <w:rsid w:val="009A7CD2"/>
    <w:rsid w:val="009B1A36"/>
    <w:rsid w:val="009B2079"/>
    <w:rsid w:val="009B462A"/>
    <w:rsid w:val="009B51A2"/>
    <w:rsid w:val="009B5CF5"/>
    <w:rsid w:val="009B5D3A"/>
    <w:rsid w:val="009C00DE"/>
    <w:rsid w:val="009C0195"/>
    <w:rsid w:val="009C0C3C"/>
    <w:rsid w:val="009C1513"/>
    <w:rsid w:val="009C1580"/>
    <w:rsid w:val="009C287A"/>
    <w:rsid w:val="009C2BF7"/>
    <w:rsid w:val="009C375F"/>
    <w:rsid w:val="009C4E8C"/>
    <w:rsid w:val="009C5851"/>
    <w:rsid w:val="009C5D5C"/>
    <w:rsid w:val="009C61AE"/>
    <w:rsid w:val="009D1E48"/>
    <w:rsid w:val="009D27CE"/>
    <w:rsid w:val="009D293E"/>
    <w:rsid w:val="009D4E02"/>
    <w:rsid w:val="009D54DC"/>
    <w:rsid w:val="009D647B"/>
    <w:rsid w:val="009E0516"/>
    <w:rsid w:val="009E05D0"/>
    <w:rsid w:val="009E16F5"/>
    <w:rsid w:val="009E2312"/>
    <w:rsid w:val="009E39C6"/>
    <w:rsid w:val="009E3D18"/>
    <w:rsid w:val="009E4FB1"/>
    <w:rsid w:val="009E5E2C"/>
    <w:rsid w:val="009E6858"/>
    <w:rsid w:val="009E6CB1"/>
    <w:rsid w:val="009E71F1"/>
    <w:rsid w:val="009F0AA4"/>
    <w:rsid w:val="009F0EC3"/>
    <w:rsid w:val="009F2420"/>
    <w:rsid w:val="009F2BD3"/>
    <w:rsid w:val="009F731E"/>
    <w:rsid w:val="009F7C37"/>
    <w:rsid w:val="009F7EC9"/>
    <w:rsid w:val="00A0053C"/>
    <w:rsid w:val="00A01746"/>
    <w:rsid w:val="00A024B4"/>
    <w:rsid w:val="00A03072"/>
    <w:rsid w:val="00A039BA"/>
    <w:rsid w:val="00A03E87"/>
    <w:rsid w:val="00A04011"/>
    <w:rsid w:val="00A04C14"/>
    <w:rsid w:val="00A07A64"/>
    <w:rsid w:val="00A10A0D"/>
    <w:rsid w:val="00A1232E"/>
    <w:rsid w:val="00A127CB"/>
    <w:rsid w:val="00A14109"/>
    <w:rsid w:val="00A141BB"/>
    <w:rsid w:val="00A16081"/>
    <w:rsid w:val="00A1676F"/>
    <w:rsid w:val="00A168E9"/>
    <w:rsid w:val="00A17D2E"/>
    <w:rsid w:val="00A2011D"/>
    <w:rsid w:val="00A201C2"/>
    <w:rsid w:val="00A206A3"/>
    <w:rsid w:val="00A206F3"/>
    <w:rsid w:val="00A20B37"/>
    <w:rsid w:val="00A2239E"/>
    <w:rsid w:val="00A24845"/>
    <w:rsid w:val="00A25D8A"/>
    <w:rsid w:val="00A30571"/>
    <w:rsid w:val="00A31B35"/>
    <w:rsid w:val="00A31FD1"/>
    <w:rsid w:val="00A32BAA"/>
    <w:rsid w:val="00A32CE8"/>
    <w:rsid w:val="00A353C5"/>
    <w:rsid w:val="00A36BDB"/>
    <w:rsid w:val="00A36FB9"/>
    <w:rsid w:val="00A37E3B"/>
    <w:rsid w:val="00A4011A"/>
    <w:rsid w:val="00A4136B"/>
    <w:rsid w:val="00A426A0"/>
    <w:rsid w:val="00A42A41"/>
    <w:rsid w:val="00A4304B"/>
    <w:rsid w:val="00A4523D"/>
    <w:rsid w:val="00A45F3D"/>
    <w:rsid w:val="00A463C8"/>
    <w:rsid w:val="00A47403"/>
    <w:rsid w:val="00A4741C"/>
    <w:rsid w:val="00A504A8"/>
    <w:rsid w:val="00A525CD"/>
    <w:rsid w:val="00A552A3"/>
    <w:rsid w:val="00A55F93"/>
    <w:rsid w:val="00A57262"/>
    <w:rsid w:val="00A57AC5"/>
    <w:rsid w:val="00A6001A"/>
    <w:rsid w:val="00A6140F"/>
    <w:rsid w:val="00A6238D"/>
    <w:rsid w:val="00A624E4"/>
    <w:rsid w:val="00A62D86"/>
    <w:rsid w:val="00A64B27"/>
    <w:rsid w:val="00A64E92"/>
    <w:rsid w:val="00A65B6E"/>
    <w:rsid w:val="00A65C52"/>
    <w:rsid w:val="00A668A4"/>
    <w:rsid w:val="00A71CC6"/>
    <w:rsid w:val="00A71E41"/>
    <w:rsid w:val="00A728EE"/>
    <w:rsid w:val="00A72926"/>
    <w:rsid w:val="00A76051"/>
    <w:rsid w:val="00A76923"/>
    <w:rsid w:val="00A7697D"/>
    <w:rsid w:val="00A77E8F"/>
    <w:rsid w:val="00A806E5"/>
    <w:rsid w:val="00A8106F"/>
    <w:rsid w:val="00A85811"/>
    <w:rsid w:val="00A8665C"/>
    <w:rsid w:val="00A90148"/>
    <w:rsid w:val="00A903D1"/>
    <w:rsid w:val="00A916E7"/>
    <w:rsid w:val="00A94482"/>
    <w:rsid w:val="00A95517"/>
    <w:rsid w:val="00A9630A"/>
    <w:rsid w:val="00A96F45"/>
    <w:rsid w:val="00A9793D"/>
    <w:rsid w:val="00A97EED"/>
    <w:rsid w:val="00AA0DC3"/>
    <w:rsid w:val="00AA1C0F"/>
    <w:rsid w:val="00AA1ED1"/>
    <w:rsid w:val="00AA35D2"/>
    <w:rsid w:val="00AA3A5F"/>
    <w:rsid w:val="00AA6A7E"/>
    <w:rsid w:val="00AA6EF0"/>
    <w:rsid w:val="00AB035C"/>
    <w:rsid w:val="00AB07B7"/>
    <w:rsid w:val="00AB2648"/>
    <w:rsid w:val="00AB286A"/>
    <w:rsid w:val="00AB294E"/>
    <w:rsid w:val="00AB29D9"/>
    <w:rsid w:val="00AB50DA"/>
    <w:rsid w:val="00AB571B"/>
    <w:rsid w:val="00AB6C2B"/>
    <w:rsid w:val="00AB7025"/>
    <w:rsid w:val="00AB791A"/>
    <w:rsid w:val="00AC0589"/>
    <w:rsid w:val="00AC2114"/>
    <w:rsid w:val="00AC5435"/>
    <w:rsid w:val="00AC62BD"/>
    <w:rsid w:val="00AC6D00"/>
    <w:rsid w:val="00AC722F"/>
    <w:rsid w:val="00AC735C"/>
    <w:rsid w:val="00AD0D78"/>
    <w:rsid w:val="00AD0F12"/>
    <w:rsid w:val="00AD20BC"/>
    <w:rsid w:val="00AD2647"/>
    <w:rsid w:val="00AD3122"/>
    <w:rsid w:val="00AD554A"/>
    <w:rsid w:val="00AD6E54"/>
    <w:rsid w:val="00AD6F3D"/>
    <w:rsid w:val="00AE1026"/>
    <w:rsid w:val="00AE47D6"/>
    <w:rsid w:val="00AE68D8"/>
    <w:rsid w:val="00AF0A21"/>
    <w:rsid w:val="00AF1C52"/>
    <w:rsid w:val="00AF3F1D"/>
    <w:rsid w:val="00AF4298"/>
    <w:rsid w:val="00AF42F5"/>
    <w:rsid w:val="00AF4AA2"/>
    <w:rsid w:val="00AF5652"/>
    <w:rsid w:val="00AF7151"/>
    <w:rsid w:val="00AF72BD"/>
    <w:rsid w:val="00B001E2"/>
    <w:rsid w:val="00B01638"/>
    <w:rsid w:val="00B02828"/>
    <w:rsid w:val="00B038B1"/>
    <w:rsid w:val="00B03A6A"/>
    <w:rsid w:val="00B03B77"/>
    <w:rsid w:val="00B06132"/>
    <w:rsid w:val="00B07C26"/>
    <w:rsid w:val="00B07EEE"/>
    <w:rsid w:val="00B101A2"/>
    <w:rsid w:val="00B10968"/>
    <w:rsid w:val="00B11819"/>
    <w:rsid w:val="00B12270"/>
    <w:rsid w:val="00B138A0"/>
    <w:rsid w:val="00B13ACE"/>
    <w:rsid w:val="00B13DB5"/>
    <w:rsid w:val="00B14111"/>
    <w:rsid w:val="00B15CB5"/>
    <w:rsid w:val="00B16E62"/>
    <w:rsid w:val="00B20D02"/>
    <w:rsid w:val="00B22420"/>
    <w:rsid w:val="00B22E6C"/>
    <w:rsid w:val="00B2407A"/>
    <w:rsid w:val="00B258CC"/>
    <w:rsid w:val="00B25A21"/>
    <w:rsid w:val="00B265C6"/>
    <w:rsid w:val="00B26E91"/>
    <w:rsid w:val="00B2737A"/>
    <w:rsid w:val="00B2785E"/>
    <w:rsid w:val="00B31C57"/>
    <w:rsid w:val="00B33218"/>
    <w:rsid w:val="00B33C4E"/>
    <w:rsid w:val="00B3450C"/>
    <w:rsid w:val="00B36191"/>
    <w:rsid w:val="00B3620A"/>
    <w:rsid w:val="00B3651E"/>
    <w:rsid w:val="00B41197"/>
    <w:rsid w:val="00B41B6D"/>
    <w:rsid w:val="00B41C90"/>
    <w:rsid w:val="00B42179"/>
    <w:rsid w:val="00B42223"/>
    <w:rsid w:val="00B427BC"/>
    <w:rsid w:val="00B4291B"/>
    <w:rsid w:val="00B42E94"/>
    <w:rsid w:val="00B43F37"/>
    <w:rsid w:val="00B463F6"/>
    <w:rsid w:val="00B4655A"/>
    <w:rsid w:val="00B46D9E"/>
    <w:rsid w:val="00B4751F"/>
    <w:rsid w:val="00B47ED0"/>
    <w:rsid w:val="00B5084A"/>
    <w:rsid w:val="00B51074"/>
    <w:rsid w:val="00B51211"/>
    <w:rsid w:val="00B51CF5"/>
    <w:rsid w:val="00B53999"/>
    <w:rsid w:val="00B54A9F"/>
    <w:rsid w:val="00B550F8"/>
    <w:rsid w:val="00B55E3A"/>
    <w:rsid w:val="00B5617B"/>
    <w:rsid w:val="00B619D5"/>
    <w:rsid w:val="00B61FDE"/>
    <w:rsid w:val="00B6221C"/>
    <w:rsid w:val="00B644C3"/>
    <w:rsid w:val="00B66ED9"/>
    <w:rsid w:val="00B67F8B"/>
    <w:rsid w:val="00B716AB"/>
    <w:rsid w:val="00B71CE3"/>
    <w:rsid w:val="00B7282A"/>
    <w:rsid w:val="00B72B10"/>
    <w:rsid w:val="00B736E2"/>
    <w:rsid w:val="00B75780"/>
    <w:rsid w:val="00B76E5C"/>
    <w:rsid w:val="00B77D8D"/>
    <w:rsid w:val="00B808C4"/>
    <w:rsid w:val="00B8123C"/>
    <w:rsid w:val="00B81C85"/>
    <w:rsid w:val="00B8711A"/>
    <w:rsid w:val="00B877E4"/>
    <w:rsid w:val="00B9292A"/>
    <w:rsid w:val="00B92F73"/>
    <w:rsid w:val="00B93830"/>
    <w:rsid w:val="00B940EB"/>
    <w:rsid w:val="00B953B6"/>
    <w:rsid w:val="00B955A8"/>
    <w:rsid w:val="00B95CDD"/>
    <w:rsid w:val="00B95F6C"/>
    <w:rsid w:val="00BA0618"/>
    <w:rsid w:val="00BA0B1E"/>
    <w:rsid w:val="00BA2153"/>
    <w:rsid w:val="00BA2448"/>
    <w:rsid w:val="00BA3017"/>
    <w:rsid w:val="00BA4376"/>
    <w:rsid w:val="00BA5283"/>
    <w:rsid w:val="00BA65DB"/>
    <w:rsid w:val="00BA697D"/>
    <w:rsid w:val="00BA69A0"/>
    <w:rsid w:val="00BA6CC3"/>
    <w:rsid w:val="00BA6CFD"/>
    <w:rsid w:val="00BA7266"/>
    <w:rsid w:val="00BA7431"/>
    <w:rsid w:val="00BA7E9C"/>
    <w:rsid w:val="00BB0685"/>
    <w:rsid w:val="00BB0A3A"/>
    <w:rsid w:val="00BB2504"/>
    <w:rsid w:val="00BB4BE2"/>
    <w:rsid w:val="00BB5352"/>
    <w:rsid w:val="00BB6329"/>
    <w:rsid w:val="00BB6AF3"/>
    <w:rsid w:val="00BB7733"/>
    <w:rsid w:val="00BC4511"/>
    <w:rsid w:val="00BC55B8"/>
    <w:rsid w:val="00BC56E7"/>
    <w:rsid w:val="00BC5867"/>
    <w:rsid w:val="00BC5E5E"/>
    <w:rsid w:val="00BC6CCB"/>
    <w:rsid w:val="00BC7C67"/>
    <w:rsid w:val="00BD0F1D"/>
    <w:rsid w:val="00BD175B"/>
    <w:rsid w:val="00BD2164"/>
    <w:rsid w:val="00BD3868"/>
    <w:rsid w:val="00BD3AEC"/>
    <w:rsid w:val="00BD4BA1"/>
    <w:rsid w:val="00BD5024"/>
    <w:rsid w:val="00BD6803"/>
    <w:rsid w:val="00BD68CE"/>
    <w:rsid w:val="00BE096D"/>
    <w:rsid w:val="00BE09D5"/>
    <w:rsid w:val="00BE2030"/>
    <w:rsid w:val="00BE4321"/>
    <w:rsid w:val="00BE4FF6"/>
    <w:rsid w:val="00BF3288"/>
    <w:rsid w:val="00BF36E8"/>
    <w:rsid w:val="00BF473A"/>
    <w:rsid w:val="00BF6802"/>
    <w:rsid w:val="00BF7DD2"/>
    <w:rsid w:val="00C00BA2"/>
    <w:rsid w:val="00C01103"/>
    <w:rsid w:val="00C012A6"/>
    <w:rsid w:val="00C0230D"/>
    <w:rsid w:val="00C02498"/>
    <w:rsid w:val="00C024E8"/>
    <w:rsid w:val="00C03EB8"/>
    <w:rsid w:val="00C04F0C"/>
    <w:rsid w:val="00C053C6"/>
    <w:rsid w:val="00C05925"/>
    <w:rsid w:val="00C05AD4"/>
    <w:rsid w:val="00C07289"/>
    <w:rsid w:val="00C075A5"/>
    <w:rsid w:val="00C11D0F"/>
    <w:rsid w:val="00C12051"/>
    <w:rsid w:val="00C139B7"/>
    <w:rsid w:val="00C14038"/>
    <w:rsid w:val="00C15450"/>
    <w:rsid w:val="00C166F0"/>
    <w:rsid w:val="00C16939"/>
    <w:rsid w:val="00C17736"/>
    <w:rsid w:val="00C21879"/>
    <w:rsid w:val="00C2283D"/>
    <w:rsid w:val="00C23C2A"/>
    <w:rsid w:val="00C262A6"/>
    <w:rsid w:val="00C26863"/>
    <w:rsid w:val="00C26989"/>
    <w:rsid w:val="00C26DFA"/>
    <w:rsid w:val="00C27079"/>
    <w:rsid w:val="00C27A1D"/>
    <w:rsid w:val="00C32666"/>
    <w:rsid w:val="00C32DE8"/>
    <w:rsid w:val="00C33E9A"/>
    <w:rsid w:val="00C35135"/>
    <w:rsid w:val="00C36D58"/>
    <w:rsid w:val="00C37051"/>
    <w:rsid w:val="00C3732D"/>
    <w:rsid w:val="00C4079F"/>
    <w:rsid w:val="00C40816"/>
    <w:rsid w:val="00C42CCD"/>
    <w:rsid w:val="00C42E37"/>
    <w:rsid w:val="00C45043"/>
    <w:rsid w:val="00C454BD"/>
    <w:rsid w:val="00C454C0"/>
    <w:rsid w:val="00C45F71"/>
    <w:rsid w:val="00C46D21"/>
    <w:rsid w:val="00C473EB"/>
    <w:rsid w:val="00C522D4"/>
    <w:rsid w:val="00C530B5"/>
    <w:rsid w:val="00C537ED"/>
    <w:rsid w:val="00C538A8"/>
    <w:rsid w:val="00C5423D"/>
    <w:rsid w:val="00C5577C"/>
    <w:rsid w:val="00C562C3"/>
    <w:rsid w:val="00C57274"/>
    <w:rsid w:val="00C618AB"/>
    <w:rsid w:val="00C62E6D"/>
    <w:rsid w:val="00C63585"/>
    <w:rsid w:val="00C65024"/>
    <w:rsid w:val="00C704B7"/>
    <w:rsid w:val="00C705C7"/>
    <w:rsid w:val="00C7341A"/>
    <w:rsid w:val="00C74D99"/>
    <w:rsid w:val="00C76862"/>
    <w:rsid w:val="00C77637"/>
    <w:rsid w:val="00C8265F"/>
    <w:rsid w:val="00C82B25"/>
    <w:rsid w:val="00C83EE3"/>
    <w:rsid w:val="00C85C17"/>
    <w:rsid w:val="00C8729F"/>
    <w:rsid w:val="00C875C9"/>
    <w:rsid w:val="00C87CDE"/>
    <w:rsid w:val="00C87ED6"/>
    <w:rsid w:val="00C902EC"/>
    <w:rsid w:val="00C90F36"/>
    <w:rsid w:val="00C9243F"/>
    <w:rsid w:val="00C92488"/>
    <w:rsid w:val="00C925E8"/>
    <w:rsid w:val="00C9323C"/>
    <w:rsid w:val="00C93D25"/>
    <w:rsid w:val="00C93E54"/>
    <w:rsid w:val="00C950A1"/>
    <w:rsid w:val="00C95F72"/>
    <w:rsid w:val="00C964CE"/>
    <w:rsid w:val="00C96DED"/>
    <w:rsid w:val="00CA1466"/>
    <w:rsid w:val="00CA1F42"/>
    <w:rsid w:val="00CA2683"/>
    <w:rsid w:val="00CA2DC3"/>
    <w:rsid w:val="00CA4858"/>
    <w:rsid w:val="00CA52FD"/>
    <w:rsid w:val="00CA5615"/>
    <w:rsid w:val="00CB1448"/>
    <w:rsid w:val="00CB14BB"/>
    <w:rsid w:val="00CB1B6F"/>
    <w:rsid w:val="00CB22AC"/>
    <w:rsid w:val="00CB3FCE"/>
    <w:rsid w:val="00CB5B66"/>
    <w:rsid w:val="00CB5BE4"/>
    <w:rsid w:val="00CB741F"/>
    <w:rsid w:val="00CC01C7"/>
    <w:rsid w:val="00CC02E6"/>
    <w:rsid w:val="00CC0479"/>
    <w:rsid w:val="00CC0A76"/>
    <w:rsid w:val="00CC1528"/>
    <w:rsid w:val="00CC36CA"/>
    <w:rsid w:val="00CC4756"/>
    <w:rsid w:val="00CC5FCA"/>
    <w:rsid w:val="00CC6EC5"/>
    <w:rsid w:val="00CC79CF"/>
    <w:rsid w:val="00CD0FB3"/>
    <w:rsid w:val="00CD1264"/>
    <w:rsid w:val="00CD238E"/>
    <w:rsid w:val="00CD2609"/>
    <w:rsid w:val="00CD31CC"/>
    <w:rsid w:val="00CD62E7"/>
    <w:rsid w:val="00CE0C81"/>
    <w:rsid w:val="00CE1C32"/>
    <w:rsid w:val="00CE3C0A"/>
    <w:rsid w:val="00CE3F62"/>
    <w:rsid w:val="00CE51EF"/>
    <w:rsid w:val="00CE58A2"/>
    <w:rsid w:val="00CE5B35"/>
    <w:rsid w:val="00CE647C"/>
    <w:rsid w:val="00CE7258"/>
    <w:rsid w:val="00CE72A5"/>
    <w:rsid w:val="00CE7BED"/>
    <w:rsid w:val="00CE7D94"/>
    <w:rsid w:val="00CF26EA"/>
    <w:rsid w:val="00CF48B7"/>
    <w:rsid w:val="00CF496F"/>
    <w:rsid w:val="00CF4D69"/>
    <w:rsid w:val="00CF6402"/>
    <w:rsid w:val="00CF6CA4"/>
    <w:rsid w:val="00CF7FA5"/>
    <w:rsid w:val="00D02393"/>
    <w:rsid w:val="00D0295D"/>
    <w:rsid w:val="00D0311C"/>
    <w:rsid w:val="00D03290"/>
    <w:rsid w:val="00D03445"/>
    <w:rsid w:val="00D04305"/>
    <w:rsid w:val="00D04525"/>
    <w:rsid w:val="00D04A68"/>
    <w:rsid w:val="00D04CAC"/>
    <w:rsid w:val="00D0641D"/>
    <w:rsid w:val="00D06B01"/>
    <w:rsid w:val="00D06C9F"/>
    <w:rsid w:val="00D06E13"/>
    <w:rsid w:val="00D0716C"/>
    <w:rsid w:val="00D12452"/>
    <w:rsid w:val="00D136C6"/>
    <w:rsid w:val="00D143BB"/>
    <w:rsid w:val="00D15C03"/>
    <w:rsid w:val="00D24A71"/>
    <w:rsid w:val="00D2527C"/>
    <w:rsid w:val="00D25781"/>
    <w:rsid w:val="00D25791"/>
    <w:rsid w:val="00D25A2F"/>
    <w:rsid w:val="00D279B4"/>
    <w:rsid w:val="00D30EB0"/>
    <w:rsid w:val="00D31503"/>
    <w:rsid w:val="00D315FA"/>
    <w:rsid w:val="00D31B71"/>
    <w:rsid w:val="00D3279C"/>
    <w:rsid w:val="00D333D5"/>
    <w:rsid w:val="00D33A85"/>
    <w:rsid w:val="00D33ED6"/>
    <w:rsid w:val="00D34767"/>
    <w:rsid w:val="00D34843"/>
    <w:rsid w:val="00D35CBF"/>
    <w:rsid w:val="00D36620"/>
    <w:rsid w:val="00D366E4"/>
    <w:rsid w:val="00D404D1"/>
    <w:rsid w:val="00D41143"/>
    <w:rsid w:val="00D42F6D"/>
    <w:rsid w:val="00D45FE9"/>
    <w:rsid w:val="00D53740"/>
    <w:rsid w:val="00D61241"/>
    <w:rsid w:val="00D622C0"/>
    <w:rsid w:val="00D62D9E"/>
    <w:rsid w:val="00D62FED"/>
    <w:rsid w:val="00D632A5"/>
    <w:rsid w:val="00D63759"/>
    <w:rsid w:val="00D641BF"/>
    <w:rsid w:val="00D65C99"/>
    <w:rsid w:val="00D6658C"/>
    <w:rsid w:val="00D70046"/>
    <w:rsid w:val="00D705A8"/>
    <w:rsid w:val="00D7091E"/>
    <w:rsid w:val="00D714B9"/>
    <w:rsid w:val="00D71828"/>
    <w:rsid w:val="00D723E2"/>
    <w:rsid w:val="00D743D8"/>
    <w:rsid w:val="00D76BB4"/>
    <w:rsid w:val="00D77357"/>
    <w:rsid w:val="00D8011F"/>
    <w:rsid w:val="00D8050D"/>
    <w:rsid w:val="00D80895"/>
    <w:rsid w:val="00D81338"/>
    <w:rsid w:val="00D8143F"/>
    <w:rsid w:val="00D81686"/>
    <w:rsid w:val="00D819A0"/>
    <w:rsid w:val="00D81FAB"/>
    <w:rsid w:val="00D82C75"/>
    <w:rsid w:val="00D84B34"/>
    <w:rsid w:val="00D84E78"/>
    <w:rsid w:val="00D8753E"/>
    <w:rsid w:val="00D90267"/>
    <w:rsid w:val="00D908B8"/>
    <w:rsid w:val="00D94FC5"/>
    <w:rsid w:val="00D95221"/>
    <w:rsid w:val="00D9599A"/>
    <w:rsid w:val="00D964A9"/>
    <w:rsid w:val="00D9723E"/>
    <w:rsid w:val="00D9795D"/>
    <w:rsid w:val="00DA0F73"/>
    <w:rsid w:val="00DA1C4C"/>
    <w:rsid w:val="00DA3BC2"/>
    <w:rsid w:val="00DA4C0F"/>
    <w:rsid w:val="00DA5089"/>
    <w:rsid w:val="00DA61E2"/>
    <w:rsid w:val="00DA69E5"/>
    <w:rsid w:val="00DA7CD2"/>
    <w:rsid w:val="00DB23CF"/>
    <w:rsid w:val="00DB24CD"/>
    <w:rsid w:val="00DB2AD1"/>
    <w:rsid w:val="00DB2E11"/>
    <w:rsid w:val="00DB3440"/>
    <w:rsid w:val="00DB3514"/>
    <w:rsid w:val="00DB357F"/>
    <w:rsid w:val="00DB46BF"/>
    <w:rsid w:val="00DB51D1"/>
    <w:rsid w:val="00DB58AC"/>
    <w:rsid w:val="00DB6C7B"/>
    <w:rsid w:val="00DB7702"/>
    <w:rsid w:val="00DC03DB"/>
    <w:rsid w:val="00DC194A"/>
    <w:rsid w:val="00DC2A60"/>
    <w:rsid w:val="00DC2E16"/>
    <w:rsid w:val="00DC32CD"/>
    <w:rsid w:val="00DC34D0"/>
    <w:rsid w:val="00DC3DD8"/>
    <w:rsid w:val="00DC4142"/>
    <w:rsid w:val="00DC465E"/>
    <w:rsid w:val="00DC4BFA"/>
    <w:rsid w:val="00DC567B"/>
    <w:rsid w:val="00DC6894"/>
    <w:rsid w:val="00DC7740"/>
    <w:rsid w:val="00DC7889"/>
    <w:rsid w:val="00DD0664"/>
    <w:rsid w:val="00DD0DB0"/>
    <w:rsid w:val="00DD1065"/>
    <w:rsid w:val="00DD15F7"/>
    <w:rsid w:val="00DD3576"/>
    <w:rsid w:val="00DD3A5D"/>
    <w:rsid w:val="00DD4E41"/>
    <w:rsid w:val="00DD54B8"/>
    <w:rsid w:val="00DD5E77"/>
    <w:rsid w:val="00DD676A"/>
    <w:rsid w:val="00DD6F23"/>
    <w:rsid w:val="00DE07C3"/>
    <w:rsid w:val="00DE0923"/>
    <w:rsid w:val="00DE359C"/>
    <w:rsid w:val="00DE4DAA"/>
    <w:rsid w:val="00DE5630"/>
    <w:rsid w:val="00DE5AA0"/>
    <w:rsid w:val="00DE5B49"/>
    <w:rsid w:val="00DE5CF8"/>
    <w:rsid w:val="00DE5FE6"/>
    <w:rsid w:val="00DE72D1"/>
    <w:rsid w:val="00DE7AB7"/>
    <w:rsid w:val="00DF11D0"/>
    <w:rsid w:val="00DF1287"/>
    <w:rsid w:val="00DF26E0"/>
    <w:rsid w:val="00DF2B80"/>
    <w:rsid w:val="00DF51BD"/>
    <w:rsid w:val="00DF5877"/>
    <w:rsid w:val="00DF6664"/>
    <w:rsid w:val="00DF6FAD"/>
    <w:rsid w:val="00DF73CD"/>
    <w:rsid w:val="00DF7648"/>
    <w:rsid w:val="00E0021B"/>
    <w:rsid w:val="00E0084E"/>
    <w:rsid w:val="00E00BD3"/>
    <w:rsid w:val="00E00C5E"/>
    <w:rsid w:val="00E0199C"/>
    <w:rsid w:val="00E01E19"/>
    <w:rsid w:val="00E02016"/>
    <w:rsid w:val="00E02698"/>
    <w:rsid w:val="00E028A0"/>
    <w:rsid w:val="00E02C0D"/>
    <w:rsid w:val="00E0379D"/>
    <w:rsid w:val="00E03A0A"/>
    <w:rsid w:val="00E03D34"/>
    <w:rsid w:val="00E04317"/>
    <w:rsid w:val="00E0444A"/>
    <w:rsid w:val="00E04ECF"/>
    <w:rsid w:val="00E053D6"/>
    <w:rsid w:val="00E06408"/>
    <w:rsid w:val="00E10492"/>
    <w:rsid w:val="00E1069B"/>
    <w:rsid w:val="00E10DDF"/>
    <w:rsid w:val="00E1265D"/>
    <w:rsid w:val="00E13571"/>
    <w:rsid w:val="00E16990"/>
    <w:rsid w:val="00E170F5"/>
    <w:rsid w:val="00E178D6"/>
    <w:rsid w:val="00E2140D"/>
    <w:rsid w:val="00E21574"/>
    <w:rsid w:val="00E219D2"/>
    <w:rsid w:val="00E221DB"/>
    <w:rsid w:val="00E226F6"/>
    <w:rsid w:val="00E24775"/>
    <w:rsid w:val="00E24AED"/>
    <w:rsid w:val="00E25A01"/>
    <w:rsid w:val="00E27379"/>
    <w:rsid w:val="00E27E90"/>
    <w:rsid w:val="00E30D27"/>
    <w:rsid w:val="00E30F0E"/>
    <w:rsid w:val="00E31198"/>
    <w:rsid w:val="00E31358"/>
    <w:rsid w:val="00E323E9"/>
    <w:rsid w:val="00E325F1"/>
    <w:rsid w:val="00E3439A"/>
    <w:rsid w:val="00E343AE"/>
    <w:rsid w:val="00E35CE8"/>
    <w:rsid w:val="00E3655E"/>
    <w:rsid w:val="00E4028E"/>
    <w:rsid w:val="00E40BA1"/>
    <w:rsid w:val="00E40C09"/>
    <w:rsid w:val="00E4190F"/>
    <w:rsid w:val="00E425A6"/>
    <w:rsid w:val="00E436F4"/>
    <w:rsid w:val="00E4425F"/>
    <w:rsid w:val="00E44FB0"/>
    <w:rsid w:val="00E50453"/>
    <w:rsid w:val="00E505C7"/>
    <w:rsid w:val="00E51C81"/>
    <w:rsid w:val="00E52D65"/>
    <w:rsid w:val="00E53671"/>
    <w:rsid w:val="00E536B5"/>
    <w:rsid w:val="00E54F2F"/>
    <w:rsid w:val="00E57E59"/>
    <w:rsid w:val="00E6001D"/>
    <w:rsid w:val="00E60405"/>
    <w:rsid w:val="00E60453"/>
    <w:rsid w:val="00E60809"/>
    <w:rsid w:val="00E60D09"/>
    <w:rsid w:val="00E60E44"/>
    <w:rsid w:val="00E61E46"/>
    <w:rsid w:val="00E6273C"/>
    <w:rsid w:val="00E62746"/>
    <w:rsid w:val="00E6406B"/>
    <w:rsid w:val="00E64131"/>
    <w:rsid w:val="00E64FFC"/>
    <w:rsid w:val="00E65F2C"/>
    <w:rsid w:val="00E714DB"/>
    <w:rsid w:val="00E72020"/>
    <w:rsid w:val="00E72537"/>
    <w:rsid w:val="00E751AB"/>
    <w:rsid w:val="00E7573A"/>
    <w:rsid w:val="00E8038F"/>
    <w:rsid w:val="00E80E83"/>
    <w:rsid w:val="00E82807"/>
    <w:rsid w:val="00E82F3C"/>
    <w:rsid w:val="00E83DAC"/>
    <w:rsid w:val="00E8461C"/>
    <w:rsid w:val="00E8783E"/>
    <w:rsid w:val="00E910F2"/>
    <w:rsid w:val="00E914E7"/>
    <w:rsid w:val="00E9174E"/>
    <w:rsid w:val="00E91BD2"/>
    <w:rsid w:val="00E91C4D"/>
    <w:rsid w:val="00E92688"/>
    <w:rsid w:val="00E92F36"/>
    <w:rsid w:val="00E93370"/>
    <w:rsid w:val="00E93897"/>
    <w:rsid w:val="00E942BE"/>
    <w:rsid w:val="00E94402"/>
    <w:rsid w:val="00E9467D"/>
    <w:rsid w:val="00E97B21"/>
    <w:rsid w:val="00E97DCF"/>
    <w:rsid w:val="00EA0E8B"/>
    <w:rsid w:val="00EA19F1"/>
    <w:rsid w:val="00EA25D5"/>
    <w:rsid w:val="00EA7769"/>
    <w:rsid w:val="00EA7E7C"/>
    <w:rsid w:val="00EB0067"/>
    <w:rsid w:val="00EB10B4"/>
    <w:rsid w:val="00EB1B25"/>
    <w:rsid w:val="00EB5554"/>
    <w:rsid w:val="00EB59A1"/>
    <w:rsid w:val="00EB6284"/>
    <w:rsid w:val="00EB72E2"/>
    <w:rsid w:val="00EB7816"/>
    <w:rsid w:val="00EC114F"/>
    <w:rsid w:val="00EC17B5"/>
    <w:rsid w:val="00EC242C"/>
    <w:rsid w:val="00EC4928"/>
    <w:rsid w:val="00EC4E9F"/>
    <w:rsid w:val="00EC61F5"/>
    <w:rsid w:val="00EC6962"/>
    <w:rsid w:val="00ED04C1"/>
    <w:rsid w:val="00ED0CDA"/>
    <w:rsid w:val="00ED1A2E"/>
    <w:rsid w:val="00ED2B82"/>
    <w:rsid w:val="00ED34CD"/>
    <w:rsid w:val="00ED365A"/>
    <w:rsid w:val="00ED3A10"/>
    <w:rsid w:val="00ED451D"/>
    <w:rsid w:val="00ED512B"/>
    <w:rsid w:val="00ED59C1"/>
    <w:rsid w:val="00ED5BB9"/>
    <w:rsid w:val="00ED6BAD"/>
    <w:rsid w:val="00ED7103"/>
    <w:rsid w:val="00ED710D"/>
    <w:rsid w:val="00EE01A1"/>
    <w:rsid w:val="00EE17CF"/>
    <w:rsid w:val="00EE2E59"/>
    <w:rsid w:val="00EE4826"/>
    <w:rsid w:val="00EE524D"/>
    <w:rsid w:val="00EE6777"/>
    <w:rsid w:val="00EE7435"/>
    <w:rsid w:val="00EE7C2F"/>
    <w:rsid w:val="00EE7FA7"/>
    <w:rsid w:val="00EF05CB"/>
    <w:rsid w:val="00EF1A44"/>
    <w:rsid w:val="00EF1CC6"/>
    <w:rsid w:val="00EF34E2"/>
    <w:rsid w:val="00EF3FB6"/>
    <w:rsid w:val="00EF4835"/>
    <w:rsid w:val="00EF52A8"/>
    <w:rsid w:val="00EF574E"/>
    <w:rsid w:val="00EF58EC"/>
    <w:rsid w:val="00EF5A5A"/>
    <w:rsid w:val="00EF5BB0"/>
    <w:rsid w:val="00EF5C5B"/>
    <w:rsid w:val="00EF66E3"/>
    <w:rsid w:val="00EF6D9E"/>
    <w:rsid w:val="00F00637"/>
    <w:rsid w:val="00F00A0E"/>
    <w:rsid w:val="00F02107"/>
    <w:rsid w:val="00F038EC"/>
    <w:rsid w:val="00F03EE9"/>
    <w:rsid w:val="00F06556"/>
    <w:rsid w:val="00F10C6F"/>
    <w:rsid w:val="00F1187A"/>
    <w:rsid w:val="00F11DDE"/>
    <w:rsid w:val="00F13DDB"/>
    <w:rsid w:val="00F1438E"/>
    <w:rsid w:val="00F1648A"/>
    <w:rsid w:val="00F16EC5"/>
    <w:rsid w:val="00F17E59"/>
    <w:rsid w:val="00F207CF"/>
    <w:rsid w:val="00F20AC8"/>
    <w:rsid w:val="00F20AFA"/>
    <w:rsid w:val="00F21286"/>
    <w:rsid w:val="00F217C6"/>
    <w:rsid w:val="00F22AB4"/>
    <w:rsid w:val="00F22C54"/>
    <w:rsid w:val="00F2300F"/>
    <w:rsid w:val="00F24C43"/>
    <w:rsid w:val="00F27205"/>
    <w:rsid w:val="00F30950"/>
    <w:rsid w:val="00F32798"/>
    <w:rsid w:val="00F33361"/>
    <w:rsid w:val="00F33A54"/>
    <w:rsid w:val="00F34ECC"/>
    <w:rsid w:val="00F4105D"/>
    <w:rsid w:val="00F41FF6"/>
    <w:rsid w:val="00F4358A"/>
    <w:rsid w:val="00F43FD8"/>
    <w:rsid w:val="00F45250"/>
    <w:rsid w:val="00F45D80"/>
    <w:rsid w:val="00F47030"/>
    <w:rsid w:val="00F47C89"/>
    <w:rsid w:val="00F47E81"/>
    <w:rsid w:val="00F50E34"/>
    <w:rsid w:val="00F51C8E"/>
    <w:rsid w:val="00F523EF"/>
    <w:rsid w:val="00F52913"/>
    <w:rsid w:val="00F52BAC"/>
    <w:rsid w:val="00F53C91"/>
    <w:rsid w:val="00F56440"/>
    <w:rsid w:val="00F57B26"/>
    <w:rsid w:val="00F610E2"/>
    <w:rsid w:val="00F61B26"/>
    <w:rsid w:val="00F631FE"/>
    <w:rsid w:val="00F63CB6"/>
    <w:rsid w:val="00F6493C"/>
    <w:rsid w:val="00F64CB7"/>
    <w:rsid w:val="00F65333"/>
    <w:rsid w:val="00F67CD3"/>
    <w:rsid w:val="00F7098E"/>
    <w:rsid w:val="00F70B56"/>
    <w:rsid w:val="00F712D6"/>
    <w:rsid w:val="00F717B6"/>
    <w:rsid w:val="00F72785"/>
    <w:rsid w:val="00F748E1"/>
    <w:rsid w:val="00F7645D"/>
    <w:rsid w:val="00F76892"/>
    <w:rsid w:val="00F774B4"/>
    <w:rsid w:val="00F80F23"/>
    <w:rsid w:val="00F82DB5"/>
    <w:rsid w:val="00F82F48"/>
    <w:rsid w:val="00F83E83"/>
    <w:rsid w:val="00F856F0"/>
    <w:rsid w:val="00F874F5"/>
    <w:rsid w:val="00F87A55"/>
    <w:rsid w:val="00F91416"/>
    <w:rsid w:val="00F91A87"/>
    <w:rsid w:val="00F92B52"/>
    <w:rsid w:val="00F93989"/>
    <w:rsid w:val="00F9553A"/>
    <w:rsid w:val="00FA1E77"/>
    <w:rsid w:val="00FA24DA"/>
    <w:rsid w:val="00FA3D42"/>
    <w:rsid w:val="00FA40E9"/>
    <w:rsid w:val="00FA4131"/>
    <w:rsid w:val="00FA648F"/>
    <w:rsid w:val="00FA76B8"/>
    <w:rsid w:val="00FB3A38"/>
    <w:rsid w:val="00FB45FD"/>
    <w:rsid w:val="00FB50D6"/>
    <w:rsid w:val="00FB6918"/>
    <w:rsid w:val="00FB6BC5"/>
    <w:rsid w:val="00FB7146"/>
    <w:rsid w:val="00FB72FD"/>
    <w:rsid w:val="00FB748A"/>
    <w:rsid w:val="00FB7D58"/>
    <w:rsid w:val="00FC0B57"/>
    <w:rsid w:val="00FC3121"/>
    <w:rsid w:val="00FC38DA"/>
    <w:rsid w:val="00FC41C0"/>
    <w:rsid w:val="00FC4B20"/>
    <w:rsid w:val="00FC5143"/>
    <w:rsid w:val="00FC58DA"/>
    <w:rsid w:val="00FC59EA"/>
    <w:rsid w:val="00FC60F1"/>
    <w:rsid w:val="00FC620B"/>
    <w:rsid w:val="00FC7714"/>
    <w:rsid w:val="00FD1BE4"/>
    <w:rsid w:val="00FD3884"/>
    <w:rsid w:val="00FD4C90"/>
    <w:rsid w:val="00FD5AC0"/>
    <w:rsid w:val="00FD6BDD"/>
    <w:rsid w:val="00FD6DD6"/>
    <w:rsid w:val="00FD7516"/>
    <w:rsid w:val="00FD78C7"/>
    <w:rsid w:val="00FE0BBC"/>
    <w:rsid w:val="00FE127C"/>
    <w:rsid w:val="00FE1306"/>
    <w:rsid w:val="00FE3EF9"/>
    <w:rsid w:val="00FE4DFC"/>
    <w:rsid w:val="00FE5B25"/>
    <w:rsid w:val="00FE727A"/>
    <w:rsid w:val="00FF0510"/>
    <w:rsid w:val="00FF15AC"/>
    <w:rsid w:val="00FF1D7A"/>
    <w:rsid w:val="00FF408A"/>
    <w:rsid w:val="00FF434D"/>
    <w:rsid w:val="00FF44D1"/>
    <w:rsid w:val="00FF4924"/>
    <w:rsid w:val="00FF4B41"/>
    <w:rsid w:val="00FF5274"/>
    <w:rsid w:val="00FF5BBA"/>
    <w:rsid w:val="00FF6475"/>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B385"/>
  <w15:docId w15:val="{E9A99F8F-CF03-4201-B356-8C24F67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10D"/>
    <w:pPr>
      <w:spacing w:after="24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qFormat/>
    <w:rsid w:val="003C31CE"/>
    <w:pPr>
      <w:keepNext/>
      <w:numPr>
        <w:ilvl w:val="1"/>
        <w:numId w:val="10"/>
      </w:numPr>
      <w:spacing w:before="240"/>
      <w:outlineLvl w:val="0"/>
    </w:pPr>
    <w:rPr>
      <w:rFonts w:eastAsiaTheme="minorEastAsia"/>
      <w:b/>
      <w:szCs w:val="24"/>
    </w:rPr>
  </w:style>
  <w:style w:type="paragraph" w:customStyle="1" w:styleId="L2">
    <w:name w:val="L2"/>
    <w:basedOn w:val="Normal"/>
    <w:qFormat/>
    <w:rsid w:val="00DB46BF"/>
    <w:pPr>
      <w:keepNext/>
      <w:numPr>
        <w:ilvl w:val="2"/>
        <w:numId w:val="10"/>
      </w:numPr>
      <w:spacing w:before="240"/>
      <w:outlineLvl w:val="1"/>
    </w:pPr>
    <w:rPr>
      <w:rFonts w:eastAsiaTheme="minorEastAsia"/>
      <w:b/>
      <w:szCs w:val="24"/>
    </w:rPr>
  </w:style>
  <w:style w:type="paragraph" w:customStyle="1" w:styleId="L3">
    <w:name w:val="L3"/>
    <w:basedOn w:val="Normal"/>
    <w:qFormat/>
    <w:rsid w:val="004A1196"/>
    <w:pPr>
      <w:numPr>
        <w:ilvl w:val="3"/>
        <w:numId w:val="10"/>
      </w:numPr>
      <w:spacing w:before="120" w:after="120"/>
      <w:outlineLvl w:val="2"/>
    </w:pPr>
    <w:rPr>
      <w:rFonts w:eastAsiaTheme="minorEastAsia"/>
      <w:szCs w:val="24"/>
    </w:rPr>
  </w:style>
  <w:style w:type="paragraph" w:customStyle="1" w:styleId="L4">
    <w:name w:val="L4"/>
    <w:basedOn w:val="Normal"/>
    <w:qFormat/>
    <w:rsid w:val="004A1196"/>
    <w:pPr>
      <w:numPr>
        <w:ilvl w:val="4"/>
        <w:numId w:val="10"/>
      </w:numPr>
      <w:spacing w:before="140" w:after="140"/>
      <w:outlineLvl w:val="3"/>
    </w:pPr>
    <w:rPr>
      <w:rFonts w:eastAsiaTheme="minorEastAsia"/>
      <w:szCs w:val="24"/>
    </w:rPr>
  </w:style>
  <w:style w:type="paragraph" w:customStyle="1" w:styleId="L5">
    <w:name w:val="L5"/>
    <w:basedOn w:val="Normal"/>
    <w:qFormat/>
    <w:rsid w:val="004A1196"/>
    <w:pPr>
      <w:numPr>
        <w:ilvl w:val="5"/>
        <w:numId w:val="10"/>
      </w:numPr>
      <w:spacing w:before="140" w:after="140"/>
      <w:outlineLvl w:val="4"/>
    </w:pPr>
    <w:rPr>
      <w:rFonts w:ascii="Calibri" w:eastAsiaTheme="minorEastAsia" w:hAnsi="Calibri"/>
      <w:szCs w:val="24"/>
    </w:rPr>
  </w:style>
  <w:style w:type="paragraph" w:customStyle="1" w:styleId="L6">
    <w:name w:val="L6"/>
    <w:basedOn w:val="Normal"/>
    <w:qFormat/>
    <w:rsid w:val="004A1196"/>
    <w:pPr>
      <w:numPr>
        <w:ilvl w:val="6"/>
        <w:numId w:val="10"/>
      </w:numPr>
      <w:spacing w:before="140" w:after="140"/>
      <w:outlineLvl w:val="5"/>
    </w:pPr>
    <w:rPr>
      <w:rFonts w:ascii="Book Antiqua" w:eastAsiaTheme="minorEastAsia" w:hAnsi="Book Antiqua"/>
      <w:sz w:val="26"/>
      <w:szCs w:val="24"/>
    </w:rPr>
  </w:style>
  <w:style w:type="paragraph" w:customStyle="1" w:styleId="L7">
    <w:name w:val="L7"/>
    <w:basedOn w:val="Normal"/>
    <w:qFormat/>
    <w:rsid w:val="004A1196"/>
    <w:pPr>
      <w:numPr>
        <w:ilvl w:val="7"/>
        <w:numId w:val="10"/>
      </w:numPr>
      <w:spacing w:before="140" w:after="140"/>
      <w:outlineLvl w:val="6"/>
    </w:pPr>
    <w:rPr>
      <w:rFonts w:ascii="Book Antiqua" w:eastAsiaTheme="minorEastAsia" w:hAnsi="Book Antiqua"/>
      <w:sz w:val="26"/>
      <w:szCs w:val="24"/>
    </w:rPr>
  </w:style>
  <w:style w:type="paragraph" w:customStyle="1" w:styleId="L8">
    <w:name w:val="L8"/>
    <w:basedOn w:val="Normal"/>
    <w:qFormat/>
    <w:rsid w:val="004A1196"/>
    <w:pPr>
      <w:numPr>
        <w:ilvl w:val="8"/>
        <w:numId w:val="10"/>
      </w:numPr>
      <w:spacing w:before="140" w:after="140"/>
      <w:outlineLvl w:val="7"/>
    </w:pPr>
    <w:rPr>
      <w:rFonts w:ascii="Book Antiqua" w:eastAsiaTheme="minorEastAsia" w:hAnsi="Book Antiqua"/>
      <w:sz w:val="28"/>
      <w:szCs w:val="24"/>
    </w:rPr>
  </w:style>
  <w:style w:type="numbering" w:customStyle="1" w:styleId="StyleforNotes">
    <w:name w:val="StyleforNotes"/>
    <w:uiPriority w:val="99"/>
    <w:rsid w:val="004A1196"/>
    <w:pPr>
      <w:numPr>
        <w:numId w:val="1"/>
      </w:numPr>
    </w:pPr>
  </w:style>
  <w:style w:type="numbering" w:customStyle="1" w:styleId="SBookAntiqua12">
    <w:name w:val="S_BookAntiqua_12"/>
    <w:uiPriority w:val="99"/>
    <w:rsid w:val="004A1196"/>
    <w:pPr>
      <w:numPr>
        <w:numId w:val="11"/>
      </w:numPr>
    </w:pPr>
  </w:style>
  <w:style w:type="paragraph" w:customStyle="1" w:styleId="s1ba12">
    <w:name w:val="s1_ba12"/>
    <w:basedOn w:val="Normal"/>
    <w:rsid w:val="004A1196"/>
    <w:pPr>
      <w:numPr>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2ba12">
    <w:name w:val="s2_ba12"/>
    <w:basedOn w:val="Normal"/>
    <w:next w:val="s1ba12"/>
    <w:rsid w:val="004A1196"/>
    <w:pPr>
      <w:numPr>
        <w:ilvl w:val="1"/>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3ba12">
    <w:name w:val="s3_ba12"/>
    <w:basedOn w:val="Normal"/>
    <w:next w:val="s2ba12"/>
    <w:rsid w:val="004A1196"/>
    <w:pPr>
      <w:numPr>
        <w:ilvl w:val="2"/>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paragraph" w:customStyle="1" w:styleId="s4ba12">
    <w:name w:val="s4_ba12"/>
    <w:basedOn w:val="Normal"/>
    <w:next w:val="s3ba12"/>
    <w:rsid w:val="004A1196"/>
    <w:pPr>
      <w:numPr>
        <w:ilvl w:val="3"/>
        <w:numId w:val="15"/>
      </w:numPr>
      <w:tabs>
        <w:tab w:val="left" w:pos="360"/>
        <w:tab w:val="left" w:pos="720"/>
        <w:tab w:val="left" w:pos="1080"/>
        <w:tab w:val="left" w:pos="1440"/>
        <w:tab w:val="left" w:pos="1800"/>
        <w:tab w:val="left" w:pos="2160"/>
        <w:tab w:val="left" w:pos="2520"/>
      </w:tabs>
      <w:spacing w:before="120" w:after="0"/>
    </w:pPr>
    <w:rPr>
      <w:rFonts w:ascii="Book Antiqua" w:hAnsi="Book Antiqua"/>
    </w:rPr>
  </w:style>
  <w:style w:type="numbering" w:customStyle="1" w:styleId="SCalibri11">
    <w:name w:val="S_Calibri_11"/>
    <w:uiPriority w:val="99"/>
    <w:rsid w:val="003A19FE"/>
  </w:style>
  <w:style w:type="paragraph" w:styleId="EndnoteText">
    <w:name w:val="endnote text"/>
    <w:basedOn w:val="Normal"/>
    <w:link w:val="EndnoteTextChar"/>
    <w:uiPriority w:val="99"/>
    <w:semiHidden/>
    <w:unhideWhenUsed/>
    <w:rsid w:val="00ED710D"/>
    <w:rPr>
      <w:sz w:val="20"/>
      <w:szCs w:val="20"/>
    </w:rPr>
  </w:style>
  <w:style w:type="character" w:customStyle="1" w:styleId="EndnoteTextChar">
    <w:name w:val="Endnote Text Char"/>
    <w:basedOn w:val="DefaultParagraphFont"/>
    <w:link w:val="EndnoteText"/>
    <w:uiPriority w:val="99"/>
    <w:semiHidden/>
    <w:rsid w:val="00ED710D"/>
    <w:rPr>
      <w:rFonts w:ascii="Calibri" w:eastAsia="Calibri" w:hAnsi="Calibri" w:cs="Times New Roman"/>
      <w:sz w:val="20"/>
      <w:szCs w:val="20"/>
    </w:rPr>
  </w:style>
  <w:style w:type="character" w:styleId="EndnoteReference">
    <w:name w:val="endnote reference"/>
    <w:uiPriority w:val="99"/>
    <w:semiHidden/>
    <w:unhideWhenUsed/>
    <w:rsid w:val="00ED710D"/>
    <w:rPr>
      <w:vertAlign w:val="superscript"/>
    </w:rPr>
  </w:style>
  <w:style w:type="character" w:styleId="Hyperlink">
    <w:name w:val="Hyperlink"/>
    <w:uiPriority w:val="99"/>
    <w:unhideWhenUsed/>
    <w:rsid w:val="00ED710D"/>
    <w:rPr>
      <w:color w:val="0000FF"/>
      <w:u w:val="single"/>
    </w:rPr>
  </w:style>
  <w:style w:type="paragraph" w:styleId="FootnoteText">
    <w:name w:val="footnote text"/>
    <w:basedOn w:val="Normal"/>
    <w:link w:val="FootnoteTextChar"/>
    <w:uiPriority w:val="99"/>
    <w:unhideWhenUsed/>
    <w:rsid w:val="00ED710D"/>
    <w:pPr>
      <w:spacing w:after="0"/>
    </w:pPr>
    <w:rPr>
      <w:sz w:val="20"/>
      <w:szCs w:val="20"/>
    </w:rPr>
  </w:style>
  <w:style w:type="character" w:customStyle="1" w:styleId="FootnoteTextChar">
    <w:name w:val="Footnote Text Char"/>
    <w:basedOn w:val="DefaultParagraphFont"/>
    <w:link w:val="FootnoteText"/>
    <w:uiPriority w:val="99"/>
    <w:rsid w:val="00ED710D"/>
    <w:rPr>
      <w:rFonts w:ascii="Times New Roman" w:eastAsia="Calibri" w:hAnsi="Times New Roman" w:cs="Times New Roman"/>
      <w:sz w:val="20"/>
      <w:szCs w:val="20"/>
    </w:rPr>
  </w:style>
  <w:style w:type="character" w:styleId="FootnoteReference">
    <w:name w:val="footnote reference"/>
    <w:uiPriority w:val="99"/>
    <w:semiHidden/>
    <w:unhideWhenUsed/>
    <w:rsid w:val="00ED710D"/>
    <w:rPr>
      <w:vertAlign w:val="superscript"/>
    </w:rPr>
  </w:style>
  <w:style w:type="character" w:styleId="FollowedHyperlink">
    <w:name w:val="FollowedHyperlink"/>
    <w:uiPriority w:val="99"/>
    <w:semiHidden/>
    <w:unhideWhenUsed/>
    <w:rsid w:val="00ED710D"/>
    <w:rPr>
      <w:color w:val="800080"/>
      <w:u w:val="single"/>
    </w:rPr>
  </w:style>
  <w:style w:type="paragraph" w:styleId="BalloonText">
    <w:name w:val="Balloon Text"/>
    <w:basedOn w:val="Normal"/>
    <w:link w:val="BalloonTextChar"/>
    <w:uiPriority w:val="99"/>
    <w:semiHidden/>
    <w:unhideWhenUsed/>
    <w:rsid w:val="00ED71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10D"/>
    <w:rPr>
      <w:rFonts w:ascii="Tahoma" w:eastAsia="Calibri" w:hAnsi="Tahoma" w:cs="Tahoma"/>
      <w:sz w:val="16"/>
      <w:szCs w:val="16"/>
    </w:rPr>
  </w:style>
  <w:style w:type="paragraph" w:styleId="Header">
    <w:name w:val="header"/>
    <w:basedOn w:val="Normal"/>
    <w:link w:val="HeaderChar"/>
    <w:uiPriority w:val="99"/>
    <w:unhideWhenUsed/>
    <w:rsid w:val="00ED710D"/>
    <w:pPr>
      <w:tabs>
        <w:tab w:val="center" w:pos="4680"/>
        <w:tab w:val="right" w:pos="9360"/>
      </w:tabs>
      <w:spacing w:after="0"/>
    </w:pPr>
  </w:style>
  <w:style w:type="character" w:customStyle="1" w:styleId="HeaderChar">
    <w:name w:val="Header Char"/>
    <w:basedOn w:val="DefaultParagraphFont"/>
    <w:link w:val="Header"/>
    <w:uiPriority w:val="99"/>
    <w:rsid w:val="00ED710D"/>
    <w:rPr>
      <w:rFonts w:ascii="Calibri" w:eastAsia="Calibri" w:hAnsi="Calibri" w:cs="Times New Roman"/>
    </w:rPr>
  </w:style>
  <w:style w:type="paragraph" w:styleId="Footer">
    <w:name w:val="footer"/>
    <w:basedOn w:val="Normal"/>
    <w:link w:val="FooterChar"/>
    <w:uiPriority w:val="99"/>
    <w:unhideWhenUsed/>
    <w:rsid w:val="00ED710D"/>
    <w:pPr>
      <w:tabs>
        <w:tab w:val="center" w:pos="4680"/>
        <w:tab w:val="right" w:pos="9360"/>
      </w:tabs>
      <w:spacing w:after="0"/>
    </w:pPr>
  </w:style>
  <w:style w:type="character" w:customStyle="1" w:styleId="FooterChar">
    <w:name w:val="Footer Char"/>
    <w:basedOn w:val="DefaultParagraphFont"/>
    <w:link w:val="Footer"/>
    <w:uiPriority w:val="99"/>
    <w:rsid w:val="00ED710D"/>
    <w:rPr>
      <w:rFonts w:ascii="Calibri" w:eastAsia="Calibri" w:hAnsi="Calibri" w:cs="Times New Roman"/>
    </w:rPr>
  </w:style>
  <w:style w:type="character" w:styleId="CommentReference">
    <w:name w:val="annotation reference"/>
    <w:basedOn w:val="DefaultParagraphFont"/>
    <w:uiPriority w:val="99"/>
    <w:semiHidden/>
    <w:unhideWhenUsed/>
    <w:rsid w:val="00ED710D"/>
    <w:rPr>
      <w:sz w:val="16"/>
      <w:szCs w:val="16"/>
    </w:rPr>
  </w:style>
  <w:style w:type="paragraph" w:styleId="CommentText">
    <w:name w:val="annotation text"/>
    <w:basedOn w:val="Normal"/>
    <w:link w:val="CommentTextChar"/>
    <w:uiPriority w:val="99"/>
    <w:unhideWhenUsed/>
    <w:rsid w:val="00ED710D"/>
    <w:rPr>
      <w:sz w:val="20"/>
      <w:szCs w:val="20"/>
    </w:rPr>
  </w:style>
  <w:style w:type="character" w:customStyle="1" w:styleId="CommentTextChar">
    <w:name w:val="Comment Text Char"/>
    <w:basedOn w:val="DefaultParagraphFont"/>
    <w:link w:val="CommentText"/>
    <w:uiPriority w:val="99"/>
    <w:rsid w:val="00ED710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D710D"/>
    <w:rPr>
      <w:b/>
      <w:bCs/>
    </w:rPr>
  </w:style>
  <w:style w:type="character" w:customStyle="1" w:styleId="CommentSubjectChar">
    <w:name w:val="Comment Subject Char"/>
    <w:basedOn w:val="CommentTextChar"/>
    <w:link w:val="CommentSubject"/>
    <w:uiPriority w:val="99"/>
    <w:semiHidden/>
    <w:rsid w:val="00ED710D"/>
    <w:rPr>
      <w:rFonts w:ascii="Calibri" w:eastAsia="Calibri" w:hAnsi="Calibri" w:cs="Times New Roman"/>
      <w:b/>
      <w:bCs/>
      <w:sz w:val="20"/>
      <w:szCs w:val="20"/>
    </w:rPr>
  </w:style>
  <w:style w:type="paragraph" w:styleId="ListParagraph">
    <w:name w:val="List Paragraph"/>
    <w:basedOn w:val="Normal"/>
    <w:uiPriority w:val="34"/>
    <w:qFormat/>
    <w:rsid w:val="00ED710D"/>
    <w:pPr>
      <w:ind w:left="720"/>
      <w:contextualSpacing/>
    </w:pPr>
  </w:style>
  <w:style w:type="paragraph" w:styleId="NoSpacing">
    <w:name w:val="No Spacing"/>
    <w:uiPriority w:val="1"/>
    <w:qFormat/>
    <w:rsid w:val="00ED710D"/>
    <w:pPr>
      <w:spacing w:after="0" w:line="240" w:lineRule="auto"/>
    </w:pPr>
  </w:style>
  <w:style w:type="paragraph" w:styleId="Revision">
    <w:name w:val="Revision"/>
    <w:hidden/>
    <w:uiPriority w:val="99"/>
    <w:semiHidden/>
    <w:rsid w:val="00ED710D"/>
    <w:pPr>
      <w:spacing w:after="0" w:line="240" w:lineRule="auto"/>
    </w:pPr>
    <w:rPr>
      <w:rFonts w:ascii="Calibri" w:eastAsia="Calibri" w:hAnsi="Calibri" w:cs="Times New Roman"/>
    </w:rPr>
  </w:style>
  <w:style w:type="table" w:styleId="TableGrid">
    <w:name w:val="Table Grid"/>
    <w:basedOn w:val="TableNormal"/>
    <w:uiPriority w:val="59"/>
    <w:rsid w:val="008D6126"/>
    <w:pPr>
      <w:spacing w:after="0" w:line="240" w:lineRule="auto"/>
      <w:jc w:val="center"/>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pPr>
        <w:wordWrap/>
        <w:spacing w:line="240" w:lineRule="auto"/>
        <w:jc w:val="center"/>
      </w:pPr>
      <w:rPr>
        <w:rFonts w:ascii="Calibri" w:hAnsi="Calibri"/>
        <w:b/>
        <w:color w:val="FFFFFF" w:themeColor="background1"/>
        <w:sz w:val="20"/>
      </w:rPr>
      <w:tblPr/>
      <w:tcPr>
        <w:shd w:val="clear" w:color="auto" w:fill="4F81BD"/>
      </w:tcPr>
    </w:tblStylePr>
  </w:style>
  <w:style w:type="character" w:styleId="Strong">
    <w:name w:val="Strong"/>
    <w:basedOn w:val="DefaultParagraphFont"/>
    <w:uiPriority w:val="22"/>
    <w:qFormat/>
    <w:rsid w:val="00ED710D"/>
    <w:rPr>
      <w:b/>
      <w:bCs/>
    </w:rPr>
  </w:style>
  <w:style w:type="paragraph" w:styleId="NormalWeb">
    <w:name w:val="Normal (Web)"/>
    <w:basedOn w:val="Normal"/>
    <w:uiPriority w:val="99"/>
    <w:semiHidden/>
    <w:unhideWhenUsed/>
    <w:rsid w:val="00ED710D"/>
    <w:pPr>
      <w:spacing w:before="100" w:beforeAutospacing="1" w:after="100" w:afterAutospacing="1"/>
    </w:pPr>
    <w:rPr>
      <w:rFonts w:eastAsiaTheme="minorHAnsi"/>
      <w:szCs w:val="24"/>
    </w:rPr>
  </w:style>
  <w:style w:type="paragraph" w:customStyle="1" w:styleId="Bullet1">
    <w:name w:val="Bullet1"/>
    <w:basedOn w:val="Normal"/>
    <w:qFormat/>
    <w:rsid w:val="00ED710D"/>
    <w:pPr>
      <w:numPr>
        <w:numId w:val="33"/>
      </w:numPr>
    </w:pPr>
    <w:rPr>
      <w:rFonts w:asciiTheme="majorBidi" w:hAnsiTheme="majorBidi" w:cstheme="majorBidi"/>
      <w:bCs/>
      <w:szCs w:val="24"/>
    </w:rPr>
  </w:style>
  <w:style w:type="paragraph" w:customStyle="1" w:styleId="Bullet2">
    <w:name w:val="Bullet2"/>
    <w:basedOn w:val="Normal"/>
    <w:qFormat/>
    <w:rsid w:val="00ED710D"/>
    <w:pPr>
      <w:numPr>
        <w:ilvl w:val="1"/>
        <w:numId w:val="33"/>
      </w:numPr>
    </w:pPr>
    <w:rPr>
      <w:rFonts w:asciiTheme="majorBidi" w:hAnsiTheme="majorBidi" w:cstheme="majorBidi"/>
      <w:bCs/>
      <w:szCs w:val="24"/>
    </w:rPr>
  </w:style>
  <w:style w:type="paragraph" w:styleId="TOC1">
    <w:name w:val="toc 1"/>
    <w:basedOn w:val="Normal"/>
    <w:next w:val="Normal"/>
    <w:uiPriority w:val="39"/>
    <w:unhideWhenUsed/>
    <w:rsid w:val="00BD175B"/>
    <w:pPr>
      <w:tabs>
        <w:tab w:val="right" w:leader="dot" w:pos="9350"/>
      </w:tabs>
      <w:spacing w:after="100"/>
      <w:ind w:left="547" w:right="288" w:hanging="547"/>
    </w:pPr>
  </w:style>
  <w:style w:type="paragraph" w:styleId="TOC2">
    <w:name w:val="toc 2"/>
    <w:basedOn w:val="Normal"/>
    <w:next w:val="Normal"/>
    <w:autoRedefine/>
    <w:uiPriority w:val="39"/>
    <w:unhideWhenUsed/>
    <w:rsid w:val="000C7BCF"/>
    <w:pPr>
      <w:tabs>
        <w:tab w:val="left" w:pos="907"/>
        <w:tab w:val="right" w:leader="dot" w:pos="9350"/>
      </w:tabs>
      <w:spacing w:after="100"/>
      <w:ind w:left="907" w:right="288" w:hanging="547"/>
    </w:pPr>
  </w:style>
  <w:style w:type="paragraph" w:customStyle="1" w:styleId="Asterisks">
    <w:name w:val="Asterisks"/>
    <w:basedOn w:val="Normal"/>
    <w:qFormat/>
    <w:rsid w:val="00A04011"/>
    <w:pPr>
      <w:spacing w:before="60"/>
      <w:ind w:left="144" w:hanging="144"/>
      <w:contextualSpacing/>
    </w:pPr>
    <w:rPr>
      <w:rFonts w:ascii="Calibri" w:hAnsi="Calibri" w:cstheme="majorBidi"/>
      <w:sz w:val="18"/>
      <w:szCs w:val="20"/>
    </w:rPr>
  </w:style>
  <w:style w:type="paragraph" w:customStyle="1" w:styleId="TableFigure">
    <w:name w:val="TableFigure"/>
    <w:basedOn w:val="Normal"/>
    <w:qFormat/>
    <w:rsid w:val="00F856F0"/>
    <w:pPr>
      <w:keepNext/>
      <w:spacing w:before="360" w:after="120"/>
      <w:jc w:val="center"/>
    </w:pPr>
    <w:rPr>
      <w:rFonts w:ascii="Calibri" w:hAnsi="Calibri" w:cstheme="majorBidi"/>
      <w:b/>
      <w:bCs/>
      <w:sz w:val="22"/>
      <w:szCs w:val="24"/>
    </w:rPr>
  </w:style>
  <w:style w:type="paragraph" w:customStyle="1" w:styleId="Chart">
    <w:name w:val="Chart"/>
    <w:basedOn w:val="Normal"/>
    <w:qFormat/>
    <w:rsid w:val="00E94402"/>
    <w:pPr>
      <w:spacing w:after="0"/>
    </w:pPr>
    <w:rPr>
      <w:rFonts w:asciiTheme="majorBidi" w:hAnsiTheme="majorBidi" w:cstheme="majorBidi"/>
      <w:szCs w:val="24"/>
    </w:rPr>
  </w:style>
  <w:style w:type="paragraph" w:customStyle="1" w:styleId="TableText">
    <w:name w:val="TableText"/>
    <w:basedOn w:val="TableFigure"/>
    <w:qFormat/>
    <w:rsid w:val="00ED365A"/>
    <w:pPr>
      <w:spacing w:after="0"/>
    </w:pPr>
    <w:rPr>
      <w:b w:val="0"/>
    </w:rPr>
  </w:style>
  <w:style w:type="paragraph" w:customStyle="1" w:styleId="TableLeft">
    <w:name w:val="TableLeft"/>
    <w:basedOn w:val="TableText"/>
    <w:qFormat/>
    <w:rsid w:val="007F4E0A"/>
    <w:pPr>
      <w:spacing w:before="60" w:after="60"/>
      <w:jc w:val="left"/>
    </w:pPr>
  </w:style>
  <w:style w:type="paragraph" w:customStyle="1" w:styleId="TableHeading">
    <w:name w:val="TableHeading"/>
    <w:basedOn w:val="Normal"/>
    <w:qFormat/>
    <w:rsid w:val="00F21286"/>
    <w:pPr>
      <w:keepNext/>
      <w:shd w:val="clear" w:color="auto" w:fill="4F81BD"/>
      <w:spacing w:before="60" w:after="60"/>
      <w:jc w:val="center"/>
    </w:pPr>
    <w:rPr>
      <w:rFonts w:asciiTheme="minorHAnsi" w:hAnsiTheme="minorHAnsi" w:cstheme="minorHAnsi"/>
      <w:b/>
      <w:bCs/>
      <w:color w:val="FFFFFF" w:themeColor="background1"/>
      <w:sz w:val="22"/>
      <w:szCs w:val="24"/>
    </w:rPr>
  </w:style>
  <w:style w:type="paragraph" w:customStyle="1" w:styleId="TableLeftBold">
    <w:name w:val="TableLeftBold"/>
    <w:basedOn w:val="TableLeft"/>
    <w:qFormat/>
    <w:rsid w:val="004A3F9C"/>
    <w:rPr>
      <w:b/>
    </w:rPr>
  </w:style>
  <w:style w:type="paragraph" w:customStyle="1" w:styleId="TableCenter">
    <w:name w:val="TableCenter"/>
    <w:basedOn w:val="TableText"/>
    <w:qFormat/>
    <w:rsid w:val="00495E1F"/>
    <w:pPr>
      <w:spacing w:before="60" w:after="60"/>
    </w:pPr>
  </w:style>
  <w:style w:type="table" w:styleId="LightShading-Accent5">
    <w:name w:val="Light Shading Accent 5"/>
    <w:aliases w:val="TableGrid2"/>
    <w:basedOn w:val="TableNormal"/>
    <w:uiPriority w:val="60"/>
    <w:rsid w:val="009653C6"/>
    <w:pPr>
      <w:spacing w:after="0" w:line="240" w:lineRule="auto"/>
      <w:jc w:val="center"/>
    </w:pPr>
    <w:rPr>
      <w:color w:val="2F5496" w:themeColor="accent5" w:themeShade="BF"/>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vAlign w:val="center"/>
    </w:tcPr>
    <w:tblStylePr w:type="firstRow">
      <w:pPr>
        <w:spacing w:before="0" w:after="0" w:line="240" w:lineRule="auto"/>
        <w:jc w:val="center"/>
      </w:pPr>
      <w:rPr>
        <w:b w:val="0"/>
        <w:bCs/>
        <w:color w:val="FFFFFF" w:themeColor="background1"/>
      </w:rPr>
      <w:tblPr/>
      <w:tcPr>
        <w:shd w:val="clear" w:color="auto" w:fill="4F81BD"/>
        <w:vAlign w:val="bottom"/>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D0DBF0" w:themeFill="accent5" w:themeFillTint="3F"/>
      </w:tcPr>
    </w:tblStylePr>
    <w:tblStylePr w:type="band1Horz">
      <w:rPr>
        <w:color w:val="auto"/>
      </w:rPr>
      <w:tblPr/>
      <w:tcPr>
        <w:shd w:val="clear" w:color="auto" w:fill="B8CCE4"/>
      </w:tcPr>
    </w:tblStylePr>
    <w:tblStylePr w:type="band2Horz">
      <w:rPr>
        <w:color w:val="auto"/>
      </w:rPr>
      <w:tblPr/>
      <w:tcPr>
        <w:shd w:val="clear" w:color="auto" w:fill="DCE6F1"/>
      </w:tcPr>
    </w:tblStylePr>
    <w:tblStylePr w:type="swCell">
      <w:rPr>
        <w:b w:val="0"/>
        <w:color w:val="000000" w:themeColor="text1"/>
      </w:rPr>
    </w:tblStylePr>
  </w:style>
  <w:style w:type="paragraph" w:styleId="Caption">
    <w:name w:val="caption"/>
    <w:basedOn w:val="Normal"/>
    <w:next w:val="Normal"/>
    <w:uiPriority w:val="35"/>
    <w:unhideWhenUsed/>
    <w:qFormat/>
    <w:rsid w:val="00A04011"/>
    <w:pPr>
      <w:keepNext/>
      <w:spacing w:after="60"/>
      <w:contextualSpacing/>
      <w:jc w:val="center"/>
    </w:pPr>
    <w:rPr>
      <w:rFonts w:asciiTheme="minorHAnsi" w:hAnsiTheme="minorHAnsi"/>
      <w:b/>
      <w:bCs/>
      <w:color w:val="000000" w:themeColor="text1"/>
      <w:sz w:val="22"/>
      <w:szCs w:val="18"/>
    </w:rPr>
  </w:style>
  <w:style w:type="paragraph" w:customStyle="1" w:styleId="Asterisks1">
    <w:name w:val="Asterisks1"/>
    <w:basedOn w:val="Asterisks"/>
    <w:qFormat/>
    <w:rsid w:val="00455568"/>
    <w:pPr>
      <w:ind w:left="900" w:right="810" w:firstLine="0"/>
    </w:pPr>
  </w:style>
  <w:style w:type="paragraph" w:customStyle="1" w:styleId="TableGridRainbow">
    <w:name w:val="TableGridRainbow"/>
    <w:basedOn w:val="Normal"/>
    <w:qFormat/>
    <w:rsid w:val="006D5718"/>
    <w:pPr>
      <w:spacing w:after="0"/>
      <w:jc w:val="center"/>
    </w:pPr>
    <w:rPr>
      <w:rFonts w:ascii="Calibri" w:eastAsia="Times New Roman" w:hAnsi="Calibri" w:cs="Calibri"/>
      <w:b/>
      <w:color w:val="000000"/>
      <w:sz w:val="20"/>
      <w:szCs w:val="20"/>
    </w:rPr>
  </w:style>
  <w:style w:type="paragraph" w:customStyle="1" w:styleId="TableBullet">
    <w:name w:val="TableBullet"/>
    <w:basedOn w:val="TableLeft"/>
    <w:qFormat/>
    <w:rsid w:val="00E16990"/>
    <w:pPr>
      <w:numPr>
        <w:numId w:val="43"/>
      </w:numPr>
      <w:ind w:left="301" w:hanging="211"/>
    </w:pPr>
  </w:style>
  <w:style w:type="paragraph" w:customStyle="1" w:styleId="Blockquote">
    <w:name w:val="Blockquote"/>
    <w:basedOn w:val="Normal"/>
    <w:qFormat/>
    <w:rsid w:val="00536111"/>
    <w:pPr>
      <w:ind w:left="720" w:right="720"/>
    </w:pPr>
  </w:style>
  <w:style w:type="character" w:customStyle="1" w:styleId="sectionlabel">
    <w:name w:val="sectionlabel"/>
    <w:basedOn w:val="DefaultParagraphFont"/>
    <w:rsid w:val="003E53E0"/>
  </w:style>
  <w:style w:type="paragraph" w:customStyle="1" w:styleId="subsection">
    <w:name w:val="subsection"/>
    <w:basedOn w:val="Normal"/>
    <w:rsid w:val="003E53E0"/>
    <w:pPr>
      <w:spacing w:before="100" w:beforeAutospacing="1" w:after="100" w:afterAutospacing="1"/>
    </w:pPr>
    <w:rPr>
      <w:rFonts w:eastAsia="Times New Roman"/>
      <w:szCs w:val="24"/>
    </w:rPr>
  </w:style>
  <w:style w:type="character" w:customStyle="1" w:styleId="lawlabel">
    <w:name w:val="lawlabel"/>
    <w:basedOn w:val="DefaultParagraphFont"/>
    <w:rsid w:val="003E53E0"/>
  </w:style>
  <w:style w:type="paragraph" w:customStyle="1" w:styleId="paragraph">
    <w:name w:val="paragraph"/>
    <w:basedOn w:val="Normal"/>
    <w:rsid w:val="003E53E0"/>
    <w:pPr>
      <w:spacing w:before="100" w:beforeAutospacing="1" w:after="100" w:afterAutospacing="1"/>
    </w:pPr>
    <w:rPr>
      <w:rFonts w:eastAsia="Times New Roman"/>
      <w:szCs w:val="24"/>
    </w:rPr>
  </w:style>
  <w:style w:type="paragraph" w:customStyle="1" w:styleId="subparagraph">
    <w:name w:val="subparagraph"/>
    <w:basedOn w:val="Normal"/>
    <w:rsid w:val="003E53E0"/>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9573">
      <w:bodyDiv w:val="1"/>
      <w:marLeft w:val="0"/>
      <w:marRight w:val="0"/>
      <w:marTop w:val="0"/>
      <w:marBottom w:val="0"/>
      <w:divBdr>
        <w:top w:val="none" w:sz="0" w:space="0" w:color="auto"/>
        <w:left w:val="none" w:sz="0" w:space="0" w:color="auto"/>
        <w:bottom w:val="none" w:sz="0" w:space="0" w:color="auto"/>
        <w:right w:val="none" w:sz="0" w:space="0" w:color="auto"/>
      </w:divBdr>
    </w:div>
    <w:div w:id="377126637">
      <w:bodyDiv w:val="1"/>
      <w:marLeft w:val="0"/>
      <w:marRight w:val="0"/>
      <w:marTop w:val="0"/>
      <w:marBottom w:val="0"/>
      <w:divBdr>
        <w:top w:val="none" w:sz="0" w:space="0" w:color="auto"/>
        <w:left w:val="none" w:sz="0" w:space="0" w:color="auto"/>
        <w:bottom w:val="none" w:sz="0" w:space="0" w:color="auto"/>
        <w:right w:val="none" w:sz="0" w:space="0" w:color="auto"/>
      </w:divBdr>
    </w:div>
    <w:div w:id="548229845">
      <w:bodyDiv w:val="1"/>
      <w:marLeft w:val="0"/>
      <w:marRight w:val="0"/>
      <w:marTop w:val="0"/>
      <w:marBottom w:val="0"/>
      <w:divBdr>
        <w:top w:val="none" w:sz="0" w:space="0" w:color="auto"/>
        <w:left w:val="none" w:sz="0" w:space="0" w:color="auto"/>
        <w:bottom w:val="none" w:sz="0" w:space="0" w:color="auto"/>
        <w:right w:val="none" w:sz="0" w:space="0" w:color="auto"/>
      </w:divBdr>
    </w:div>
    <w:div w:id="586766155">
      <w:bodyDiv w:val="1"/>
      <w:marLeft w:val="0"/>
      <w:marRight w:val="0"/>
      <w:marTop w:val="0"/>
      <w:marBottom w:val="0"/>
      <w:divBdr>
        <w:top w:val="none" w:sz="0" w:space="0" w:color="auto"/>
        <w:left w:val="none" w:sz="0" w:space="0" w:color="auto"/>
        <w:bottom w:val="none" w:sz="0" w:space="0" w:color="auto"/>
        <w:right w:val="none" w:sz="0" w:space="0" w:color="auto"/>
      </w:divBdr>
    </w:div>
    <w:div w:id="603340487">
      <w:bodyDiv w:val="1"/>
      <w:marLeft w:val="0"/>
      <w:marRight w:val="0"/>
      <w:marTop w:val="0"/>
      <w:marBottom w:val="0"/>
      <w:divBdr>
        <w:top w:val="none" w:sz="0" w:space="0" w:color="auto"/>
        <w:left w:val="none" w:sz="0" w:space="0" w:color="auto"/>
        <w:bottom w:val="none" w:sz="0" w:space="0" w:color="auto"/>
        <w:right w:val="none" w:sz="0" w:space="0" w:color="auto"/>
      </w:divBdr>
    </w:div>
    <w:div w:id="725639363">
      <w:bodyDiv w:val="1"/>
      <w:marLeft w:val="0"/>
      <w:marRight w:val="0"/>
      <w:marTop w:val="0"/>
      <w:marBottom w:val="0"/>
      <w:divBdr>
        <w:top w:val="none" w:sz="0" w:space="0" w:color="auto"/>
        <w:left w:val="none" w:sz="0" w:space="0" w:color="auto"/>
        <w:bottom w:val="none" w:sz="0" w:space="0" w:color="auto"/>
        <w:right w:val="none" w:sz="0" w:space="0" w:color="auto"/>
      </w:divBdr>
    </w:div>
    <w:div w:id="835419515">
      <w:bodyDiv w:val="1"/>
      <w:marLeft w:val="0"/>
      <w:marRight w:val="0"/>
      <w:marTop w:val="0"/>
      <w:marBottom w:val="0"/>
      <w:divBdr>
        <w:top w:val="none" w:sz="0" w:space="0" w:color="auto"/>
        <w:left w:val="none" w:sz="0" w:space="0" w:color="auto"/>
        <w:bottom w:val="none" w:sz="0" w:space="0" w:color="auto"/>
        <w:right w:val="none" w:sz="0" w:space="0" w:color="auto"/>
      </w:divBdr>
    </w:div>
    <w:div w:id="931283145">
      <w:bodyDiv w:val="1"/>
      <w:marLeft w:val="0"/>
      <w:marRight w:val="0"/>
      <w:marTop w:val="0"/>
      <w:marBottom w:val="0"/>
      <w:divBdr>
        <w:top w:val="none" w:sz="0" w:space="0" w:color="auto"/>
        <w:left w:val="none" w:sz="0" w:space="0" w:color="auto"/>
        <w:bottom w:val="none" w:sz="0" w:space="0" w:color="auto"/>
        <w:right w:val="none" w:sz="0" w:space="0" w:color="auto"/>
      </w:divBdr>
    </w:div>
    <w:div w:id="951597915">
      <w:bodyDiv w:val="1"/>
      <w:marLeft w:val="0"/>
      <w:marRight w:val="0"/>
      <w:marTop w:val="0"/>
      <w:marBottom w:val="0"/>
      <w:divBdr>
        <w:top w:val="none" w:sz="0" w:space="0" w:color="auto"/>
        <w:left w:val="none" w:sz="0" w:space="0" w:color="auto"/>
        <w:bottom w:val="none" w:sz="0" w:space="0" w:color="auto"/>
        <w:right w:val="none" w:sz="0" w:space="0" w:color="auto"/>
      </w:divBdr>
    </w:div>
    <w:div w:id="957906937">
      <w:bodyDiv w:val="1"/>
      <w:marLeft w:val="0"/>
      <w:marRight w:val="0"/>
      <w:marTop w:val="0"/>
      <w:marBottom w:val="0"/>
      <w:divBdr>
        <w:top w:val="none" w:sz="0" w:space="0" w:color="auto"/>
        <w:left w:val="none" w:sz="0" w:space="0" w:color="auto"/>
        <w:bottom w:val="none" w:sz="0" w:space="0" w:color="auto"/>
        <w:right w:val="none" w:sz="0" w:space="0" w:color="auto"/>
      </w:divBdr>
    </w:div>
    <w:div w:id="968894821">
      <w:bodyDiv w:val="1"/>
      <w:marLeft w:val="0"/>
      <w:marRight w:val="0"/>
      <w:marTop w:val="0"/>
      <w:marBottom w:val="0"/>
      <w:divBdr>
        <w:top w:val="none" w:sz="0" w:space="0" w:color="auto"/>
        <w:left w:val="none" w:sz="0" w:space="0" w:color="auto"/>
        <w:bottom w:val="none" w:sz="0" w:space="0" w:color="auto"/>
        <w:right w:val="none" w:sz="0" w:space="0" w:color="auto"/>
      </w:divBdr>
    </w:div>
    <w:div w:id="981226516">
      <w:bodyDiv w:val="1"/>
      <w:marLeft w:val="0"/>
      <w:marRight w:val="0"/>
      <w:marTop w:val="0"/>
      <w:marBottom w:val="0"/>
      <w:divBdr>
        <w:top w:val="none" w:sz="0" w:space="0" w:color="auto"/>
        <w:left w:val="none" w:sz="0" w:space="0" w:color="auto"/>
        <w:bottom w:val="none" w:sz="0" w:space="0" w:color="auto"/>
        <w:right w:val="none" w:sz="0" w:space="0" w:color="auto"/>
      </w:divBdr>
    </w:div>
    <w:div w:id="1033655569">
      <w:bodyDiv w:val="1"/>
      <w:marLeft w:val="0"/>
      <w:marRight w:val="0"/>
      <w:marTop w:val="0"/>
      <w:marBottom w:val="0"/>
      <w:divBdr>
        <w:top w:val="none" w:sz="0" w:space="0" w:color="auto"/>
        <w:left w:val="none" w:sz="0" w:space="0" w:color="auto"/>
        <w:bottom w:val="none" w:sz="0" w:space="0" w:color="auto"/>
        <w:right w:val="none" w:sz="0" w:space="0" w:color="auto"/>
      </w:divBdr>
    </w:div>
    <w:div w:id="1276325206">
      <w:bodyDiv w:val="1"/>
      <w:marLeft w:val="0"/>
      <w:marRight w:val="0"/>
      <w:marTop w:val="0"/>
      <w:marBottom w:val="0"/>
      <w:divBdr>
        <w:top w:val="none" w:sz="0" w:space="0" w:color="auto"/>
        <w:left w:val="none" w:sz="0" w:space="0" w:color="auto"/>
        <w:bottom w:val="none" w:sz="0" w:space="0" w:color="auto"/>
        <w:right w:val="none" w:sz="0" w:space="0" w:color="auto"/>
      </w:divBdr>
    </w:div>
    <w:div w:id="1359312405">
      <w:bodyDiv w:val="1"/>
      <w:marLeft w:val="0"/>
      <w:marRight w:val="0"/>
      <w:marTop w:val="0"/>
      <w:marBottom w:val="0"/>
      <w:divBdr>
        <w:top w:val="none" w:sz="0" w:space="0" w:color="auto"/>
        <w:left w:val="none" w:sz="0" w:space="0" w:color="auto"/>
        <w:bottom w:val="none" w:sz="0" w:space="0" w:color="auto"/>
        <w:right w:val="none" w:sz="0" w:space="0" w:color="auto"/>
      </w:divBdr>
    </w:div>
    <w:div w:id="1641349671">
      <w:bodyDiv w:val="1"/>
      <w:marLeft w:val="0"/>
      <w:marRight w:val="0"/>
      <w:marTop w:val="0"/>
      <w:marBottom w:val="0"/>
      <w:divBdr>
        <w:top w:val="none" w:sz="0" w:space="0" w:color="auto"/>
        <w:left w:val="none" w:sz="0" w:space="0" w:color="auto"/>
        <w:bottom w:val="none" w:sz="0" w:space="0" w:color="auto"/>
        <w:right w:val="none" w:sz="0" w:space="0" w:color="auto"/>
      </w:divBdr>
    </w:div>
    <w:div w:id="1728258700">
      <w:bodyDiv w:val="1"/>
      <w:marLeft w:val="0"/>
      <w:marRight w:val="0"/>
      <w:marTop w:val="0"/>
      <w:marBottom w:val="0"/>
      <w:divBdr>
        <w:top w:val="none" w:sz="0" w:space="0" w:color="auto"/>
        <w:left w:val="none" w:sz="0" w:space="0" w:color="auto"/>
        <w:bottom w:val="none" w:sz="0" w:space="0" w:color="auto"/>
        <w:right w:val="none" w:sz="0" w:space="0" w:color="auto"/>
      </w:divBdr>
    </w:div>
    <w:div w:id="20377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app.leg.wa.gov/WAC/default.aspx?cite=296-62&amp;full=tru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ir.ca.gov/title8/3395.html" TargetMode="External"/><Relationship Id="rId17" Type="http://schemas.openxmlformats.org/officeDocument/2006/relationships/hyperlink" Target="https://www.osha.gov/dts/osta/otm/otm_iii/otm_iii_4.html"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visor.mn.gov/rules/?id=5205.0110"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www.cdc.gov/pictureofamerica/pdfs/picture_of_america_heat-related_illness.pdf" TargetMode="External"/><Relationship Id="rId18" Type="http://schemas.openxmlformats.org/officeDocument/2006/relationships/hyperlink" Target="http://www.gao.gov/new.items/d1010.pdf" TargetMode="External"/><Relationship Id="rId26" Type="http://schemas.openxmlformats.org/officeDocument/2006/relationships/hyperlink" Target="http://leginfo.legislature.ca.gov/faces/billNavClient.xhtml?bill_id=201520160SB1167" TargetMode="External"/><Relationship Id="rId21" Type="http://schemas.openxmlformats.org/officeDocument/2006/relationships/hyperlink" Target="https://www.cdc.gov/niosh/docs/72-10269/" TargetMode="External"/><Relationship Id="rId34" Type="http://schemas.openxmlformats.org/officeDocument/2006/relationships/hyperlink" Target="http://laws.justice.gc.ca/eng/regulations/SOR-86-304/page-42.html" TargetMode="External"/><Relationship Id="rId7" Type="http://schemas.openxmlformats.org/officeDocument/2006/relationships/hyperlink" Target="https://www.ncbi.nlm.nih.gov/pmc/articles/PMC4974898/" TargetMode="External"/><Relationship Id="rId12" Type="http://schemas.openxmlformats.org/officeDocument/2006/relationships/hyperlink" Target="https://www.cdc.gov/niosh/topics/heatstress/heatrelillness.html" TargetMode="External"/><Relationship Id="rId17" Type="http://schemas.openxmlformats.org/officeDocument/2006/relationships/hyperlink" Target="http://www.osha.gov/pls/oshaweb/owadisp.show_document?p_table=STANDARDS&amp;p_id=9638" TargetMode="External"/><Relationship Id="rId25" Type="http://schemas.openxmlformats.org/officeDocument/2006/relationships/hyperlink" Target="http://app.leg.wa.gov/WAC/default.aspx?cite=296-62&amp;full=true" TargetMode="External"/><Relationship Id="rId33" Type="http://schemas.openxmlformats.org/officeDocument/2006/relationships/hyperlink" Target="http://laws.justice.gc.ca/eng/regulations/SOR-86-304/page-18.html" TargetMode="External"/><Relationship Id="rId2" Type="http://schemas.openxmlformats.org/officeDocument/2006/relationships/hyperlink" Target="https://e360.yale.edu/digest/its-official-2017-was-the-second-hottest-year-on-record" TargetMode="External"/><Relationship Id="rId16" Type="http://schemas.openxmlformats.org/officeDocument/2006/relationships/hyperlink" Target="http://www.bls.gov/iif/oshfaq1.htm" TargetMode="External"/><Relationship Id="rId20" Type="http://schemas.openxmlformats.org/officeDocument/2006/relationships/hyperlink" Target="http://nepis.epa.gov/EPA/html/Pubs/pubalpha_A.html" TargetMode="External"/><Relationship Id="rId29" Type="http://schemas.openxmlformats.org/officeDocument/2006/relationships/hyperlink" Target="http://www.dir.ca.gov/title8/3395.html" TargetMode="External"/><Relationship Id="rId1" Type="http://schemas.openxmlformats.org/officeDocument/2006/relationships/hyperlink" Target="https://www.cdc.gov/niosh/docs/2016-106/pdfs/2016-106.pdf" TargetMode="External"/><Relationship Id="rId6" Type="http://schemas.openxmlformats.org/officeDocument/2006/relationships/hyperlink" Target="https://www.theguardian.com/environment/2016/apr/28/workers-epidemic-heat-related-injuries-climate-change-un-report" TargetMode="External"/><Relationship Id="rId11" Type="http://schemas.openxmlformats.org/officeDocument/2006/relationships/hyperlink" Target="https://www.osha.gov/dts/osta/otm/otm_iii/otm_iii_4.html" TargetMode="External"/><Relationship Id="rId24" Type="http://schemas.openxmlformats.org/officeDocument/2006/relationships/hyperlink" Target="https://www.revisor.mn.gov/rules/?id=5205.0110" TargetMode="External"/><Relationship Id="rId32" Type="http://schemas.openxmlformats.org/officeDocument/2006/relationships/hyperlink" Target="https://www.marines.mil/News/Messages/Messages-Display/Article/897018/marine-corps-heat-and-cold-stress-injury-prevention-program/" TargetMode="External"/><Relationship Id="rId37" Type="http://schemas.openxmlformats.org/officeDocument/2006/relationships/hyperlink" Target="https://www.osha.gov/dts/osta/otm/otm_iii/otm_iii_4.html" TargetMode="External"/><Relationship Id="rId5" Type="http://schemas.openxmlformats.org/officeDocument/2006/relationships/hyperlink" Target="https://data.bls.gov/gqt/InitialPage" TargetMode="External"/><Relationship Id="rId15" Type="http://schemas.openxmlformats.org/officeDocument/2006/relationships/hyperlink" Target="http://www.bls.gov/iif/oshfaq1.htm" TargetMode="External"/><Relationship Id="rId23" Type="http://schemas.openxmlformats.org/officeDocument/2006/relationships/hyperlink" Target="https://www.dir.ca.gov/title8/3395.html" TargetMode="External"/><Relationship Id="rId28" Type="http://schemas.openxmlformats.org/officeDocument/2006/relationships/hyperlink" Target="http://ehstoday.com/mag/heat_stress_prevention/" TargetMode="External"/><Relationship Id="rId36" Type="http://schemas.openxmlformats.org/officeDocument/2006/relationships/hyperlink" Target="https://www.osha.gov/dts/osta/otm/otm_iii/otm_iii_4.html" TargetMode="External"/><Relationship Id="rId10" Type="http://schemas.openxmlformats.org/officeDocument/2006/relationships/hyperlink" Target="https://www.cdc.gov/niosh/docket/archive/pdfs/niosh-278/curwinbscsept2016.pdf" TargetMode="External"/><Relationship Id="rId19" Type="http://schemas.openxmlformats.org/officeDocument/2006/relationships/hyperlink" Target="http://digitalcommons.ilr.cornell.edu/laborunions/28/" TargetMode="External"/><Relationship Id="rId31" Type="http://schemas.openxmlformats.org/officeDocument/2006/relationships/hyperlink" Target="https://www.citizen.org/sites/default/files/petition-for-a-heat-standard-090111.pdf" TargetMode="External"/><Relationship Id="rId4" Type="http://schemas.openxmlformats.org/officeDocument/2006/relationships/hyperlink" Target="https://maps.esri.com/globalriskofdeadlyheat/" TargetMode="External"/><Relationship Id="rId9" Type="http://schemas.openxmlformats.org/officeDocument/2006/relationships/hyperlink" Target="https://www.healthdirect.gov.au/dehydration" TargetMode="External"/><Relationship Id="rId14" Type="http://schemas.openxmlformats.org/officeDocument/2006/relationships/hyperlink" Target="https://data.bls.gov/gqt/InitialPage" TargetMode="External"/><Relationship Id="rId22" Type="http://schemas.openxmlformats.org/officeDocument/2006/relationships/hyperlink" Target="https://www.cdc.gov/niosh/docs/86-113/86-113.pdf" TargetMode="External"/><Relationship Id="rId27" Type="http://schemas.openxmlformats.org/officeDocument/2006/relationships/hyperlink" Target="https://www.dir.ca.gov/DIRNews/2005/IR2005-33.html" TargetMode="External"/><Relationship Id="rId30" Type="http://schemas.openxmlformats.org/officeDocument/2006/relationships/hyperlink" Target="https://www.osha.gov/pls/imis/generalsearch.html" TargetMode="External"/><Relationship Id="rId35" Type="http://schemas.openxmlformats.org/officeDocument/2006/relationships/hyperlink" Target="http://laws.justice.gc.ca/eng/regulations/SOR-86-304/page-35.html" TargetMode="External"/><Relationship Id="rId8" Type="http://schemas.openxmlformats.org/officeDocument/2006/relationships/hyperlink" Target="http://books.nap.edu/openbook.php?record_id=10925&amp;page=488" TargetMode="External"/><Relationship Id="rId3" Type="http://schemas.openxmlformats.org/officeDocument/2006/relationships/hyperlink" Target="https://www.nytimes.com/interactive/2018/01/18/climate/hottest-year-2017.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rkush\Dropbox\Heat%20Stress\BLS%20Heat%20Injuries%20&amp;%20Fatalitie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Fatal!$L$3</c:f>
              <c:strCache>
                <c:ptCount val="1"/>
                <c:pt idx="0">
                  <c:v>Number of Workers</c:v>
                </c:pt>
              </c:strCache>
            </c:strRef>
          </c:tx>
          <c:spPr>
            <a:solidFill>
              <a:srgbClr val="C00000"/>
            </a:solidFill>
          </c:spPr>
          <c:invertIfNegative val="0"/>
          <c:dLbls>
            <c:spPr>
              <a:noFill/>
              <a:ln>
                <a:noFill/>
              </a:ln>
              <a:effectLst/>
            </c:spPr>
            <c:txPr>
              <a:bodyPr/>
              <a:lstStyle/>
              <a:p>
                <a:pPr>
                  <a:defRPr sz="8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Fatal!$M$3:$AK$3</c:f>
              <c:numCache>
                <c:formatCode>General</c:formatCode>
                <c:ptCount val="25"/>
                <c:pt idx="0">
                  <c:v>12</c:v>
                </c:pt>
                <c:pt idx="1">
                  <c:v>22</c:v>
                </c:pt>
                <c:pt idx="2">
                  <c:v>28</c:v>
                </c:pt>
                <c:pt idx="3">
                  <c:v>35</c:v>
                </c:pt>
                <c:pt idx="4">
                  <c:v>18</c:v>
                </c:pt>
                <c:pt idx="5">
                  <c:v>22</c:v>
                </c:pt>
                <c:pt idx="6">
                  <c:v>34</c:v>
                </c:pt>
                <c:pt idx="7">
                  <c:v>35</c:v>
                </c:pt>
                <c:pt idx="8">
                  <c:v>21</c:v>
                </c:pt>
                <c:pt idx="9">
                  <c:v>24</c:v>
                </c:pt>
                <c:pt idx="10">
                  <c:v>40</c:v>
                </c:pt>
                <c:pt idx="11">
                  <c:v>29</c:v>
                </c:pt>
                <c:pt idx="12">
                  <c:v>18</c:v>
                </c:pt>
                <c:pt idx="13">
                  <c:v>47</c:v>
                </c:pt>
                <c:pt idx="14">
                  <c:v>44</c:v>
                </c:pt>
                <c:pt idx="15">
                  <c:v>32</c:v>
                </c:pt>
                <c:pt idx="16">
                  <c:v>27</c:v>
                </c:pt>
                <c:pt idx="17">
                  <c:v>35</c:v>
                </c:pt>
                <c:pt idx="18">
                  <c:v>40</c:v>
                </c:pt>
                <c:pt idx="19">
                  <c:v>61</c:v>
                </c:pt>
                <c:pt idx="20">
                  <c:v>31</c:v>
                </c:pt>
                <c:pt idx="21">
                  <c:v>34</c:v>
                </c:pt>
                <c:pt idx="22">
                  <c:v>18</c:v>
                </c:pt>
                <c:pt idx="23">
                  <c:v>37</c:v>
                </c:pt>
                <c:pt idx="24">
                  <c:v>39</c:v>
                </c:pt>
              </c:numCache>
            </c:numRef>
          </c:val>
        </c:ser>
        <c:dLbls>
          <c:showLegendKey val="0"/>
          <c:showVal val="0"/>
          <c:showCatName val="0"/>
          <c:showSerName val="0"/>
          <c:showPercent val="0"/>
          <c:showBubbleSize val="0"/>
        </c:dLbls>
        <c:gapWidth val="10"/>
        <c:axId val="342283952"/>
        <c:axId val="342283392"/>
      </c:barChart>
      <c:catAx>
        <c:axId val="342283952"/>
        <c:scaling>
          <c:orientation val="minMax"/>
        </c:scaling>
        <c:delete val="0"/>
        <c:axPos val="b"/>
        <c:numFmt formatCode="General" sourceLinked="1"/>
        <c:majorTickMark val="out"/>
        <c:minorTickMark val="none"/>
        <c:tickLblPos val="nextTo"/>
        <c:txPr>
          <a:bodyPr rot="-3900000"/>
          <a:lstStyle/>
          <a:p>
            <a:pPr>
              <a:defRPr sz="900"/>
            </a:pPr>
            <a:endParaRPr lang="en-US"/>
          </a:p>
        </c:txPr>
        <c:crossAx val="342283392"/>
        <c:crosses val="autoZero"/>
        <c:auto val="1"/>
        <c:lblAlgn val="ctr"/>
        <c:lblOffset val="100"/>
        <c:noMultiLvlLbl val="0"/>
      </c:catAx>
      <c:valAx>
        <c:axId val="342283392"/>
        <c:scaling>
          <c:orientation val="minMax"/>
        </c:scaling>
        <c:delete val="0"/>
        <c:axPos val="l"/>
        <c:majorGridlines/>
        <c:title>
          <c:tx>
            <c:rich>
              <a:bodyPr rot="-5400000" vert="horz"/>
              <a:lstStyle/>
              <a:p>
                <a:pPr>
                  <a:defRPr/>
                </a:pPr>
                <a:r>
                  <a:rPr lang="en-US"/>
                  <a:t>Numnber of Workers</a:t>
                </a:r>
              </a:p>
            </c:rich>
          </c:tx>
          <c:overlay val="0"/>
        </c:title>
        <c:numFmt formatCode="General" sourceLinked="1"/>
        <c:majorTickMark val="out"/>
        <c:minorTickMark val="none"/>
        <c:tickLblPos val="nextTo"/>
        <c:txPr>
          <a:bodyPr/>
          <a:lstStyle/>
          <a:p>
            <a:pPr>
              <a:defRPr sz="900"/>
            </a:pPr>
            <a:endParaRPr lang="en-US"/>
          </a:p>
        </c:txPr>
        <c:crossAx val="342283952"/>
        <c:crosses val="autoZero"/>
        <c:crossBetween val="between"/>
      </c:valAx>
      <c:spPr>
        <a:noFill/>
        <a:ln w="25400">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barChart>
        <c:barDir val="col"/>
        <c:grouping val="stacked"/>
        <c:varyColors val="0"/>
        <c:ser>
          <c:idx val="1"/>
          <c:order val="0"/>
          <c:tx>
            <c:strRef>
              <c:f>Nonfatal!$M$4</c:f>
              <c:strCache>
                <c:ptCount val="1"/>
                <c:pt idx="0">
                  <c:v>Private sector</c:v>
                </c:pt>
              </c:strCache>
            </c:strRef>
          </c:tx>
          <c:spPr>
            <a:solidFill>
              <a:schemeClr val="accent5">
                <a:lumMod val="50000"/>
              </a:schemeClr>
            </a:solidFill>
          </c:spPr>
          <c:invertIfNegative val="0"/>
          <c:dLbls>
            <c:spPr>
              <a:noFill/>
              <a:ln>
                <a:noFill/>
              </a:ln>
              <a:effectLst/>
            </c:spPr>
            <c:txPr>
              <a:bodyPr/>
              <a:lstStyle/>
              <a:p>
                <a:pPr>
                  <a:defRPr sz="6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Nonfatal!$N$4:$AL$4</c:f>
              <c:numCache>
                <c:formatCode>General</c:formatCode>
                <c:ptCount val="25"/>
                <c:pt idx="0">
                  <c:v>1576</c:v>
                </c:pt>
                <c:pt idx="1">
                  <c:v>3119</c:v>
                </c:pt>
                <c:pt idx="2">
                  <c:v>2540</c:v>
                </c:pt>
                <c:pt idx="3">
                  <c:v>3629</c:v>
                </c:pt>
                <c:pt idx="4">
                  <c:v>1789</c:v>
                </c:pt>
                <c:pt idx="5">
                  <c:v>1630</c:v>
                </c:pt>
                <c:pt idx="6">
                  <c:v>2738</c:v>
                </c:pt>
                <c:pt idx="7">
                  <c:v>2708</c:v>
                </c:pt>
                <c:pt idx="8">
                  <c:v>2554</c:v>
                </c:pt>
                <c:pt idx="9">
                  <c:v>3135</c:v>
                </c:pt>
                <c:pt idx="10">
                  <c:v>2666</c:v>
                </c:pt>
                <c:pt idx="11">
                  <c:v>2060</c:v>
                </c:pt>
                <c:pt idx="12">
                  <c:v>1590</c:v>
                </c:pt>
                <c:pt idx="13">
                  <c:v>2610</c:v>
                </c:pt>
                <c:pt idx="14">
                  <c:v>3110</c:v>
                </c:pt>
                <c:pt idx="15">
                  <c:v>2550</c:v>
                </c:pt>
                <c:pt idx="16">
                  <c:v>1660</c:v>
                </c:pt>
                <c:pt idx="17">
                  <c:v>1790</c:v>
                </c:pt>
                <c:pt idx="18">
                  <c:v>3470</c:v>
                </c:pt>
                <c:pt idx="19">
                  <c:v>3400</c:v>
                </c:pt>
                <c:pt idx="20">
                  <c:v>3310</c:v>
                </c:pt>
                <c:pt idx="21">
                  <c:v>2550</c:v>
                </c:pt>
                <c:pt idx="22">
                  <c:v>2070</c:v>
                </c:pt>
                <c:pt idx="23">
                  <c:v>2010</c:v>
                </c:pt>
                <c:pt idx="24">
                  <c:v>3300</c:v>
                </c:pt>
              </c:numCache>
            </c:numRef>
          </c:val>
        </c:ser>
        <c:ser>
          <c:idx val="2"/>
          <c:order val="1"/>
          <c:tx>
            <c:strRef>
              <c:f>Nonfatal!$M$5</c:f>
              <c:strCache>
                <c:ptCount val="1"/>
                <c:pt idx="0">
                  <c:v>State &amp; Local Government</c:v>
                </c:pt>
              </c:strCache>
            </c:strRef>
          </c:tx>
          <c:spPr>
            <a:solidFill>
              <a:schemeClr val="accent5">
                <a:lumMod val="75000"/>
              </a:schemeClr>
            </a:solidFill>
          </c:spPr>
          <c:invertIfNegative val="0"/>
          <c:dLbls>
            <c:spPr>
              <a:noFill/>
              <a:ln>
                <a:noFill/>
              </a:ln>
              <a:effectLst/>
            </c:spPr>
            <c:txPr>
              <a:bodyPr/>
              <a:lstStyle/>
              <a:p>
                <a:pPr>
                  <a:defRPr sz="600" b="1">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Nonfatal!$N$2:$AL$2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Nonfatal!$N$5:$AL$5</c:f>
              <c:numCache>
                <c:formatCode>General</c:formatCode>
                <c:ptCount val="25"/>
                <c:pt idx="17">
                  <c:v>380</c:v>
                </c:pt>
                <c:pt idx="18">
                  <c:v>720</c:v>
                </c:pt>
                <c:pt idx="19">
                  <c:v>1020</c:v>
                </c:pt>
                <c:pt idx="20">
                  <c:v>850</c:v>
                </c:pt>
                <c:pt idx="21">
                  <c:v>600</c:v>
                </c:pt>
                <c:pt idx="22">
                  <c:v>600</c:v>
                </c:pt>
                <c:pt idx="23">
                  <c:v>820</c:v>
                </c:pt>
                <c:pt idx="24">
                  <c:v>820</c:v>
                </c:pt>
              </c:numCache>
            </c:numRef>
          </c:val>
        </c:ser>
        <c:dLbls>
          <c:showLegendKey val="0"/>
          <c:showVal val="0"/>
          <c:showCatName val="0"/>
          <c:showSerName val="0"/>
          <c:showPercent val="0"/>
          <c:showBubbleSize val="0"/>
        </c:dLbls>
        <c:gapWidth val="5"/>
        <c:overlap val="100"/>
        <c:axId val="347306384"/>
        <c:axId val="347305264"/>
      </c:barChart>
      <c:catAx>
        <c:axId val="347306384"/>
        <c:scaling>
          <c:orientation val="minMax"/>
        </c:scaling>
        <c:delete val="0"/>
        <c:axPos val="b"/>
        <c:numFmt formatCode="General" sourceLinked="1"/>
        <c:majorTickMark val="out"/>
        <c:minorTickMark val="none"/>
        <c:tickLblPos val="nextTo"/>
        <c:txPr>
          <a:bodyPr rot="-3900000"/>
          <a:lstStyle/>
          <a:p>
            <a:pPr>
              <a:defRPr sz="900"/>
            </a:pPr>
            <a:endParaRPr lang="en-US"/>
          </a:p>
        </c:txPr>
        <c:crossAx val="347305264"/>
        <c:crosses val="autoZero"/>
        <c:auto val="1"/>
        <c:lblAlgn val="ctr"/>
        <c:lblOffset val="100"/>
        <c:noMultiLvlLbl val="0"/>
      </c:catAx>
      <c:valAx>
        <c:axId val="347305264"/>
        <c:scaling>
          <c:orientation val="minMax"/>
        </c:scaling>
        <c:delete val="0"/>
        <c:axPos val="l"/>
        <c:majorGridlines/>
        <c:title>
          <c:tx>
            <c:rich>
              <a:bodyPr rot="-5400000" vert="horz"/>
              <a:lstStyle/>
              <a:p>
                <a:pPr>
                  <a:defRPr/>
                </a:pPr>
                <a:r>
                  <a:rPr lang="en-US"/>
                  <a:t>Number of Workers</a:t>
                </a:r>
              </a:p>
            </c:rich>
          </c:tx>
          <c:overlay val="0"/>
        </c:title>
        <c:numFmt formatCode="General" sourceLinked="1"/>
        <c:majorTickMark val="out"/>
        <c:minorTickMark val="none"/>
        <c:tickLblPos val="nextTo"/>
        <c:txPr>
          <a:bodyPr/>
          <a:lstStyle/>
          <a:p>
            <a:pPr>
              <a:defRPr sz="900"/>
            </a:pPr>
            <a:endParaRPr lang="en-US"/>
          </a:p>
        </c:txPr>
        <c:crossAx val="3473063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plotArea>
      <c:layout/>
      <c:lineChart>
        <c:grouping val="standard"/>
        <c:varyColors val="0"/>
        <c:ser>
          <c:idx val="1"/>
          <c:order val="0"/>
          <c:tx>
            <c:strRef>
              <c:f>Fatal!$L$8</c:f>
              <c:strCache>
                <c:ptCount val="1"/>
                <c:pt idx="0">
                  <c:v>Fatality Rate*</c:v>
                </c:pt>
              </c:strCache>
            </c:strRef>
          </c:tx>
          <c:spPr>
            <a:ln w="28575">
              <a:solidFill>
                <a:schemeClr val="accent2">
                  <a:lumMod val="75000"/>
                </a:schemeClr>
              </a:solidFill>
            </a:ln>
          </c:spPr>
          <c:marker>
            <c:symbol val="none"/>
          </c:marker>
          <c:trendline>
            <c:spPr>
              <a:ln w="19050">
                <a:solidFill>
                  <a:schemeClr val="accent2">
                    <a:lumMod val="75000"/>
                  </a:schemeClr>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Fatal!$M$8:$AK$8</c:f>
              <c:numCache>
                <c:formatCode>General</c:formatCode>
                <c:ptCount val="25"/>
                <c:pt idx="0">
                  <c:v>0.10400746542474047</c:v>
                </c:pt>
                <c:pt idx="1">
                  <c:v>0.18771904999939559</c:v>
                </c:pt>
                <c:pt idx="2">
                  <c:v>0.23322692354946389</c:v>
                </c:pt>
                <c:pt idx="3">
                  <c:v>0.2869758079393907</c:v>
                </c:pt>
                <c:pt idx="4">
                  <c:v>0.14534424043167241</c:v>
                </c:pt>
                <c:pt idx="5">
                  <c:v>0.17354697140813646</c:v>
                </c:pt>
                <c:pt idx="6">
                  <c:v>0.26416983012196488</c:v>
                </c:pt>
                <c:pt idx="7">
                  <c:v>0.26772481713438834</c:v>
                </c:pt>
                <c:pt idx="8">
                  <c:v>0.15667471593381863</c:v>
                </c:pt>
                <c:pt idx="9">
                  <c:v>0.17886943338759451</c:v>
                </c:pt>
                <c:pt idx="10">
                  <c:v>0.29914295543268543</c:v>
                </c:pt>
                <c:pt idx="11">
                  <c:v>0.21486428665365545</c:v>
                </c:pt>
                <c:pt idx="12">
                  <c:v>0.13185975981988934</c:v>
                </c:pt>
                <c:pt idx="13">
                  <c:v>0.33818160232122096</c:v>
                </c:pt>
                <c:pt idx="14">
                  <c:v>0.31054804672336522</c:v>
                </c:pt>
                <c:pt idx="15">
                  <c:v>0.22328463324917522</c:v>
                </c:pt>
                <c:pt idx="16">
                  <c:v>0.18932477086735872</c:v>
                </c:pt>
                <c:pt idx="17">
                  <c:v>0.25535640458182352</c:v>
                </c:pt>
                <c:pt idx="18">
                  <c:v>0.29389956349791913</c:v>
                </c:pt>
                <c:pt idx="19">
                  <c:v>0.44517207238546552</c:v>
                </c:pt>
                <c:pt idx="20">
                  <c:v>0.22197862918649008</c:v>
                </c:pt>
                <c:pt idx="21">
                  <c:v>0.24084323466631408</c:v>
                </c:pt>
                <c:pt idx="22">
                  <c:v>0.125362884924997</c:v>
                </c:pt>
                <c:pt idx="23">
                  <c:v>0.25327156701514325</c:v>
                </c:pt>
                <c:pt idx="24">
                  <c:v>0.26236787002699358</c:v>
                </c:pt>
              </c:numCache>
            </c:numRef>
          </c:val>
          <c:smooth val="0"/>
        </c:ser>
        <c:dLbls>
          <c:showLegendKey val="0"/>
          <c:showVal val="0"/>
          <c:showCatName val="0"/>
          <c:showSerName val="0"/>
          <c:showPercent val="0"/>
          <c:showBubbleSize val="0"/>
        </c:dLbls>
        <c:marker val="1"/>
        <c:smooth val="0"/>
        <c:axId val="347310864"/>
        <c:axId val="347311424"/>
      </c:lineChart>
      <c:lineChart>
        <c:grouping val="standard"/>
        <c:varyColors val="0"/>
        <c:ser>
          <c:idx val="2"/>
          <c:order val="1"/>
          <c:tx>
            <c:strRef>
              <c:f>Fatal!$L$4</c:f>
              <c:strCache>
                <c:ptCount val="1"/>
                <c:pt idx="0">
                  <c:v>U.S. Average Annual Temperature (°F)</c:v>
                </c:pt>
              </c:strCache>
            </c:strRef>
          </c:tx>
          <c:spPr>
            <a:ln w="28575">
              <a:solidFill>
                <a:srgbClr val="FFC000"/>
              </a:solidFill>
            </a:ln>
          </c:spPr>
          <c:marker>
            <c:symbol val="none"/>
          </c:marker>
          <c:trendline>
            <c:spPr>
              <a:ln w="19050">
                <a:solidFill>
                  <a:srgbClr val="FFC000"/>
                </a:solidFill>
                <a:prstDash val="sysDot"/>
              </a:ln>
            </c:spPr>
            <c:trendlineType val="linear"/>
            <c:dispRSqr val="0"/>
            <c:dispEq val="0"/>
          </c:trendline>
          <c:cat>
            <c:numRef>
              <c:f>Fatal!$M$2:$AK$2</c:f>
              <c:numCache>
                <c:formatCode>General</c:formatCode>
                <c:ptCount val="25"/>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pt idx="16">
                  <c:v>2008</c:v>
                </c:pt>
                <c:pt idx="17">
                  <c:v>2009</c:v>
                </c:pt>
                <c:pt idx="18">
                  <c:v>2010</c:v>
                </c:pt>
                <c:pt idx="19">
                  <c:v>2011</c:v>
                </c:pt>
                <c:pt idx="20">
                  <c:v>2012</c:v>
                </c:pt>
                <c:pt idx="21">
                  <c:v>2013</c:v>
                </c:pt>
                <c:pt idx="22">
                  <c:v>2014</c:v>
                </c:pt>
                <c:pt idx="23">
                  <c:v>2015</c:v>
                </c:pt>
                <c:pt idx="24">
                  <c:v>2016</c:v>
                </c:pt>
              </c:numCache>
            </c:numRef>
          </c:cat>
          <c:val>
            <c:numRef>
              <c:f>Fatal!$M$4:$AK$4</c:f>
              <c:numCache>
                <c:formatCode>General</c:formatCode>
                <c:ptCount val="25"/>
                <c:pt idx="0">
                  <c:v>52.6</c:v>
                </c:pt>
                <c:pt idx="1">
                  <c:v>51.26</c:v>
                </c:pt>
                <c:pt idx="2">
                  <c:v>52.87</c:v>
                </c:pt>
                <c:pt idx="3">
                  <c:v>52.65</c:v>
                </c:pt>
                <c:pt idx="4">
                  <c:v>51.88</c:v>
                </c:pt>
                <c:pt idx="5">
                  <c:v>52.2</c:v>
                </c:pt>
                <c:pt idx="6">
                  <c:v>54.23</c:v>
                </c:pt>
                <c:pt idx="7">
                  <c:v>53.88</c:v>
                </c:pt>
                <c:pt idx="8">
                  <c:v>53.27</c:v>
                </c:pt>
                <c:pt idx="9">
                  <c:v>53.69</c:v>
                </c:pt>
                <c:pt idx="10">
                  <c:v>53.21</c:v>
                </c:pt>
                <c:pt idx="11">
                  <c:v>53.26</c:v>
                </c:pt>
                <c:pt idx="12">
                  <c:v>53.1</c:v>
                </c:pt>
                <c:pt idx="13">
                  <c:v>53.64</c:v>
                </c:pt>
                <c:pt idx="14">
                  <c:v>54.25</c:v>
                </c:pt>
                <c:pt idx="15">
                  <c:v>53.65</c:v>
                </c:pt>
                <c:pt idx="16">
                  <c:v>52.29</c:v>
                </c:pt>
                <c:pt idx="17">
                  <c:v>52.39</c:v>
                </c:pt>
                <c:pt idx="18">
                  <c:v>52.98</c:v>
                </c:pt>
                <c:pt idx="19">
                  <c:v>53.18</c:v>
                </c:pt>
                <c:pt idx="20">
                  <c:v>55.28</c:v>
                </c:pt>
                <c:pt idx="21">
                  <c:v>52.43</c:v>
                </c:pt>
                <c:pt idx="22">
                  <c:v>52.54</c:v>
                </c:pt>
                <c:pt idx="23">
                  <c:v>54.4</c:v>
                </c:pt>
                <c:pt idx="24">
                  <c:v>54.92</c:v>
                </c:pt>
              </c:numCache>
            </c:numRef>
          </c:val>
          <c:smooth val="0"/>
        </c:ser>
        <c:dLbls>
          <c:showLegendKey val="0"/>
          <c:showVal val="0"/>
          <c:showCatName val="0"/>
          <c:showSerName val="0"/>
          <c:showPercent val="0"/>
          <c:showBubbleSize val="0"/>
        </c:dLbls>
        <c:marker val="1"/>
        <c:smooth val="0"/>
        <c:axId val="347312544"/>
        <c:axId val="347311984"/>
      </c:lineChart>
      <c:catAx>
        <c:axId val="347310864"/>
        <c:scaling>
          <c:orientation val="minMax"/>
        </c:scaling>
        <c:delete val="0"/>
        <c:axPos val="b"/>
        <c:numFmt formatCode="General" sourceLinked="1"/>
        <c:majorTickMark val="out"/>
        <c:minorTickMark val="none"/>
        <c:tickLblPos val="nextTo"/>
        <c:txPr>
          <a:bodyPr rot="-3600000"/>
          <a:lstStyle/>
          <a:p>
            <a:pPr>
              <a:defRPr sz="900"/>
            </a:pPr>
            <a:endParaRPr lang="en-US"/>
          </a:p>
        </c:txPr>
        <c:crossAx val="347311424"/>
        <c:crosses val="autoZero"/>
        <c:auto val="1"/>
        <c:lblAlgn val="ctr"/>
        <c:lblOffset val="100"/>
        <c:noMultiLvlLbl val="0"/>
      </c:catAx>
      <c:valAx>
        <c:axId val="347311424"/>
        <c:scaling>
          <c:orientation val="minMax"/>
        </c:scaling>
        <c:delete val="0"/>
        <c:axPos val="l"/>
        <c:majorGridlines/>
        <c:title>
          <c:tx>
            <c:rich>
              <a:bodyPr rot="-5400000" vert="horz"/>
              <a:lstStyle/>
              <a:p>
                <a:pPr>
                  <a:defRPr/>
                </a:pPr>
                <a:r>
                  <a:rPr lang="en-US" sz="900"/>
                  <a:t>Fatalities</a:t>
                </a:r>
              </a:p>
            </c:rich>
          </c:tx>
          <c:overlay val="0"/>
        </c:title>
        <c:numFmt formatCode="General" sourceLinked="1"/>
        <c:majorTickMark val="out"/>
        <c:minorTickMark val="none"/>
        <c:tickLblPos val="nextTo"/>
        <c:txPr>
          <a:bodyPr/>
          <a:lstStyle/>
          <a:p>
            <a:pPr>
              <a:defRPr sz="900"/>
            </a:pPr>
            <a:endParaRPr lang="en-US"/>
          </a:p>
        </c:txPr>
        <c:crossAx val="347310864"/>
        <c:crosses val="autoZero"/>
        <c:crossBetween val="between"/>
      </c:valAx>
      <c:valAx>
        <c:axId val="347311984"/>
        <c:scaling>
          <c:orientation val="minMax"/>
        </c:scaling>
        <c:delete val="0"/>
        <c:axPos val="r"/>
        <c:title>
          <c:tx>
            <c:rich>
              <a:bodyPr rot="-5400000" vert="horz"/>
              <a:lstStyle/>
              <a:p>
                <a:pPr>
                  <a:defRPr/>
                </a:pPr>
                <a:r>
                  <a:rPr lang="en-US" sz="900"/>
                  <a:t>Degrees Fahrenheit</a:t>
                </a:r>
              </a:p>
            </c:rich>
          </c:tx>
          <c:overlay val="0"/>
        </c:title>
        <c:numFmt formatCode="General" sourceLinked="1"/>
        <c:majorTickMark val="out"/>
        <c:minorTickMark val="none"/>
        <c:tickLblPos val="nextTo"/>
        <c:txPr>
          <a:bodyPr/>
          <a:lstStyle/>
          <a:p>
            <a:pPr>
              <a:defRPr sz="900"/>
            </a:pPr>
            <a:endParaRPr lang="en-US"/>
          </a:p>
        </c:txPr>
        <c:crossAx val="347312544"/>
        <c:crosses val="max"/>
        <c:crossBetween val="between"/>
      </c:valAx>
      <c:catAx>
        <c:axId val="347312544"/>
        <c:scaling>
          <c:orientation val="minMax"/>
        </c:scaling>
        <c:delete val="1"/>
        <c:axPos val="b"/>
        <c:numFmt formatCode="General" sourceLinked="1"/>
        <c:majorTickMark val="out"/>
        <c:minorTickMark val="none"/>
        <c:tickLblPos val="nextTo"/>
        <c:crossAx val="347311984"/>
        <c:crosses val="autoZero"/>
        <c:auto val="1"/>
        <c:lblAlgn val="ctr"/>
        <c:lblOffset val="100"/>
        <c:noMultiLvlLbl val="0"/>
      </c:catAx>
    </c:plotArea>
    <c:legend>
      <c:legendPos val="b"/>
      <c:legendEntry>
        <c:idx val="2"/>
        <c:delete val="1"/>
      </c:legendEntry>
      <c:legendEntry>
        <c:idx val="3"/>
        <c:delete val="1"/>
      </c:legendEntry>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16A7-EA4C-40AB-999F-A355C5AB5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34</Pages>
  <Words>10398</Words>
  <Characters>59271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Arkush</dc:creator>
  <cp:lastModifiedBy>David Arkush</cp:lastModifiedBy>
  <cp:revision>43</cp:revision>
  <cp:lastPrinted>2018-06-07T14:42:00Z</cp:lastPrinted>
  <dcterms:created xsi:type="dcterms:W3CDTF">2018-06-11T19:51:00Z</dcterms:created>
  <dcterms:modified xsi:type="dcterms:W3CDTF">2018-06-19T14:45:00Z</dcterms:modified>
</cp:coreProperties>
</file>