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52C6D7" w14:textId="604713A7" w:rsidR="00ED710D" w:rsidRPr="002F64A6" w:rsidRDefault="001A09D4" w:rsidP="00ED710D">
      <w:pPr>
        <w:spacing w:after="0"/>
        <w:rPr>
          <w:rFonts w:asciiTheme="majorBidi" w:hAnsiTheme="majorBidi" w:cstheme="majorBidi"/>
          <w:szCs w:val="24"/>
        </w:rPr>
      </w:pPr>
      <w:r>
        <w:rPr>
          <w:rFonts w:asciiTheme="majorBidi" w:hAnsiTheme="majorBidi" w:cstheme="majorBidi"/>
          <w:szCs w:val="24"/>
        </w:rPr>
        <w:t xml:space="preserve">July </w:t>
      </w:r>
      <w:r w:rsidR="00BE63ED">
        <w:rPr>
          <w:rFonts w:asciiTheme="majorBidi" w:hAnsiTheme="majorBidi" w:cstheme="majorBidi"/>
          <w:szCs w:val="24"/>
        </w:rPr>
        <w:t>17</w:t>
      </w:r>
      <w:r w:rsidR="00ED710D" w:rsidRPr="002F64A6">
        <w:rPr>
          <w:rFonts w:asciiTheme="majorBidi" w:hAnsiTheme="majorBidi" w:cstheme="majorBidi"/>
          <w:szCs w:val="24"/>
        </w:rPr>
        <w:t>, 2018</w:t>
      </w:r>
    </w:p>
    <w:p w14:paraId="23A2D5FD" w14:textId="77777777" w:rsidR="00ED710D" w:rsidRPr="002F64A6" w:rsidRDefault="00ED710D" w:rsidP="00ED710D">
      <w:pPr>
        <w:spacing w:after="0"/>
        <w:rPr>
          <w:rFonts w:asciiTheme="majorBidi" w:hAnsiTheme="majorBidi" w:cstheme="majorBidi"/>
          <w:szCs w:val="24"/>
        </w:rPr>
      </w:pPr>
    </w:p>
    <w:p w14:paraId="38F80102" w14:textId="77777777" w:rsidR="00ED710D" w:rsidRPr="002F64A6" w:rsidRDefault="00ED710D" w:rsidP="00ED710D">
      <w:pPr>
        <w:spacing w:after="0"/>
        <w:rPr>
          <w:rFonts w:asciiTheme="majorBidi" w:hAnsiTheme="majorBidi" w:cstheme="majorBidi"/>
          <w:szCs w:val="24"/>
        </w:rPr>
      </w:pPr>
      <w:r w:rsidRPr="002F64A6">
        <w:rPr>
          <w:rFonts w:asciiTheme="majorBidi" w:hAnsiTheme="majorBidi" w:cstheme="majorBidi"/>
          <w:szCs w:val="24"/>
        </w:rPr>
        <w:t>Loren Sweatt</w:t>
      </w:r>
    </w:p>
    <w:p w14:paraId="1D4B891D" w14:textId="77777777" w:rsidR="00ED710D" w:rsidRPr="002F64A6" w:rsidRDefault="00ED710D" w:rsidP="00ED710D">
      <w:pPr>
        <w:spacing w:after="0"/>
        <w:rPr>
          <w:rFonts w:asciiTheme="majorBidi" w:hAnsiTheme="majorBidi" w:cstheme="majorBidi"/>
          <w:szCs w:val="24"/>
        </w:rPr>
      </w:pPr>
      <w:r w:rsidRPr="002F64A6">
        <w:rPr>
          <w:rFonts w:asciiTheme="majorBidi" w:hAnsiTheme="majorBidi" w:cstheme="majorBidi"/>
          <w:szCs w:val="24"/>
        </w:rPr>
        <w:t>Acting Assistant Secretary of Labor for Occupational Safety and Health</w:t>
      </w:r>
    </w:p>
    <w:p w14:paraId="75D7D9C6" w14:textId="77777777" w:rsidR="00ED710D" w:rsidRPr="002F64A6" w:rsidRDefault="00ED710D" w:rsidP="00ED710D">
      <w:pPr>
        <w:spacing w:after="0"/>
        <w:rPr>
          <w:rFonts w:asciiTheme="majorBidi" w:hAnsiTheme="majorBidi" w:cstheme="majorBidi"/>
          <w:szCs w:val="24"/>
        </w:rPr>
      </w:pPr>
      <w:r w:rsidRPr="002F64A6">
        <w:rPr>
          <w:rFonts w:asciiTheme="majorBidi" w:hAnsiTheme="majorBidi" w:cstheme="majorBidi"/>
          <w:szCs w:val="24"/>
        </w:rPr>
        <w:t>U.S. Department of Labor</w:t>
      </w:r>
    </w:p>
    <w:p w14:paraId="74CA82A1" w14:textId="6C2A67CC" w:rsidR="00ED710D" w:rsidRPr="002F64A6" w:rsidRDefault="00ED710D" w:rsidP="00ED710D">
      <w:pPr>
        <w:spacing w:after="0"/>
        <w:rPr>
          <w:rFonts w:asciiTheme="majorBidi" w:hAnsiTheme="majorBidi" w:cstheme="majorBidi"/>
          <w:szCs w:val="24"/>
        </w:rPr>
      </w:pPr>
      <w:r w:rsidRPr="002F64A6">
        <w:rPr>
          <w:rFonts w:asciiTheme="majorBidi" w:hAnsiTheme="majorBidi" w:cstheme="majorBidi"/>
          <w:szCs w:val="24"/>
        </w:rPr>
        <w:t>200 Constitution Ave. NW</w:t>
      </w:r>
    </w:p>
    <w:p w14:paraId="18024484" w14:textId="77777777" w:rsidR="00ED710D" w:rsidRPr="002F64A6" w:rsidRDefault="00ED710D" w:rsidP="00ED710D">
      <w:pPr>
        <w:spacing w:after="0"/>
        <w:rPr>
          <w:rFonts w:asciiTheme="majorBidi" w:hAnsiTheme="majorBidi" w:cstheme="majorBidi"/>
          <w:szCs w:val="24"/>
        </w:rPr>
      </w:pPr>
      <w:r w:rsidRPr="002F64A6">
        <w:rPr>
          <w:rFonts w:asciiTheme="majorBidi" w:hAnsiTheme="majorBidi" w:cstheme="majorBidi"/>
          <w:szCs w:val="24"/>
        </w:rPr>
        <w:t>Washington, D.C. 20210</w:t>
      </w:r>
    </w:p>
    <w:p w14:paraId="2A0B3054" w14:textId="49D9C2A5" w:rsidR="00ED710D" w:rsidRPr="002F64A6" w:rsidRDefault="00ED710D" w:rsidP="00ED710D">
      <w:pPr>
        <w:spacing w:after="0"/>
        <w:rPr>
          <w:rFonts w:asciiTheme="majorBidi" w:hAnsiTheme="majorBidi" w:cstheme="majorBidi"/>
          <w:szCs w:val="24"/>
        </w:rPr>
      </w:pPr>
    </w:p>
    <w:p w14:paraId="0A49DF16" w14:textId="77777777" w:rsidR="00ED710D" w:rsidRPr="002F64A6" w:rsidRDefault="00ED710D" w:rsidP="00ED710D">
      <w:pPr>
        <w:spacing w:after="0"/>
        <w:rPr>
          <w:rFonts w:asciiTheme="majorBidi" w:hAnsiTheme="majorBidi" w:cstheme="majorBidi"/>
          <w:szCs w:val="24"/>
        </w:rPr>
      </w:pPr>
      <w:r w:rsidRPr="002F64A6">
        <w:rPr>
          <w:rFonts w:asciiTheme="majorBidi" w:hAnsiTheme="majorBidi" w:cstheme="majorBidi"/>
          <w:szCs w:val="24"/>
        </w:rPr>
        <w:t>Dear Ms. Sweatt,</w:t>
      </w:r>
    </w:p>
    <w:p w14:paraId="4EFFF6EE" w14:textId="77777777" w:rsidR="00ED710D" w:rsidRPr="002F64A6" w:rsidRDefault="00ED710D" w:rsidP="00ED710D">
      <w:pPr>
        <w:spacing w:after="0"/>
        <w:rPr>
          <w:rFonts w:asciiTheme="majorBidi" w:hAnsiTheme="majorBidi" w:cstheme="majorBidi"/>
          <w:szCs w:val="24"/>
        </w:rPr>
      </w:pPr>
    </w:p>
    <w:p w14:paraId="4CB0DB2E" w14:textId="043A496D" w:rsidR="00ED710D" w:rsidRPr="002F64A6" w:rsidRDefault="00ED710D" w:rsidP="00ED710D">
      <w:r w:rsidRPr="002F64A6">
        <w:t xml:space="preserve">Public Citizen, a consumer and health advocacy group </w:t>
      </w:r>
      <w:r w:rsidR="00FD3884" w:rsidRPr="002F64A6">
        <w:t xml:space="preserve">with </w:t>
      </w:r>
      <w:r w:rsidRPr="002F64A6">
        <w:t xml:space="preserve">more </w:t>
      </w:r>
      <w:r w:rsidR="00BD3AEC">
        <w:t>than</w:t>
      </w:r>
      <w:r w:rsidR="00A168E9">
        <w:t xml:space="preserve"> </w:t>
      </w:r>
      <w:r w:rsidRPr="002F64A6">
        <w:t>400,000 me</w:t>
      </w:r>
      <w:r w:rsidR="00FC38DA">
        <w:t>mbers and supporters nationwide,</w:t>
      </w:r>
      <w:r w:rsidRPr="002F64A6">
        <w:t xml:space="preserve"> </w:t>
      </w:r>
      <w:r w:rsidR="00677405">
        <w:t xml:space="preserve">Farmworker Justice, </w:t>
      </w:r>
      <w:r w:rsidR="00ED6BAD">
        <w:t>United Farm</w:t>
      </w:r>
      <w:r w:rsidR="0059453B">
        <w:t xml:space="preserve"> W</w:t>
      </w:r>
      <w:r w:rsidR="00ED6BAD">
        <w:t xml:space="preserve">orkers, </w:t>
      </w:r>
      <w:r w:rsidR="00545E17">
        <w:t>[tk add others]</w:t>
      </w:r>
      <w:r w:rsidR="00ED6BAD">
        <w:t>,</w:t>
      </w:r>
      <w:r w:rsidRPr="002F64A6">
        <w:t xml:space="preserve"> hereby petition the Occupational Safety and Health Administration (OSHA), pursuant to section 6(c) of the Occupational Safety and Health Act, 29 U.S.C. § 655(c), to initiate the rulemaking process for </w:t>
      </w:r>
      <w:r w:rsidR="003A282B" w:rsidRPr="002F64A6">
        <w:t xml:space="preserve">the first </w:t>
      </w:r>
      <w:r w:rsidR="005E7C0E">
        <w:t>federal</w:t>
      </w:r>
      <w:r w:rsidRPr="002F64A6">
        <w:t xml:space="preserve"> standard that would protect </w:t>
      </w:r>
      <w:r w:rsidR="00E52B46">
        <w:t xml:space="preserve">outdoor and indoor </w:t>
      </w:r>
      <w:r w:rsidRPr="002F64A6">
        <w:t>U.S. workers f</w:t>
      </w:r>
      <w:r w:rsidR="006141CD">
        <w:t xml:space="preserve">rom </w:t>
      </w:r>
      <w:r w:rsidR="008B474D">
        <w:t>occupational exposure to excessive heat</w:t>
      </w:r>
      <w:r w:rsidR="006141CD">
        <w:t>.</w:t>
      </w:r>
    </w:p>
    <w:p w14:paraId="37D561EE" w14:textId="6BBBB31D" w:rsidR="00ED710D" w:rsidRPr="002F64A6" w:rsidRDefault="00ED710D" w:rsidP="00E85712">
      <w:r w:rsidRPr="002F64A6">
        <w:t xml:space="preserve">It is now more than 47 years since </w:t>
      </w:r>
      <w:r w:rsidR="00446B0C">
        <w:t xml:space="preserve">the </w:t>
      </w:r>
      <w:r w:rsidRPr="002F64A6">
        <w:t>OSH</w:t>
      </w:r>
      <w:r w:rsidR="00446B0C">
        <w:t xml:space="preserve"> </w:t>
      </w:r>
      <w:r w:rsidRPr="002F64A6">
        <w:t>A</w:t>
      </w:r>
      <w:r w:rsidR="00446B0C">
        <w:t>ct</w:t>
      </w:r>
      <w:r w:rsidRPr="002F64A6">
        <w:t xml:space="preserve"> went into effect</w:t>
      </w:r>
      <w:r w:rsidR="00315A7B">
        <w:t>,</w:t>
      </w:r>
      <w:r w:rsidRPr="002F64A6">
        <w:t xml:space="preserve"> and </w:t>
      </w:r>
      <w:r w:rsidR="003A282B" w:rsidRPr="002F64A6">
        <w:t xml:space="preserve">three </w:t>
      </w:r>
      <w:r w:rsidRPr="002F64A6">
        <w:t>states with their own state OSHA plans</w:t>
      </w:r>
      <w:r w:rsidR="002030DC" w:rsidRPr="002F64A6">
        <w:t>—</w:t>
      </w:r>
      <w:r w:rsidRPr="002F64A6">
        <w:t>California, Washington and Minnesota</w:t>
      </w:r>
      <w:r w:rsidR="002030DC" w:rsidRPr="002F64A6">
        <w:t>—</w:t>
      </w:r>
      <w:r w:rsidRPr="002F64A6">
        <w:t xml:space="preserve">have </w:t>
      </w:r>
      <w:r w:rsidR="00C17D81">
        <w:t xml:space="preserve">subsequently </w:t>
      </w:r>
      <w:r w:rsidRPr="002F64A6">
        <w:t xml:space="preserve">implemented some form of protective heat standards for their workers. But </w:t>
      </w:r>
      <w:r w:rsidR="007B0784" w:rsidRPr="002F64A6">
        <w:t>approximately</w:t>
      </w:r>
      <w:r w:rsidRPr="002F64A6">
        <w:t xml:space="preserve"> </w:t>
      </w:r>
      <w:r w:rsidR="007B0784" w:rsidRPr="002F64A6">
        <w:t>130</w:t>
      </w:r>
      <w:r w:rsidRPr="002F64A6">
        <w:t xml:space="preserve"> million workers in the rest of the country</w:t>
      </w:r>
      <w:r w:rsidR="00F47E81" w:rsidRPr="002F64A6">
        <w:t xml:space="preserve"> </w:t>
      </w:r>
      <w:r w:rsidR="007F23DF">
        <w:t xml:space="preserve">lack the protections of </w:t>
      </w:r>
      <w:r w:rsidRPr="002F64A6">
        <w:t>a national OSHA heat standard.</w:t>
      </w:r>
      <w:r w:rsidR="00EB0067" w:rsidRPr="002F64A6">
        <w:t xml:space="preserve"> </w:t>
      </w:r>
      <w:r w:rsidR="006A5E35" w:rsidRPr="002F64A6">
        <w:t>The National Institute for Occupational Safety and Health (</w:t>
      </w:r>
      <w:r w:rsidR="00EB0067" w:rsidRPr="002F64A6">
        <w:t>NIOSH</w:t>
      </w:r>
      <w:r w:rsidR="006A5E35" w:rsidRPr="002F64A6">
        <w:t>)</w:t>
      </w:r>
      <w:r w:rsidR="00A426A0" w:rsidRPr="002F64A6">
        <w:t>, a component of the Centers for Disease Control and Prevention that provides research-based evidence to support OSHA</w:t>
      </w:r>
      <w:r w:rsidR="00DB23CF">
        <w:t>’</w:t>
      </w:r>
      <w:r w:rsidR="00A426A0" w:rsidRPr="002F64A6">
        <w:t>s regulatory mission,</w:t>
      </w:r>
      <w:r w:rsidR="00EB0067" w:rsidRPr="002F64A6">
        <w:t xml:space="preserve"> explain</w:t>
      </w:r>
      <w:r w:rsidR="00A426A0" w:rsidRPr="002F64A6">
        <w:t xml:space="preserve">ed </w:t>
      </w:r>
      <w:r w:rsidR="00EB0067" w:rsidRPr="002F64A6">
        <w:t>it is generally estimated that 2</w:t>
      </w:r>
      <w:r w:rsidR="00A426A0" w:rsidRPr="002F64A6">
        <w:t xml:space="preserve"> </w:t>
      </w:r>
      <w:r w:rsidR="00433B3C" w:rsidRPr="002F64A6">
        <w:t>in</w:t>
      </w:r>
      <w:r w:rsidR="00A426A0" w:rsidRPr="002F64A6">
        <w:t xml:space="preserve"> </w:t>
      </w:r>
      <w:r w:rsidR="00EB0067" w:rsidRPr="002F64A6">
        <w:t>1000 workers are at risk for heat stress.</w:t>
      </w:r>
      <w:r w:rsidR="00903A63" w:rsidRPr="002F64A6">
        <w:rPr>
          <w:rStyle w:val="FootnoteReference"/>
        </w:rPr>
        <w:footnoteReference w:id="1"/>
      </w:r>
      <w:r w:rsidR="00EB0067" w:rsidRPr="002F64A6">
        <w:t xml:space="preserve"> </w:t>
      </w:r>
      <w:r w:rsidR="00012E11" w:rsidRPr="002F64A6">
        <w:t xml:space="preserve">This suggests that approximately </w:t>
      </w:r>
      <w:r w:rsidR="007B0784" w:rsidRPr="002F64A6">
        <w:t>26</w:t>
      </w:r>
      <w:r w:rsidR="00A426A0" w:rsidRPr="002F64A6">
        <w:t>0</w:t>
      </w:r>
      <w:r w:rsidR="00012E11" w:rsidRPr="002F64A6">
        <w:t xml:space="preserve">,000 workers outside of California, Washington, and Minnesota are at risk </w:t>
      </w:r>
      <w:r w:rsidR="00E85712">
        <w:t xml:space="preserve">of heat-related illnesses and deaths </w:t>
      </w:r>
      <w:r w:rsidR="00012E11" w:rsidRPr="002F64A6">
        <w:t>with no standard in place to protect them.</w:t>
      </w:r>
    </w:p>
    <w:p w14:paraId="101AC8B9" w14:textId="3A16732F" w:rsidR="00ED710D" w:rsidRPr="002F64A6" w:rsidRDefault="00ED710D" w:rsidP="00ED710D">
      <w:r w:rsidRPr="002F64A6">
        <w:t>The proposed standard should include the following elements, based largely on NIOSH</w:t>
      </w:r>
      <w:r w:rsidR="00DB23CF">
        <w:t>’</w:t>
      </w:r>
      <w:r w:rsidRPr="002F64A6">
        <w:t xml:space="preserve">s latest </w:t>
      </w:r>
      <w:r w:rsidR="00C40816" w:rsidRPr="002F64A6">
        <w:t xml:space="preserve">(2016) </w:t>
      </w:r>
      <w:r w:rsidRPr="002F64A6">
        <w:t xml:space="preserve">iteration of its </w:t>
      </w:r>
      <w:r w:rsidR="00861B97" w:rsidRPr="002F64A6">
        <w:t>c</w:t>
      </w:r>
      <w:r w:rsidRPr="002F64A6">
        <w:t xml:space="preserve">riteria for a </w:t>
      </w:r>
      <w:r w:rsidR="00861B97" w:rsidRPr="002F64A6">
        <w:t>r</w:t>
      </w:r>
      <w:r w:rsidRPr="002F64A6">
        <w:t xml:space="preserve">ecommended </w:t>
      </w:r>
      <w:r w:rsidR="00861B97" w:rsidRPr="002F64A6">
        <w:t>s</w:t>
      </w:r>
      <w:r w:rsidRPr="002F64A6">
        <w:t xml:space="preserve">tandard for </w:t>
      </w:r>
      <w:r w:rsidR="00861B97" w:rsidRPr="002F64A6">
        <w:t>occupational exposure to heat and hot environments</w:t>
      </w:r>
      <w:r w:rsidRPr="002F64A6">
        <w:t>:</w:t>
      </w:r>
      <w:r w:rsidRPr="002F64A6">
        <w:rPr>
          <w:rStyle w:val="FootnoteReference"/>
          <w:rFonts w:asciiTheme="majorBidi" w:hAnsiTheme="majorBidi" w:cstheme="majorBidi"/>
          <w:szCs w:val="24"/>
        </w:rPr>
        <w:footnoteReference w:id="2"/>
      </w:r>
    </w:p>
    <w:p w14:paraId="6E930BD7" w14:textId="621672AD" w:rsidR="00ED710D" w:rsidRPr="002F64A6" w:rsidRDefault="00ED710D" w:rsidP="00ED710D">
      <w:pPr>
        <w:pStyle w:val="Bullet1"/>
        <w:rPr>
          <w:b/>
          <w:u w:val="single"/>
        </w:rPr>
      </w:pPr>
      <w:r w:rsidRPr="002F64A6">
        <w:rPr>
          <w:b/>
          <w:u w:val="single"/>
        </w:rPr>
        <w:t>Heat stress thresholds</w:t>
      </w:r>
      <w:r w:rsidRPr="002F64A6">
        <w:t>: At NIOSH</w:t>
      </w:r>
      <w:r w:rsidR="00DB23CF">
        <w:t>’</w:t>
      </w:r>
      <w:r w:rsidRPr="002F64A6">
        <w:t>s Recommended Exposure Limit (REL) for acclimatized workers and Recommended Alert Limit (RAL) for unacclimatized workers, employers would be required to initiate robust protective measures. These include:</w:t>
      </w:r>
    </w:p>
    <w:p w14:paraId="1A3A1E82" w14:textId="59CD2D83" w:rsidR="00ED710D" w:rsidRPr="002F64A6" w:rsidRDefault="00ED710D" w:rsidP="00793780">
      <w:pPr>
        <w:pStyle w:val="Bullet2"/>
        <w:rPr>
          <w:b/>
          <w:u w:val="single"/>
        </w:rPr>
      </w:pPr>
      <w:r w:rsidRPr="002F64A6">
        <w:rPr>
          <w:b/>
          <w:u w:val="single"/>
        </w:rPr>
        <w:lastRenderedPageBreak/>
        <w:t>Mandatory rest breaks</w:t>
      </w:r>
      <w:r w:rsidRPr="002F64A6">
        <w:t xml:space="preserve">: </w:t>
      </w:r>
      <w:r w:rsidR="0099219E">
        <w:t xml:space="preserve">Rest breaks away from the hot environment </w:t>
      </w:r>
      <w:r w:rsidRPr="002F64A6">
        <w:t xml:space="preserve">should range in duration from 15 to 45 minutes per </w:t>
      </w:r>
      <w:r w:rsidRPr="008B36E0">
        <w:t xml:space="preserve">hour, </w:t>
      </w:r>
      <w:r w:rsidR="003A282B" w:rsidRPr="008B36E0">
        <w:t xml:space="preserve">depending on the </w:t>
      </w:r>
      <w:r w:rsidR="000D7F06" w:rsidRPr="008B36E0">
        <w:t xml:space="preserve">work-place </w:t>
      </w:r>
      <w:r w:rsidR="003A282B" w:rsidRPr="008B36E0">
        <w:t>temperature</w:t>
      </w:r>
      <w:r w:rsidR="00BC3880">
        <w:t xml:space="preserve"> and worker activity level</w:t>
      </w:r>
      <w:r w:rsidR="004C6CBF">
        <w:t xml:space="preserve"> (see </w:t>
      </w:r>
      <w:r w:rsidR="00C871BC">
        <w:fldChar w:fldCharType="begin"/>
      </w:r>
      <w:r w:rsidR="00C871BC">
        <w:instrText xml:space="preserve"> REF _Ref514855699 \h </w:instrText>
      </w:r>
      <w:r w:rsidR="00C871BC">
        <w:fldChar w:fldCharType="separate"/>
      </w:r>
      <w:r w:rsidR="00E35FAB" w:rsidRPr="002F64A6">
        <w:t xml:space="preserve">Table </w:t>
      </w:r>
      <w:r w:rsidR="00E35FAB">
        <w:rPr>
          <w:noProof/>
        </w:rPr>
        <w:t>8</w:t>
      </w:r>
      <w:r w:rsidR="00C871BC">
        <w:fldChar w:fldCharType="end"/>
      </w:r>
      <w:r w:rsidR="00C871BC">
        <w:t xml:space="preserve"> </w:t>
      </w:r>
      <w:r w:rsidR="004C6CBF">
        <w:t>and</w:t>
      </w:r>
      <w:r w:rsidR="00C871BC">
        <w:t xml:space="preserve"> Figures</w:t>
      </w:r>
      <w:r w:rsidR="004C6CBF">
        <w:t xml:space="preserve"> </w:t>
      </w:r>
      <w:r w:rsidR="00C871BC" w:rsidRPr="00C871BC">
        <w:fldChar w:fldCharType="begin"/>
      </w:r>
      <w:r w:rsidR="00C871BC" w:rsidRPr="00C871BC">
        <w:instrText xml:space="preserve"> REF _Ref514579409 \h  \* MERGEFORMAT </w:instrText>
      </w:r>
      <w:r w:rsidR="00C871BC" w:rsidRPr="00C871BC">
        <w:fldChar w:fldCharType="separate"/>
      </w:r>
      <w:r w:rsidR="00E35FAB" w:rsidRPr="00E35FAB">
        <w:rPr>
          <w:noProof/>
        </w:rPr>
        <w:t>Figure</w:t>
      </w:r>
      <w:r w:rsidR="00E35FAB" w:rsidRPr="002F64A6">
        <w:rPr>
          <w:b/>
        </w:rPr>
        <w:t xml:space="preserve"> </w:t>
      </w:r>
      <w:r w:rsidR="00E35FAB">
        <w:rPr>
          <w:b/>
          <w:noProof/>
        </w:rPr>
        <w:t>5</w:t>
      </w:r>
      <w:r w:rsidR="00C871BC" w:rsidRPr="00C871BC">
        <w:fldChar w:fldCharType="end"/>
      </w:r>
      <w:r w:rsidR="00C871BC" w:rsidRPr="00C871BC">
        <w:t xml:space="preserve"> and </w:t>
      </w:r>
      <w:r w:rsidR="00C871BC" w:rsidRPr="00C871BC">
        <w:fldChar w:fldCharType="begin"/>
      </w:r>
      <w:r w:rsidR="00C871BC" w:rsidRPr="00C871BC">
        <w:instrText xml:space="preserve"> REF _Ref514579447 \h  \* MERGEFORMAT </w:instrText>
      </w:r>
      <w:r w:rsidR="00C871BC" w:rsidRPr="00C871BC">
        <w:fldChar w:fldCharType="separate"/>
      </w:r>
      <w:r w:rsidR="00E35FAB" w:rsidRPr="00E35FAB">
        <w:rPr>
          <w:noProof/>
        </w:rPr>
        <w:t>Figure</w:t>
      </w:r>
      <w:r w:rsidR="00E35FAB" w:rsidRPr="002F64A6">
        <w:rPr>
          <w:b/>
        </w:rPr>
        <w:t xml:space="preserve"> </w:t>
      </w:r>
      <w:r w:rsidR="00E35FAB">
        <w:rPr>
          <w:b/>
          <w:noProof/>
        </w:rPr>
        <w:t>6</w:t>
      </w:r>
      <w:r w:rsidR="00C871BC" w:rsidRPr="00C871BC">
        <w:fldChar w:fldCharType="end"/>
      </w:r>
      <w:r w:rsidR="00C871BC">
        <w:t>)</w:t>
      </w:r>
      <w:r w:rsidR="00145EA3">
        <w:t xml:space="preserve">. At certain wet </w:t>
      </w:r>
      <w:r w:rsidRPr="002F64A6">
        <w:t>bulb globe temperatures,</w:t>
      </w:r>
      <w:r w:rsidR="00660EC0">
        <w:rPr>
          <w:rStyle w:val="FootnoteReference"/>
        </w:rPr>
        <w:footnoteReference w:id="3"/>
      </w:r>
      <w:r w:rsidRPr="002F64A6">
        <w:t xml:space="preserve"> work must be stopped entirely.</w:t>
      </w:r>
    </w:p>
    <w:p w14:paraId="42B12E2E" w14:textId="4FA3EC99" w:rsidR="00ED710D" w:rsidRPr="002F64A6" w:rsidRDefault="000D7F06" w:rsidP="00ED710D">
      <w:pPr>
        <w:pStyle w:val="Bullet2"/>
        <w:rPr>
          <w:b/>
          <w:u w:val="single"/>
        </w:rPr>
      </w:pPr>
      <w:r w:rsidRPr="002F64A6">
        <w:rPr>
          <w:b/>
          <w:u w:val="single"/>
        </w:rPr>
        <w:t>Personal protective equipment (</w:t>
      </w:r>
      <w:r w:rsidR="00ED710D" w:rsidRPr="002F64A6">
        <w:rPr>
          <w:b/>
          <w:u w:val="single"/>
        </w:rPr>
        <w:t>PPE</w:t>
      </w:r>
      <w:r w:rsidRPr="002F64A6">
        <w:rPr>
          <w:b/>
          <w:u w:val="single"/>
        </w:rPr>
        <w:t>)</w:t>
      </w:r>
      <w:r w:rsidR="00ED710D" w:rsidRPr="002F64A6">
        <w:t>: At all times when total heat stress load reaches the RAL</w:t>
      </w:r>
      <w:r w:rsidRPr="002F64A6">
        <w:t xml:space="preserve"> </w:t>
      </w:r>
      <w:r w:rsidR="00C40816" w:rsidRPr="002F64A6">
        <w:t xml:space="preserve">or </w:t>
      </w:r>
      <w:r w:rsidR="00ED710D" w:rsidRPr="002F64A6">
        <w:t>REL, employers must provide PPE (e.g., water-cooled garments, air-cooled garments, or cooling vests) to protect workers from heat-related illness.</w:t>
      </w:r>
    </w:p>
    <w:p w14:paraId="22456318" w14:textId="5EF788C3" w:rsidR="00ED710D" w:rsidRPr="002F64A6" w:rsidRDefault="000021E8" w:rsidP="00ED710D">
      <w:pPr>
        <w:pStyle w:val="Bullet2"/>
        <w:rPr>
          <w:b/>
          <w:u w:val="single"/>
        </w:rPr>
      </w:pPr>
      <w:r w:rsidRPr="002F64A6">
        <w:rPr>
          <w:b/>
          <w:u w:val="single"/>
        </w:rPr>
        <w:t>S</w:t>
      </w:r>
      <w:r w:rsidR="00ED710D" w:rsidRPr="002F64A6">
        <w:rPr>
          <w:b/>
          <w:u w:val="single"/>
        </w:rPr>
        <w:t>hade</w:t>
      </w:r>
      <w:r w:rsidR="00ED710D" w:rsidRPr="002F64A6">
        <w:t>: In outdoor environments, employers must provide access to sufficient areas of shade during the rest breaks.</w:t>
      </w:r>
    </w:p>
    <w:p w14:paraId="5AF75507" w14:textId="1AFE5959" w:rsidR="00ED710D" w:rsidRPr="002F64A6" w:rsidRDefault="00ED710D" w:rsidP="00ED710D">
      <w:pPr>
        <w:pStyle w:val="Bullet1"/>
        <w:rPr>
          <w:b/>
          <w:u w:val="single"/>
        </w:rPr>
      </w:pPr>
      <w:r w:rsidRPr="002F64A6">
        <w:rPr>
          <w:b/>
          <w:u w:val="single"/>
        </w:rPr>
        <w:t>Hydration</w:t>
      </w:r>
      <w:r w:rsidRPr="002F64A6">
        <w:rPr>
          <w:b/>
        </w:rPr>
        <w:t>:</w:t>
      </w:r>
      <w:r w:rsidRPr="002F64A6">
        <w:t xml:space="preserve"> Workers must be given access</w:t>
      </w:r>
      <w:r w:rsidR="00855616">
        <w:t xml:space="preserve">, </w:t>
      </w:r>
      <w:r w:rsidRPr="002F64A6">
        <w:t>at no cost to themselves</w:t>
      </w:r>
      <w:r w:rsidR="00855616">
        <w:t xml:space="preserve">, </w:t>
      </w:r>
      <w:r w:rsidR="001177D0">
        <w:t xml:space="preserve">to water in quantities </w:t>
      </w:r>
      <w:r w:rsidRPr="002F64A6">
        <w:t>sufficient to maintain adequate levels of hydration at varying levels of heat</w:t>
      </w:r>
      <w:r w:rsidR="00FB62F3">
        <w:t xml:space="preserve"> (</w:t>
      </w:r>
      <w:r w:rsidR="00C57A3F">
        <w:t xml:space="preserve">the </w:t>
      </w:r>
      <w:r w:rsidR="008B11C8">
        <w:t>ba</w:t>
      </w:r>
      <w:r w:rsidR="005D111E">
        <w:t>s</w:t>
      </w:r>
      <w:r w:rsidR="008B11C8">
        <w:t>e</w:t>
      </w:r>
      <w:r w:rsidR="005D111E">
        <w:t>line</w:t>
      </w:r>
      <w:r w:rsidR="008B11C8">
        <w:t xml:space="preserve"> is</w:t>
      </w:r>
      <w:r w:rsidR="005D111E">
        <w:t xml:space="preserve"> </w:t>
      </w:r>
      <w:r w:rsidR="001177D0">
        <w:t>one cup of cool water per 15 to 20 minutes</w:t>
      </w:r>
      <w:r w:rsidR="00FB62F3">
        <w:t>)</w:t>
      </w:r>
      <w:r w:rsidR="001177D0">
        <w:t xml:space="preserve">, </w:t>
      </w:r>
      <w:r w:rsidR="003F4AD4">
        <w:t>as well as</w:t>
      </w:r>
      <w:r w:rsidR="001177D0">
        <w:t xml:space="preserve"> </w:t>
      </w:r>
      <w:r w:rsidR="001177D0" w:rsidRPr="002F64A6">
        <w:t xml:space="preserve">electrolytes </w:t>
      </w:r>
      <w:r w:rsidR="001177D0">
        <w:t xml:space="preserve">if </w:t>
      </w:r>
      <w:r w:rsidR="00F254A8">
        <w:t xml:space="preserve">workers </w:t>
      </w:r>
      <w:r w:rsidR="003D60FC">
        <w:t xml:space="preserve">are </w:t>
      </w:r>
      <w:r w:rsidR="001177D0">
        <w:t>sweating</w:t>
      </w:r>
      <w:r w:rsidR="00FB62F3">
        <w:t xml:space="preserve"> for more than two hours</w:t>
      </w:r>
      <w:r w:rsidRPr="002F64A6">
        <w:t>.</w:t>
      </w:r>
    </w:p>
    <w:p w14:paraId="5D85C80E" w14:textId="18922E77" w:rsidR="00ED710D" w:rsidRPr="002F64A6" w:rsidRDefault="00ED710D" w:rsidP="00ED710D">
      <w:pPr>
        <w:pStyle w:val="Bullet1"/>
      </w:pPr>
      <w:r w:rsidRPr="002F64A6">
        <w:rPr>
          <w:b/>
          <w:u w:val="single"/>
        </w:rPr>
        <w:t>Heat acclimatization plan</w:t>
      </w:r>
      <w:r w:rsidRPr="002F64A6">
        <w:rPr>
          <w:b/>
        </w:rPr>
        <w:t>:</w:t>
      </w:r>
      <w:r w:rsidRPr="002F64A6">
        <w:t xml:space="preserve"> All workers beginning work in high-heat environments, or who will be working in hotter conditions than usual (e.g., during a heat wave), must be gradually acclimatized to the work over a period of at least 7</w:t>
      </w:r>
      <w:r w:rsidR="002C23A1">
        <w:t>–</w:t>
      </w:r>
      <w:r w:rsidRPr="002F64A6">
        <w:t>14 days.</w:t>
      </w:r>
    </w:p>
    <w:p w14:paraId="7058AB1B" w14:textId="651E4874" w:rsidR="00ED710D" w:rsidRPr="002F64A6" w:rsidRDefault="00ED710D" w:rsidP="00ED710D">
      <w:pPr>
        <w:pStyle w:val="Bullet1"/>
        <w:rPr>
          <w:b/>
          <w:u w:val="single"/>
        </w:rPr>
      </w:pPr>
      <w:r w:rsidRPr="002F64A6">
        <w:rPr>
          <w:b/>
          <w:u w:val="single"/>
        </w:rPr>
        <w:t>Exposure monitoring</w:t>
      </w:r>
      <w:r w:rsidRPr="002F64A6">
        <w:rPr>
          <w:b/>
        </w:rPr>
        <w:t>:</w:t>
      </w:r>
      <w:r w:rsidRPr="002F64A6">
        <w:t xml:space="preserve"> Employers must monitor both environmental heat exposure and employee workloads to ensure that no worker is exposed to heat stress at or above the RAL/REL.</w:t>
      </w:r>
    </w:p>
    <w:p w14:paraId="14A92BD7" w14:textId="77777777" w:rsidR="00ED710D" w:rsidRPr="002F64A6" w:rsidRDefault="00ED710D" w:rsidP="00ED710D">
      <w:pPr>
        <w:pStyle w:val="Bullet1"/>
      </w:pPr>
      <w:r w:rsidRPr="002F64A6">
        <w:rPr>
          <w:b/>
          <w:u w:val="single"/>
        </w:rPr>
        <w:t>Medical monitoring</w:t>
      </w:r>
      <w:r w:rsidRPr="002F64A6">
        <w:rPr>
          <w:b/>
        </w:rPr>
        <w:t>:</w:t>
      </w:r>
      <w:r w:rsidRPr="002F64A6">
        <w:t xml:space="preserve"> Employers must institute a medical monitoring program for all workers who are or may be exposed to heat stress at or above the RAL/REL. </w:t>
      </w:r>
    </w:p>
    <w:p w14:paraId="3903827D" w14:textId="1FA21BA1" w:rsidR="00ED710D" w:rsidRPr="002F64A6" w:rsidRDefault="00ED710D" w:rsidP="00ED710D">
      <w:pPr>
        <w:pStyle w:val="Bullet1"/>
      </w:pPr>
      <w:r w:rsidRPr="002F64A6">
        <w:rPr>
          <w:b/>
          <w:u w:val="single"/>
        </w:rPr>
        <w:t>Hazard notification</w:t>
      </w:r>
      <w:r w:rsidRPr="002F64A6">
        <w:rPr>
          <w:b/>
        </w:rPr>
        <w:t>:</w:t>
      </w:r>
      <w:r w:rsidRPr="002F64A6">
        <w:t xml:space="preserve"> Employers must post prominent signs, in languages</w:t>
      </w:r>
      <w:r w:rsidR="00515A26">
        <w:t xml:space="preserve"> their workers understand</w:t>
      </w:r>
      <w:r w:rsidRPr="002F64A6">
        <w:t>, in high-heat areas warning of the dangers of heat stress.</w:t>
      </w:r>
    </w:p>
    <w:p w14:paraId="56B1D5C4" w14:textId="69705174" w:rsidR="00ED710D" w:rsidRPr="002F64A6" w:rsidRDefault="00ED710D" w:rsidP="00ED710D">
      <w:pPr>
        <w:pStyle w:val="Bullet1"/>
      </w:pPr>
      <w:r w:rsidRPr="002F64A6">
        <w:rPr>
          <w:b/>
          <w:u w:val="single"/>
        </w:rPr>
        <w:t>Heat Alert Program</w:t>
      </w:r>
      <w:r w:rsidRPr="002F64A6">
        <w:rPr>
          <w:b/>
        </w:rPr>
        <w:t xml:space="preserve">: </w:t>
      </w:r>
      <w:r w:rsidRPr="002F64A6">
        <w:t xml:space="preserve">Employers must develop a written Heat Alert Program to be implemented whenever the National Weather Service or other authoritative weather service </w:t>
      </w:r>
      <w:r w:rsidR="00582247">
        <w:t xml:space="preserve">forecasts a </w:t>
      </w:r>
      <w:r w:rsidR="00EB2A94">
        <w:t xml:space="preserve">heat </w:t>
      </w:r>
      <w:r w:rsidR="00582247">
        <w:t xml:space="preserve">wave </w:t>
      </w:r>
      <w:r w:rsidR="00EB2A94">
        <w:t xml:space="preserve">for </w:t>
      </w:r>
      <w:r w:rsidRPr="002F64A6">
        <w:t>the coming day or days</w:t>
      </w:r>
      <w:r w:rsidR="002C3D29">
        <w:t xml:space="preserve"> in order to help improve worker awareness and preparedness</w:t>
      </w:r>
      <w:r w:rsidRPr="002F64A6">
        <w:t>.</w:t>
      </w:r>
    </w:p>
    <w:p w14:paraId="7F62B0AB" w14:textId="42B117AD" w:rsidR="00ED710D" w:rsidRPr="002F64A6" w:rsidRDefault="00ED710D" w:rsidP="00ED710D">
      <w:pPr>
        <w:pStyle w:val="Bullet1"/>
      </w:pPr>
      <w:r w:rsidRPr="002F64A6">
        <w:rPr>
          <w:b/>
          <w:u w:val="single"/>
        </w:rPr>
        <w:t>Worker information and training</w:t>
      </w:r>
      <w:r w:rsidRPr="002F64A6">
        <w:rPr>
          <w:b/>
        </w:rPr>
        <w:t>:</w:t>
      </w:r>
      <w:r w:rsidRPr="002F64A6">
        <w:t xml:space="preserve"> All workers and supervisors who work in areas where there is a reasonable likelihood of heat </w:t>
      </w:r>
      <w:r w:rsidR="0026530B">
        <w:t xml:space="preserve">illness </w:t>
      </w:r>
      <w:r w:rsidRPr="002F64A6">
        <w:t>must be trained on measures to prevent and mitigate the risk. A written training program must be developed to serve as the basis for this training.</w:t>
      </w:r>
    </w:p>
    <w:p w14:paraId="0F0659CE" w14:textId="7EF05C2C" w:rsidR="00FF0510" w:rsidRPr="002F64A6" w:rsidRDefault="00ED710D" w:rsidP="00FF0510">
      <w:pPr>
        <w:pStyle w:val="Bullet1"/>
      </w:pPr>
      <w:r w:rsidRPr="002F64A6">
        <w:rPr>
          <w:b/>
          <w:u w:val="single"/>
        </w:rPr>
        <w:lastRenderedPageBreak/>
        <w:t>Heat-related surveillance and recordkeeping:</w:t>
      </w:r>
      <w:r w:rsidRPr="002F64A6">
        <w:t xml:space="preserve"> Employers should proactively obtain and analyze data on all heat-related injuries and deaths, environmental and physiological measurements related to heat, and other heat-related information. This information, in addition to medical monitoring data, acclimatization plans, and other key information related to the recommended heat stress standard should be recorded</w:t>
      </w:r>
      <w:r w:rsidR="00E67732">
        <w:t>, reported electronically to OSHA,</w:t>
      </w:r>
      <w:r w:rsidRPr="002F64A6">
        <w:t xml:space="preserve"> and made available to </w:t>
      </w:r>
      <w:r w:rsidR="00C912A7">
        <w:t>workers and their representatives</w:t>
      </w:r>
      <w:r w:rsidRPr="002F64A6">
        <w:t>.</w:t>
      </w:r>
    </w:p>
    <w:p w14:paraId="699BD711" w14:textId="6E4FB771" w:rsidR="00FF0510" w:rsidRPr="002F64A6" w:rsidRDefault="00FF0510" w:rsidP="00FF0510">
      <w:pPr>
        <w:pStyle w:val="Bullet1"/>
      </w:pPr>
      <w:r w:rsidRPr="002F64A6">
        <w:rPr>
          <w:b/>
          <w:u w:val="single"/>
        </w:rPr>
        <w:t>Whistleblower protection</w:t>
      </w:r>
      <w:r w:rsidR="002C3D2B">
        <w:rPr>
          <w:b/>
          <w:u w:val="single"/>
        </w:rPr>
        <w:t>s</w:t>
      </w:r>
      <w:r w:rsidRPr="002F64A6">
        <w:rPr>
          <w:b/>
          <w:u w:val="single"/>
        </w:rPr>
        <w:t>:</w:t>
      </w:r>
      <w:r w:rsidRPr="002F64A6">
        <w:t xml:space="preserve"> </w:t>
      </w:r>
      <w:r w:rsidR="00B25A21" w:rsidRPr="002F64A6">
        <w:t xml:space="preserve">Each employer must institute an independent whistleblower protection program for </w:t>
      </w:r>
      <w:r w:rsidR="0021150F" w:rsidRPr="002F64A6">
        <w:t>employees</w:t>
      </w:r>
      <w:r w:rsidR="00B25A21" w:rsidRPr="002F64A6">
        <w:t xml:space="preserve"> and supervisors to report violations of the heat stress standard. OSHA should provide criteria or model </w:t>
      </w:r>
      <w:r w:rsidR="000C3EC6" w:rsidRPr="002F64A6">
        <w:t xml:space="preserve">language </w:t>
      </w:r>
      <w:r w:rsidR="00B25A21" w:rsidRPr="002F64A6">
        <w:t>to serve as the basis for the whistleblower protection programs.</w:t>
      </w:r>
    </w:p>
    <w:p w14:paraId="0155746C" w14:textId="77777777" w:rsidR="00293662" w:rsidRPr="002F64A6" w:rsidRDefault="00293662" w:rsidP="000021C0">
      <w:pPr>
        <w:pStyle w:val="Bullet1"/>
        <w:numPr>
          <w:ilvl w:val="0"/>
          <w:numId w:val="0"/>
        </w:numPr>
        <w:ind w:left="720" w:hanging="360"/>
      </w:pPr>
    </w:p>
    <w:p w14:paraId="40A6BEE3" w14:textId="7FEAA5A5" w:rsidR="00D04525" w:rsidRPr="002F64A6" w:rsidRDefault="00D04525" w:rsidP="00D04525">
      <w:pPr>
        <w:jc w:val="center"/>
        <w:rPr>
          <w:b/>
        </w:rPr>
      </w:pPr>
      <w:r w:rsidRPr="002F64A6">
        <w:rPr>
          <w:b/>
        </w:rPr>
        <w:t>Contents</w:t>
      </w:r>
    </w:p>
    <w:p w14:paraId="7F836E95" w14:textId="77777777" w:rsidR="00150986" w:rsidRDefault="00BD175B">
      <w:pPr>
        <w:pStyle w:val="TOC1"/>
        <w:rPr>
          <w:rFonts w:asciiTheme="minorHAnsi" w:eastAsiaTheme="minorEastAsia" w:hAnsiTheme="minorHAnsi" w:cstheme="minorBidi"/>
          <w:noProof/>
          <w:sz w:val="22"/>
        </w:rPr>
      </w:pPr>
      <w:r w:rsidRPr="002F64A6">
        <w:rPr>
          <w:bCs/>
        </w:rPr>
        <w:fldChar w:fldCharType="begin"/>
      </w:r>
      <w:r w:rsidRPr="002F64A6">
        <w:rPr>
          <w:bCs/>
        </w:rPr>
        <w:instrText xml:space="preserve"> TOC \o "1-3" \h \z \u </w:instrText>
      </w:r>
      <w:r w:rsidRPr="002F64A6">
        <w:rPr>
          <w:bCs/>
        </w:rPr>
        <w:fldChar w:fldCharType="separate"/>
      </w:r>
      <w:hyperlink w:anchor="_Toc518979482" w:history="1">
        <w:r w:rsidR="00150986" w:rsidRPr="00944D6D">
          <w:rPr>
            <w:rStyle w:val="Hyperlink"/>
            <w:bCs/>
            <w:noProof/>
          </w:rPr>
          <w:t>I.</w:t>
        </w:r>
        <w:r w:rsidR="00150986">
          <w:rPr>
            <w:rFonts w:asciiTheme="minorHAnsi" w:eastAsiaTheme="minorEastAsia" w:hAnsiTheme="minorHAnsi" w:cstheme="minorBidi"/>
            <w:noProof/>
            <w:sz w:val="22"/>
          </w:rPr>
          <w:tab/>
        </w:r>
        <w:r w:rsidR="00150986" w:rsidRPr="00944D6D">
          <w:rPr>
            <w:rStyle w:val="Hyperlink"/>
            <w:noProof/>
          </w:rPr>
          <w:t>Background</w:t>
        </w:r>
        <w:r w:rsidR="00150986">
          <w:rPr>
            <w:noProof/>
            <w:webHidden/>
          </w:rPr>
          <w:tab/>
        </w:r>
        <w:r w:rsidR="00150986">
          <w:rPr>
            <w:noProof/>
            <w:webHidden/>
          </w:rPr>
          <w:fldChar w:fldCharType="begin"/>
        </w:r>
        <w:r w:rsidR="00150986">
          <w:rPr>
            <w:noProof/>
            <w:webHidden/>
          </w:rPr>
          <w:instrText xml:space="preserve"> PAGEREF _Toc518979482 \h </w:instrText>
        </w:r>
        <w:r w:rsidR="00150986">
          <w:rPr>
            <w:noProof/>
            <w:webHidden/>
          </w:rPr>
        </w:r>
        <w:r w:rsidR="00150986">
          <w:rPr>
            <w:noProof/>
            <w:webHidden/>
          </w:rPr>
          <w:fldChar w:fldCharType="separate"/>
        </w:r>
        <w:r w:rsidR="00150986">
          <w:rPr>
            <w:noProof/>
            <w:webHidden/>
          </w:rPr>
          <w:t>4</w:t>
        </w:r>
        <w:r w:rsidR="00150986">
          <w:rPr>
            <w:noProof/>
            <w:webHidden/>
          </w:rPr>
          <w:fldChar w:fldCharType="end"/>
        </w:r>
      </w:hyperlink>
    </w:p>
    <w:p w14:paraId="70364529" w14:textId="77777777" w:rsidR="00150986" w:rsidRDefault="00150986">
      <w:pPr>
        <w:pStyle w:val="TOC1"/>
        <w:rPr>
          <w:rFonts w:asciiTheme="minorHAnsi" w:eastAsiaTheme="minorEastAsia" w:hAnsiTheme="minorHAnsi" w:cstheme="minorBidi"/>
          <w:noProof/>
          <w:sz w:val="22"/>
        </w:rPr>
      </w:pPr>
      <w:hyperlink w:anchor="_Toc518979483" w:history="1">
        <w:r w:rsidRPr="00944D6D">
          <w:rPr>
            <w:rStyle w:val="Hyperlink"/>
            <w:noProof/>
          </w:rPr>
          <w:t>II.</w:t>
        </w:r>
        <w:r>
          <w:rPr>
            <w:rFonts w:asciiTheme="minorHAnsi" w:eastAsiaTheme="minorEastAsia" w:hAnsiTheme="minorHAnsi" w:cstheme="minorBidi"/>
            <w:noProof/>
            <w:sz w:val="22"/>
          </w:rPr>
          <w:tab/>
        </w:r>
        <w:r w:rsidRPr="00944D6D">
          <w:rPr>
            <w:rStyle w:val="Hyperlink"/>
            <w:noProof/>
          </w:rPr>
          <w:t>Health effects of excessive heat exposure</w:t>
        </w:r>
        <w:r>
          <w:rPr>
            <w:noProof/>
            <w:webHidden/>
          </w:rPr>
          <w:tab/>
        </w:r>
        <w:r>
          <w:rPr>
            <w:noProof/>
            <w:webHidden/>
          </w:rPr>
          <w:fldChar w:fldCharType="begin"/>
        </w:r>
        <w:r>
          <w:rPr>
            <w:noProof/>
            <w:webHidden/>
          </w:rPr>
          <w:instrText xml:space="preserve"> PAGEREF _Toc518979483 \h </w:instrText>
        </w:r>
        <w:r>
          <w:rPr>
            <w:noProof/>
            <w:webHidden/>
          </w:rPr>
        </w:r>
        <w:r>
          <w:rPr>
            <w:noProof/>
            <w:webHidden/>
          </w:rPr>
          <w:fldChar w:fldCharType="separate"/>
        </w:r>
        <w:r>
          <w:rPr>
            <w:noProof/>
            <w:webHidden/>
          </w:rPr>
          <w:t>5</w:t>
        </w:r>
        <w:r>
          <w:rPr>
            <w:noProof/>
            <w:webHidden/>
          </w:rPr>
          <w:fldChar w:fldCharType="end"/>
        </w:r>
      </w:hyperlink>
    </w:p>
    <w:p w14:paraId="6D08199F" w14:textId="77777777" w:rsidR="00150986" w:rsidRDefault="00150986">
      <w:pPr>
        <w:pStyle w:val="TOC2"/>
        <w:rPr>
          <w:rFonts w:asciiTheme="minorHAnsi" w:eastAsiaTheme="minorEastAsia" w:hAnsiTheme="minorHAnsi" w:cstheme="minorBidi"/>
          <w:noProof/>
          <w:sz w:val="22"/>
        </w:rPr>
      </w:pPr>
      <w:hyperlink w:anchor="_Toc518979484" w:history="1">
        <w:r w:rsidRPr="00944D6D">
          <w:rPr>
            <w:rStyle w:val="Hyperlink"/>
            <w:noProof/>
          </w:rPr>
          <w:t>A.</w:t>
        </w:r>
        <w:r>
          <w:rPr>
            <w:rFonts w:asciiTheme="minorHAnsi" w:eastAsiaTheme="minorEastAsia" w:hAnsiTheme="minorHAnsi" w:cstheme="minorBidi"/>
            <w:noProof/>
            <w:sz w:val="22"/>
          </w:rPr>
          <w:tab/>
        </w:r>
        <w:r w:rsidRPr="00944D6D">
          <w:rPr>
            <w:rStyle w:val="Hyperlink"/>
            <w:noProof/>
          </w:rPr>
          <w:t>The body’s normal response to high heat levels: The crucial importance of the sweat response</w:t>
        </w:r>
        <w:r>
          <w:rPr>
            <w:noProof/>
            <w:webHidden/>
          </w:rPr>
          <w:tab/>
        </w:r>
        <w:r>
          <w:rPr>
            <w:noProof/>
            <w:webHidden/>
          </w:rPr>
          <w:fldChar w:fldCharType="begin"/>
        </w:r>
        <w:r>
          <w:rPr>
            <w:noProof/>
            <w:webHidden/>
          </w:rPr>
          <w:instrText xml:space="preserve"> PAGEREF _Toc518979484 \h </w:instrText>
        </w:r>
        <w:r>
          <w:rPr>
            <w:noProof/>
            <w:webHidden/>
          </w:rPr>
        </w:r>
        <w:r>
          <w:rPr>
            <w:noProof/>
            <w:webHidden/>
          </w:rPr>
          <w:fldChar w:fldCharType="separate"/>
        </w:r>
        <w:r>
          <w:rPr>
            <w:noProof/>
            <w:webHidden/>
          </w:rPr>
          <w:t>6</w:t>
        </w:r>
        <w:r>
          <w:rPr>
            <w:noProof/>
            <w:webHidden/>
          </w:rPr>
          <w:fldChar w:fldCharType="end"/>
        </w:r>
      </w:hyperlink>
    </w:p>
    <w:p w14:paraId="6ACBDFF8" w14:textId="77777777" w:rsidR="00150986" w:rsidRDefault="00150986">
      <w:pPr>
        <w:pStyle w:val="TOC2"/>
        <w:rPr>
          <w:rFonts w:asciiTheme="minorHAnsi" w:eastAsiaTheme="minorEastAsia" w:hAnsiTheme="minorHAnsi" w:cstheme="minorBidi"/>
          <w:noProof/>
          <w:sz w:val="22"/>
        </w:rPr>
      </w:pPr>
      <w:hyperlink w:anchor="_Toc518979485" w:history="1">
        <w:r w:rsidRPr="00944D6D">
          <w:rPr>
            <w:rStyle w:val="Hyperlink"/>
            <w:noProof/>
          </w:rPr>
          <w:t>B.</w:t>
        </w:r>
        <w:r>
          <w:rPr>
            <w:rFonts w:asciiTheme="minorHAnsi" w:eastAsiaTheme="minorEastAsia" w:hAnsiTheme="minorHAnsi" w:cstheme="minorBidi"/>
            <w:noProof/>
            <w:sz w:val="22"/>
          </w:rPr>
          <w:tab/>
        </w:r>
        <w:r w:rsidRPr="00944D6D">
          <w:rPr>
            <w:rStyle w:val="Hyperlink"/>
            <w:noProof/>
          </w:rPr>
          <w:t>Dehydration</w:t>
        </w:r>
        <w:r>
          <w:rPr>
            <w:noProof/>
            <w:webHidden/>
          </w:rPr>
          <w:tab/>
        </w:r>
        <w:r>
          <w:rPr>
            <w:noProof/>
            <w:webHidden/>
          </w:rPr>
          <w:fldChar w:fldCharType="begin"/>
        </w:r>
        <w:r>
          <w:rPr>
            <w:noProof/>
            <w:webHidden/>
          </w:rPr>
          <w:instrText xml:space="preserve"> PAGEREF _Toc518979485 \h </w:instrText>
        </w:r>
        <w:r>
          <w:rPr>
            <w:noProof/>
            <w:webHidden/>
          </w:rPr>
        </w:r>
        <w:r>
          <w:rPr>
            <w:noProof/>
            <w:webHidden/>
          </w:rPr>
          <w:fldChar w:fldCharType="separate"/>
        </w:r>
        <w:r>
          <w:rPr>
            <w:noProof/>
            <w:webHidden/>
          </w:rPr>
          <w:t>6</w:t>
        </w:r>
        <w:r>
          <w:rPr>
            <w:noProof/>
            <w:webHidden/>
          </w:rPr>
          <w:fldChar w:fldCharType="end"/>
        </w:r>
      </w:hyperlink>
    </w:p>
    <w:p w14:paraId="2A5C2CFF" w14:textId="77777777" w:rsidR="00150986" w:rsidRDefault="00150986">
      <w:pPr>
        <w:pStyle w:val="TOC2"/>
        <w:rPr>
          <w:rFonts w:asciiTheme="minorHAnsi" w:eastAsiaTheme="minorEastAsia" w:hAnsiTheme="minorHAnsi" w:cstheme="minorBidi"/>
          <w:noProof/>
          <w:sz w:val="22"/>
        </w:rPr>
      </w:pPr>
      <w:hyperlink w:anchor="_Toc518979486" w:history="1">
        <w:r w:rsidRPr="00944D6D">
          <w:rPr>
            <w:rStyle w:val="Hyperlink"/>
            <w:noProof/>
          </w:rPr>
          <w:t>C.</w:t>
        </w:r>
        <w:r>
          <w:rPr>
            <w:rFonts w:asciiTheme="minorHAnsi" w:eastAsiaTheme="minorEastAsia" w:hAnsiTheme="minorHAnsi" w:cstheme="minorBidi"/>
            <w:noProof/>
            <w:sz w:val="22"/>
          </w:rPr>
          <w:tab/>
        </w:r>
        <w:r w:rsidRPr="00944D6D">
          <w:rPr>
            <w:rStyle w:val="Hyperlink"/>
            <w:noProof/>
          </w:rPr>
          <w:t>Acclimatization</w:t>
        </w:r>
        <w:r>
          <w:rPr>
            <w:noProof/>
            <w:webHidden/>
          </w:rPr>
          <w:tab/>
        </w:r>
        <w:r>
          <w:rPr>
            <w:noProof/>
            <w:webHidden/>
          </w:rPr>
          <w:fldChar w:fldCharType="begin"/>
        </w:r>
        <w:r>
          <w:rPr>
            <w:noProof/>
            <w:webHidden/>
          </w:rPr>
          <w:instrText xml:space="preserve"> PAGEREF _Toc518979486 \h </w:instrText>
        </w:r>
        <w:r>
          <w:rPr>
            <w:noProof/>
            <w:webHidden/>
          </w:rPr>
        </w:r>
        <w:r>
          <w:rPr>
            <w:noProof/>
            <w:webHidden/>
          </w:rPr>
          <w:fldChar w:fldCharType="separate"/>
        </w:r>
        <w:r>
          <w:rPr>
            <w:noProof/>
            <w:webHidden/>
          </w:rPr>
          <w:t>7</w:t>
        </w:r>
        <w:r>
          <w:rPr>
            <w:noProof/>
            <w:webHidden/>
          </w:rPr>
          <w:fldChar w:fldCharType="end"/>
        </w:r>
      </w:hyperlink>
    </w:p>
    <w:p w14:paraId="2D370EE0" w14:textId="77777777" w:rsidR="00150986" w:rsidRDefault="00150986">
      <w:pPr>
        <w:pStyle w:val="TOC2"/>
        <w:rPr>
          <w:rFonts w:asciiTheme="minorHAnsi" w:eastAsiaTheme="minorEastAsia" w:hAnsiTheme="minorHAnsi" w:cstheme="minorBidi"/>
          <w:noProof/>
          <w:sz w:val="22"/>
        </w:rPr>
      </w:pPr>
      <w:hyperlink w:anchor="_Toc518979487" w:history="1">
        <w:r w:rsidRPr="00944D6D">
          <w:rPr>
            <w:rStyle w:val="Hyperlink"/>
            <w:rFonts w:eastAsiaTheme="minorHAnsi"/>
            <w:noProof/>
          </w:rPr>
          <w:t>D.</w:t>
        </w:r>
        <w:r>
          <w:rPr>
            <w:rFonts w:asciiTheme="minorHAnsi" w:eastAsiaTheme="minorEastAsia" w:hAnsiTheme="minorHAnsi" w:cstheme="minorBidi"/>
            <w:noProof/>
            <w:sz w:val="22"/>
          </w:rPr>
          <w:tab/>
        </w:r>
        <w:r w:rsidRPr="00944D6D">
          <w:rPr>
            <w:rStyle w:val="Hyperlink"/>
            <w:rFonts w:eastAsiaTheme="minorHAnsi"/>
            <w:noProof/>
          </w:rPr>
          <w:t>Acute heat-related illnesses</w:t>
        </w:r>
        <w:r>
          <w:rPr>
            <w:noProof/>
            <w:webHidden/>
          </w:rPr>
          <w:tab/>
        </w:r>
        <w:r>
          <w:rPr>
            <w:noProof/>
            <w:webHidden/>
          </w:rPr>
          <w:fldChar w:fldCharType="begin"/>
        </w:r>
        <w:r>
          <w:rPr>
            <w:noProof/>
            <w:webHidden/>
          </w:rPr>
          <w:instrText xml:space="preserve"> PAGEREF _Toc518979487 \h </w:instrText>
        </w:r>
        <w:r>
          <w:rPr>
            <w:noProof/>
            <w:webHidden/>
          </w:rPr>
        </w:r>
        <w:r>
          <w:rPr>
            <w:noProof/>
            <w:webHidden/>
          </w:rPr>
          <w:fldChar w:fldCharType="separate"/>
        </w:r>
        <w:r>
          <w:rPr>
            <w:noProof/>
            <w:webHidden/>
          </w:rPr>
          <w:t>7</w:t>
        </w:r>
        <w:r>
          <w:rPr>
            <w:noProof/>
            <w:webHidden/>
          </w:rPr>
          <w:fldChar w:fldCharType="end"/>
        </w:r>
      </w:hyperlink>
    </w:p>
    <w:p w14:paraId="344271DB" w14:textId="77777777" w:rsidR="00150986" w:rsidRDefault="00150986">
      <w:pPr>
        <w:pStyle w:val="TOC2"/>
        <w:rPr>
          <w:rFonts w:asciiTheme="minorHAnsi" w:eastAsiaTheme="minorEastAsia" w:hAnsiTheme="minorHAnsi" w:cstheme="minorBidi"/>
          <w:noProof/>
          <w:sz w:val="22"/>
        </w:rPr>
      </w:pPr>
      <w:hyperlink w:anchor="_Toc518979488" w:history="1">
        <w:r w:rsidRPr="00944D6D">
          <w:rPr>
            <w:rStyle w:val="Hyperlink"/>
            <w:rFonts w:eastAsiaTheme="minorHAnsi"/>
            <w:noProof/>
          </w:rPr>
          <w:t>E.</w:t>
        </w:r>
        <w:r>
          <w:rPr>
            <w:rFonts w:asciiTheme="minorHAnsi" w:eastAsiaTheme="minorEastAsia" w:hAnsiTheme="minorHAnsi" w:cstheme="minorBidi"/>
            <w:noProof/>
            <w:sz w:val="22"/>
          </w:rPr>
          <w:tab/>
        </w:r>
        <w:r w:rsidRPr="00944D6D">
          <w:rPr>
            <w:rStyle w:val="Hyperlink"/>
            <w:rFonts w:eastAsiaTheme="minorHAnsi"/>
            <w:noProof/>
          </w:rPr>
          <w:t>Chronic heat-related illnesses</w:t>
        </w:r>
        <w:r>
          <w:rPr>
            <w:noProof/>
            <w:webHidden/>
          </w:rPr>
          <w:tab/>
        </w:r>
        <w:r>
          <w:rPr>
            <w:noProof/>
            <w:webHidden/>
          </w:rPr>
          <w:fldChar w:fldCharType="begin"/>
        </w:r>
        <w:r>
          <w:rPr>
            <w:noProof/>
            <w:webHidden/>
          </w:rPr>
          <w:instrText xml:space="preserve"> PAGEREF _Toc518979488 \h </w:instrText>
        </w:r>
        <w:r>
          <w:rPr>
            <w:noProof/>
            <w:webHidden/>
          </w:rPr>
        </w:r>
        <w:r>
          <w:rPr>
            <w:noProof/>
            <w:webHidden/>
          </w:rPr>
          <w:fldChar w:fldCharType="separate"/>
        </w:r>
        <w:r>
          <w:rPr>
            <w:noProof/>
            <w:webHidden/>
          </w:rPr>
          <w:t>8</w:t>
        </w:r>
        <w:r>
          <w:rPr>
            <w:noProof/>
            <w:webHidden/>
          </w:rPr>
          <w:fldChar w:fldCharType="end"/>
        </w:r>
      </w:hyperlink>
    </w:p>
    <w:p w14:paraId="7416A729" w14:textId="77777777" w:rsidR="00150986" w:rsidRDefault="00150986">
      <w:pPr>
        <w:pStyle w:val="TOC1"/>
        <w:rPr>
          <w:rFonts w:asciiTheme="minorHAnsi" w:eastAsiaTheme="minorEastAsia" w:hAnsiTheme="minorHAnsi" w:cstheme="minorBidi"/>
          <w:noProof/>
          <w:sz w:val="22"/>
        </w:rPr>
      </w:pPr>
      <w:hyperlink w:anchor="_Toc518979489" w:history="1">
        <w:r w:rsidRPr="00944D6D">
          <w:rPr>
            <w:rStyle w:val="Hyperlink"/>
            <w:noProof/>
          </w:rPr>
          <w:t>III.</w:t>
        </w:r>
        <w:r>
          <w:rPr>
            <w:rFonts w:asciiTheme="minorHAnsi" w:eastAsiaTheme="minorEastAsia" w:hAnsiTheme="minorHAnsi" w:cstheme="minorBidi"/>
            <w:noProof/>
            <w:sz w:val="22"/>
          </w:rPr>
          <w:tab/>
        </w:r>
        <w:r w:rsidRPr="00944D6D">
          <w:rPr>
            <w:rStyle w:val="Hyperlink"/>
            <w:noProof/>
          </w:rPr>
          <w:t>The prevalence and preventability of heat-related illness</w:t>
        </w:r>
        <w:r>
          <w:rPr>
            <w:noProof/>
            <w:webHidden/>
          </w:rPr>
          <w:tab/>
        </w:r>
        <w:r>
          <w:rPr>
            <w:noProof/>
            <w:webHidden/>
          </w:rPr>
          <w:fldChar w:fldCharType="begin"/>
        </w:r>
        <w:r>
          <w:rPr>
            <w:noProof/>
            <w:webHidden/>
          </w:rPr>
          <w:instrText xml:space="preserve"> PAGEREF _Toc518979489 \h </w:instrText>
        </w:r>
        <w:r>
          <w:rPr>
            <w:noProof/>
            <w:webHidden/>
          </w:rPr>
        </w:r>
        <w:r>
          <w:rPr>
            <w:noProof/>
            <w:webHidden/>
          </w:rPr>
          <w:fldChar w:fldCharType="separate"/>
        </w:r>
        <w:r>
          <w:rPr>
            <w:noProof/>
            <w:webHidden/>
          </w:rPr>
          <w:t>8</w:t>
        </w:r>
        <w:r>
          <w:rPr>
            <w:noProof/>
            <w:webHidden/>
          </w:rPr>
          <w:fldChar w:fldCharType="end"/>
        </w:r>
      </w:hyperlink>
    </w:p>
    <w:p w14:paraId="2417D079" w14:textId="77777777" w:rsidR="00150986" w:rsidRDefault="00150986">
      <w:pPr>
        <w:pStyle w:val="TOC2"/>
        <w:rPr>
          <w:rFonts w:asciiTheme="minorHAnsi" w:eastAsiaTheme="minorEastAsia" w:hAnsiTheme="minorHAnsi" w:cstheme="minorBidi"/>
          <w:noProof/>
          <w:sz w:val="22"/>
        </w:rPr>
      </w:pPr>
      <w:hyperlink w:anchor="_Toc518979490" w:history="1">
        <w:r w:rsidRPr="00944D6D">
          <w:rPr>
            <w:rStyle w:val="Hyperlink"/>
            <w:noProof/>
          </w:rPr>
          <w:t>A.</w:t>
        </w:r>
        <w:r>
          <w:rPr>
            <w:rFonts w:asciiTheme="minorHAnsi" w:eastAsiaTheme="minorEastAsia" w:hAnsiTheme="minorHAnsi" w:cstheme="minorBidi"/>
            <w:noProof/>
            <w:sz w:val="22"/>
          </w:rPr>
          <w:tab/>
        </w:r>
        <w:r w:rsidRPr="00944D6D">
          <w:rPr>
            <w:rStyle w:val="Hyperlink"/>
            <w:noProof/>
          </w:rPr>
          <w:t>Reported heat stress deaths and injuries vastly understate the problem</w:t>
        </w:r>
        <w:r>
          <w:rPr>
            <w:noProof/>
            <w:webHidden/>
          </w:rPr>
          <w:tab/>
        </w:r>
        <w:r>
          <w:rPr>
            <w:noProof/>
            <w:webHidden/>
          </w:rPr>
          <w:fldChar w:fldCharType="begin"/>
        </w:r>
        <w:r>
          <w:rPr>
            <w:noProof/>
            <w:webHidden/>
          </w:rPr>
          <w:instrText xml:space="preserve"> PAGEREF _Toc518979490 \h </w:instrText>
        </w:r>
        <w:r>
          <w:rPr>
            <w:noProof/>
            <w:webHidden/>
          </w:rPr>
        </w:r>
        <w:r>
          <w:rPr>
            <w:noProof/>
            <w:webHidden/>
          </w:rPr>
          <w:fldChar w:fldCharType="separate"/>
        </w:r>
        <w:r>
          <w:rPr>
            <w:noProof/>
            <w:webHidden/>
          </w:rPr>
          <w:t>8</w:t>
        </w:r>
        <w:r>
          <w:rPr>
            <w:noProof/>
            <w:webHidden/>
          </w:rPr>
          <w:fldChar w:fldCharType="end"/>
        </w:r>
      </w:hyperlink>
    </w:p>
    <w:p w14:paraId="40A5801C" w14:textId="77777777" w:rsidR="00150986" w:rsidRDefault="00150986">
      <w:pPr>
        <w:pStyle w:val="TOC2"/>
        <w:rPr>
          <w:rFonts w:asciiTheme="minorHAnsi" w:eastAsiaTheme="minorEastAsia" w:hAnsiTheme="minorHAnsi" w:cstheme="minorBidi"/>
          <w:noProof/>
          <w:sz w:val="22"/>
        </w:rPr>
      </w:pPr>
      <w:hyperlink w:anchor="_Toc518979491" w:history="1">
        <w:r w:rsidRPr="00944D6D">
          <w:rPr>
            <w:rStyle w:val="Hyperlink"/>
            <w:noProof/>
          </w:rPr>
          <w:t>B.</w:t>
        </w:r>
        <w:r>
          <w:rPr>
            <w:rFonts w:asciiTheme="minorHAnsi" w:eastAsiaTheme="minorEastAsia" w:hAnsiTheme="minorHAnsi" w:cstheme="minorBidi"/>
            <w:noProof/>
            <w:sz w:val="22"/>
          </w:rPr>
          <w:tab/>
        </w:r>
        <w:r w:rsidRPr="00944D6D">
          <w:rPr>
            <w:rStyle w:val="Hyperlink"/>
            <w:noProof/>
          </w:rPr>
          <w:t>Studies of OSHA enforcement and the agency’s successful heat-stress policy for the Deepwater Horizon cleanup demonstrate that a heat-stress standard based on NIOSH’s recommendations will save numerous lives</w:t>
        </w:r>
        <w:r>
          <w:rPr>
            <w:noProof/>
            <w:webHidden/>
          </w:rPr>
          <w:tab/>
        </w:r>
        <w:r>
          <w:rPr>
            <w:noProof/>
            <w:webHidden/>
          </w:rPr>
          <w:fldChar w:fldCharType="begin"/>
        </w:r>
        <w:r>
          <w:rPr>
            <w:noProof/>
            <w:webHidden/>
          </w:rPr>
          <w:instrText xml:space="preserve"> PAGEREF _Toc518979491 \h </w:instrText>
        </w:r>
        <w:r>
          <w:rPr>
            <w:noProof/>
            <w:webHidden/>
          </w:rPr>
        </w:r>
        <w:r>
          <w:rPr>
            <w:noProof/>
            <w:webHidden/>
          </w:rPr>
          <w:fldChar w:fldCharType="separate"/>
        </w:r>
        <w:r>
          <w:rPr>
            <w:noProof/>
            <w:webHidden/>
          </w:rPr>
          <w:t>14</w:t>
        </w:r>
        <w:r>
          <w:rPr>
            <w:noProof/>
            <w:webHidden/>
          </w:rPr>
          <w:fldChar w:fldCharType="end"/>
        </w:r>
      </w:hyperlink>
    </w:p>
    <w:p w14:paraId="283076F5" w14:textId="77777777" w:rsidR="00150986" w:rsidRDefault="00150986">
      <w:pPr>
        <w:pStyle w:val="TOC2"/>
        <w:rPr>
          <w:rFonts w:asciiTheme="minorHAnsi" w:eastAsiaTheme="minorEastAsia" w:hAnsiTheme="minorHAnsi" w:cstheme="minorBidi"/>
          <w:noProof/>
          <w:sz w:val="22"/>
        </w:rPr>
      </w:pPr>
      <w:hyperlink w:anchor="_Toc518979492" w:history="1">
        <w:r w:rsidRPr="00944D6D">
          <w:rPr>
            <w:rStyle w:val="Hyperlink"/>
            <w:noProof/>
          </w:rPr>
          <w:t>C.</w:t>
        </w:r>
        <w:r>
          <w:rPr>
            <w:rFonts w:asciiTheme="minorHAnsi" w:eastAsiaTheme="minorEastAsia" w:hAnsiTheme="minorHAnsi" w:cstheme="minorBidi"/>
            <w:noProof/>
            <w:sz w:val="22"/>
          </w:rPr>
          <w:tab/>
        </w:r>
        <w:r w:rsidRPr="00944D6D">
          <w:rPr>
            <w:rStyle w:val="Hyperlink"/>
            <w:noProof/>
          </w:rPr>
          <w:t>The contrast between OSHA’s and California’s enforcement records further shows the importance of a heat stress standard</w:t>
        </w:r>
        <w:r>
          <w:rPr>
            <w:noProof/>
            <w:webHidden/>
          </w:rPr>
          <w:tab/>
        </w:r>
        <w:r>
          <w:rPr>
            <w:noProof/>
            <w:webHidden/>
          </w:rPr>
          <w:fldChar w:fldCharType="begin"/>
        </w:r>
        <w:r>
          <w:rPr>
            <w:noProof/>
            <w:webHidden/>
          </w:rPr>
          <w:instrText xml:space="preserve"> PAGEREF _Toc518979492 \h </w:instrText>
        </w:r>
        <w:r>
          <w:rPr>
            <w:noProof/>
            <w:webHidden/>
          </w:rPr>
        </w:r>
        <w:r>
          <w:rPr>
            <w:noProof/>
            <w:webHidden/>
          </w:rPr>
          <w:fldChar w:fldCharType="separate"/>
        </w:r>
        <w:r>
          <w:rPr>
            <w:noProof/>
            <w:webHidden/>
          </w:rPr>
          <w:t>16</w:t>
        </w:r>
        <w:r>
          <w:rPr>
            <w:noProof/>
            <w:webHidden/>
          </w:rPr>
          <w:fldChar w:fldCharType="end"/>
        </w:r>
      </w:hyperlink>
    </w:p>
    <w:p w14:paraId="6650651A" w14:textId="77777777" w:rsidR="00150986" w:rsidRDefault="00150986">
      <w:pPr>
        <w:pStyle w:val="TOC1"/>
        <w:rPr>
          <w:rFonts w:asciiTheme="minorHAnsi" w:eastAsiaTheme="minorEastAsia" w:hAnsiTheme="minorHAnsi" w:cstheme="minorBidi"/>
          <w:noProof/>
          <w:sz w:val="22"/>
        </w:rPr>
      </w:pPr>
      <w:hyperlink w:anchor="_Toc518979493" w:history="1">
        <w:r w:rsidRPr="00944D6D">
          <w:rPr>
            <w:rStyle w:val="Hyperlink"/>
            <w:noProof/>
          </w:rPr>
          <w:t>IV.</w:t>
        </w:r>
        <w:r>
          <w:rPr>
            <w:rFonts w:asciiTheme="minorHAnsi" w:eastAsiaTheme="minorEastAsia" w:hAnsiTheme="minorHAnsi" w:cstheme="minorBidi"/>
            <w:noProof/>
            <w:sz w:val="22"/>
          </w:rPr>
          <w:tab/>
        </w:r>
        <w:r w:rsidRPr="00944D6D">
          <w:rPr>
            <w:rStyle w:val="Hyperlink"/>
            <w:noProof/>
          </w:rPr>
          <w:t>Current regulatory landscape: Three states, the U.S. military, and other countries have moved ahead with heat protections</w:t>
        </w:r>
        <w:r>
          <w:rPr>
            <w:noProof/>
            <w:webHidden/>
          </w:rPr>
          <w:tab/>
        </w:r>
        <w:r>
          <w:rPr>
            <w:noProof/>
            <w:webHidden/>
          </w:rPr>
          <w:fldChar w:fldCharType="begin"/>
        </w:r>
        <w:r>
          <w:rPr>
            <w:noProof/>
            <w:webHidden/>
          </w:rPr>
          <w:instrText xml:space="preserve"> PAGEREF _Toc518979493 \h </w:instrText>
        </w:r>
        <w:r>
          <w:rPr>
            <w:noProof/>
            <w:webHidden/>
          </w:rPr>
        </w:r>
        <w:r>
          <w:rPr>
            <w:noProof/>
            <w:webHidden/>
          </w:rPr>
          <w:fldChar w:fldCharType="separate"/>
        </w:r>
        <w:r>
          <w:rPr>
            <w:noProof/>
            <w:webHidden/>
          </w:rPr>
          <w:t>19</w:t>
        </w:r>
        <w:r>
          <w:rPr>
            <w:noProof/>
            <w:webHidden/>
          </w:rPr>
          <w:fldChar w:fldCharType="end"/>
        </w:r>
      </w:hyperlink>
    </w:p>
    <w:p w14:paraId="354376F4" w14:textId="77777777" w:rsidR="00150986" w:rsidRDefault="00150986">
      <w:pPr>
        <w:pStyle w:val="TOC2"/>
        <w:rPr>
          <w:rFonts w:asciiTheme="minorHAnsi" w:eastAsiaTheme="minorEastAsia" w:hAnsiTheme="minorHAnsi" w:cstheme="minorBidi"/>
          <w:noProof/>
          <w:sz w:val="22"/>
        </w:rPr>
      </w:pPr>
      <w:hyperlink w:anchor="_Toc518979494" w:history="1">
        <w:r w:rsidRPr="00944D6D">
          <w:rPr>
            <w:rStyle w:val="Hyperlink"/>
            <w:noProof/>
          </w:rPr>
          <w:t>A.</w:t>
        </w:r>
        <w:r>
          <w:rPr>
            <w:rFonts w:asciiTheme="minorHAnsi" w:eastAsiaTheme="minorEastAsia" w:hAnsiTheme="minorHAnsi" w:cstheme="minorBidi"/>
            <w:noProof/>
            <w:sz w:val="22"/>
          </w:rPr>
          <w:tab/>
        </w:r>
        <w:r w:rsidRPr="00944D6D">
          <w:rPr>
            <w:rStyle w:val="Hyperlink"/>
            <w:noProof/>
          </w:rPr>
          <w:t>State standards</w:t>
        </w:r>
        <w:r>
          <w:rPr>
            <w:noProof/>
            <w:webHidden/>
          </w:rPr>
          <w:tab/>
        </w:r>
        <w:r>
          <w:rPr>
            <w:noProof/>
            <w:webHidden/>
          </w:rPr>
          <w:fldChar w:fldCharType="begin"/>
        </w:r>
        <w:r>
          <w:rPr>
            <w:noProof/>
            <w:webHidden/>
          </w:rPr>
          <w:instrText xml:space="preserve"> PAGEREF _Toc518979494 \h </w:instrText>
        </w:r>
        <w:r>
          <w:rPr>
            <w:noProof/>
            <w:webHidden/>
          </w:rPr>
        </w:r>
        <w:r>
          <w:rPr>
            <w:noProof/>
            <w:webHidden/>
          </w:rPr>
          <w:fldChar w:fldCharType="separate"/>
        </w:r>
        <w:r>
          <w:rPr>
            <w:noProof/>
            <w:webHidden/>
          </w:rPr>
          <w:t>19</w:t>
        </w:r>
        <w:r>
          <w:rPr>
            <w:noProof/>
            <w:webHidden/>
          </w:rPr>
          <w:fldChar w:fldCharType="end"/>
        </w:r>
      </w:hyperlink>
    </w:p>
    <w:p w14:paraId="783746AE" w14:textId="77777777" w:rsidR="00150986" w:rsidRDefault="00150986">
      <w:pPr>
        <w:pStyle w:val="TOC2"/>
        <w:rPr>
          <w:rFonts w:asciiTheme="minorHAnsi" w:eastAsiaTheme="minorEastAsia" w:hAnsiTheme="minorHAnsi" w:cstheme="minorBidi"/>
          <w:noProof/>
          <w:sz w:val="22"/>
        </w:rPr>
      </w:pPr>
      <w:hyperlink w:anchor="_Toc518979495" w:history="1">
        <w:r w:rsidRPr="00944D6D">
          <w:rPr>
            <w:rStyle w:val="Hyperlink"/>
            <w:noProof/>
          </w:rPr>
          <w:t>B.</w:t>
        </w:r>
        <w:r>
          <w:rPr>
            <w:rFonts w:asciiTheme="minorHAnsi" w:eastAsiaTheme="minorEastAsia" w:hAnsiTheme="minorHAnsi" w:cstheme="minorBidi"/>
            <w:noProof/>
            <w:sz w:val="22"/>
          </w:rPr>
          <w:tab/>
        </w:r>
        <w:r w:rsidRPr="00944D6D">
          <w:rPr>
            <w:rStyle w:val="Hyperlink"/>
            <w:noProof/>
          </w:rPr>
          <w:t>U.S. military guidelines</w:t>
        </w:r>
        <w:r>
          <w:rPr>
            <w:noProof/>
            <w:webHidden/>
          </w:rPr>
          <w:tab/>
        </w:r>
        <w:r>
          <w:rPr>
            <w:noProof/>
            <w:webHidden/>
          </w:rPr>
          <w:fldChar w:fldCharType="begin"/>
        </w:r>
        <w:r>
          <w:rPr>
            <w:noProof/>
            <w:webHidden/>
          </w:rPr>
          <w:instrText xml:space="preserve"> PAGEREF _Toc518979495 \h </w:instrText>
        </w:r>
        <w:r>
          <w:rPr>
            <w:noProof/>
            <w:webHidden/>
          </w:rPr>
        </w:r>
        <w:r>
          <w:rPr>
            <w:noProof/>
            <w:webHidden/>
          </w:rPr>
          <w:fldChar w:fldCharType="separate"/>
        </w:r>
        <w:r>
          <w:rPr>
            <w:noProof/>
            <w:webHidden/>
          </w:rPr>
          <w:t>21</w:t>
        </w:r>
        <w:r>
          <w:rPr>
            <w:noProof/>
            <w:webHidden/>
          </w:rPr>
          <w:fldChar w:fldCharType="end"/>
        </w:r>
      </w:hyperlink>
    </w:p>
    <w:p w14:paraId="7B9F6B75" w14:textId="77777777" w:rsidR="00150986" w:rsidRDefault="00150986">
      <w:pPr>
        <w:pStyle w:val="TOC2"/>
        <w:rPr>
          <w:rFonts w:asciiTheme="minorHAnsi" w:eastAsiaTheme="minorEastAsia" w:hAnsiTheme="minorHAnsi" w:cstheme="minorBidi"/>
          <w:noProof/>
          <w:sz w:val="22"/>
        </w:rPr>
      </w:pPr>
      <w:hyperlink w:anchor="_Toc518979496" w:history="1">
        <w:r w:rsidRPr="00944D6D">
          <w:rPr>
            <w:rStyle w:val="Hyperlink"/>
            <w:noProof/>
          </w:rPr>
          <w:t>C.</w:t>
        </w:r>
        <w:r>
          <w:rPr>
            <w:rFonts w:asciiTheme="minorHAnsi" w:eastAsiaTheme="minorEastAsia" w:hAnsiTheme="minorHAnsi" w:cstheme="minorBidi"/>
            <w:noProof/>
            <w:sz w:val="22"/>
          </w:rPr>
          <w:tab/>
        </w:r>
        <w:r w:rsidRPr="00944D6D">
          <w:rPr>
            <w:rStyle w:val="Hyperlink"/>
            <w:noProof/>
          </w:rPr>
          <w:t>Heat stress standards in other countries</w:t>
        </w:r>
        <w:r>
          <w:rPr>
            <w:noProof/>
            <w:webHidden/>
          </w:rPr>
          <w:tab/>
        </w:r>
        <w:r>
          <w:rPr>
            <w:noProof/>
            <w:webHidden/>
          </w:rPr>
          <w:fldChar w:fldCharType="begin"/>
        </w:r>
        <w:r>
          <w:rPr>
            <w:noProof/>
            <w:webHidden/>
          </w:rPr>
          <w:instrText xml:space="preserve"> PAGEREF _Toc518979496 \h </w:instrText>
        </w:r>
        <w:r>
          <w:rPr>
            <w:noProof/>
            <w:webHidden/>
          </w:rPr>
        </w:r>
        <w:r>
          <w:rPr>
            <w:noProof/>
            <w:webHidden/>
          </w:rPr>
          <w:fldChar w:fldCharType="separate"/>
        </w:r>
        <w:r>
          <w:rPr>
            <w:noProof/>
            <w:webHidden/>
          </w:rPr>
          <w:t>24</w:t>
        </w:r>
        <w:r>
          <w:rPr>
            <w:noProof/>
            <w:webHidden/>
          </w:rPr>
          <w:fldChar w:fldCharType="end"/>
        </w:r>
      </w:hyperlink>
    </w:p>
    <w:p w14:paraId="2DEA5739" w14:textId="77777777" w:rsidR="00150986" w:rsidRDefault="00150986">
      <w:pPr>
        <w:pStyle w:val="TOC1"/>
        <w:rPr>
          <w:rFonts w:asciiTheme="minorHAnsi" w:eastAsiaTheme="minorEastAsia" w:hAnsiTheme="minorHAnsi" w:cstheme="minorBidi"/>
          <w:noProof/>
          <w:sz w:val="22"/>
        </w:rPr>
      </w:pPr>
      <w:hyperlink w:anchor="_Toc518979497" w:history="1">
        <w:r w:rsidRPr="00944D6D">
          <w:rPr>
            <w:rStyle w:val="Hyperlink"/>
            <w:noProof/>
          </w:rPr>
          <w:t>V.</w:t>
        </w:r>
        <w:r>
          <w:rPr>
            <w:rFonts w:asciiTheme="minorHAnsi" w:eastAsiaTheme="minorEastAsia" w:hAnsiTheme="minorHAnsi" w:cstheme="minorBidi"/>
            <w:noProof/>
            <w:sz w:val="22"/>
          </w:rPr>
          <w:tab/>
        </w:r>
        <w:r w:rsidRPr="00944D6D">
          <w:rPr>
            <w:rStyle w:val="Hyperlink"/>
            <w:noProof/>
          </w:rPr>
          <w:t>NIOSH criteria for a recommended standard</w:t>
        </w:r>
        <w:r>
          <w:rPr>
            <w:noProof/>
            <w:webHidden/>
          </w:rPr>
          <w:tab/>
        </w:r>
        <w:r>
          <w:rPr>
            <w:noProof/>
            <w:webHidden/>
          </w:rPr>
          <w:fldChar w:fldCharType="begin"/>
        </w:r>
        <w:r>
          <w:rPr>
            <w:noProof/>
            <w:webHidden/>
          </w:rPr>
          <w:instrText xml:space="preserve"> PAGEREF _Toc518979497 \h </w:instrText>
        </w:r>
        <w:r>
          <w:rPr>
            <w:noProof/>
            <w:webHidden/>
          </w:rPr>
        </w:r>
        <w:r>
          <w:rPr>
            <w:noProof/>
            <w:webHidden/>
          </w:rPr>
          <w:fldChar w:fldCharType="separate"/>
        </w:r>
        <w:r>
          <w:rPr>
            <w:noProof/>
            <w:webHidden/>
          </w:rPr>
          <w:t>25</w:t>
        </w:r>
        <w:r>
          <w:rPr>
            <w:noProof/>
            <w:webHidden/>
          </w:rPr>
          <w:fldChar w:fldCharType="end"/>
        </w:r>
      </w:hyperlink>
    </w:p>
    <w:p w14:paraId="1220F8F5" w14:textId="77777777" w:rsidR="00150986" w:rsidRDefault="00150986">
      <w:pPr>
        <w:pStyle w:val="TOC2"/>
        <w:rPr>
          <w:rFonts w:asciiTheme="minorHAnsi" w:eastAsiaTheme="minorEastAsia" w:hAnsiTheme="minorHAnsi" w:cstheme="minorBidi"/>
          <w:noProof/>
          <w:sz w:val="22"/>
        </w:rPr>
      </w:pPr>
      <w:hyperlink w:anchor="_Toc518979498" w:history="1">
        <w:r w:rsidRPr="00944D6D">
          <w:rPr>
            <w:rStyle w:val="Hyperlink"/>
            <w:noProof/>
          </w:rPr>
          <w:t>A.</w:t>
        </w:r>
        <w:r>
          <w:rPr>
            <w:rFonts w:asciiTheme="minorHAnsi" w:eastAsiaTheme="minorEastAsia" w:hAnsiTheme="minorHAnsi" w:cstheme="minorBidi"/>
            <w:noProof/>
            <w:sz w:val="22"/>
          </w:rPr>
          <w:tab/>
        </w:r>
        <w:r w:rsidRPr="00944D6D">
          <w:rPr>
            <w:rStyle w:val="Hyperlink"/>
            <w:noProof/>
          </w:rPr>
          <w:t>Heat stress threshold, mandatory rest breaks, cool rest areas, hydration, and personal protective equipment</w:t>
        </w:r>
        <w:r>
          <w:rPr>
            <w:noProof/>
            <w:webHidden/>
          </w:rPr>
          <w:tab/>
        </w:r>
        <w:r>
          <w:rPr>
            <w:noProof/>
            <w:webHidden/>
          </w:rPr>
          <w:fldChar w:fldCharType="begin"/>
        </w:r>
        <w:r>
          <w:rPr>
            <w:noProof/>
            <w:webHidden/>
          </w:rPr>
          <w:instrText xml:space="preserve"> PAGEREF _Toc518979498 \h </w:instrText>
        </w:r>
        <w:r>
          <w:rPr>
            <w:noProof/>
            <w:webHidden/>
          </w:rPr>
        </w:r>
        <w:r>
          <w:rPr>
            <w:noProof/>
            <w:webHidden/>
          </w:rPr>
          <w:fldChar w:fldCharType="separate"/>
        </w:r>
        <w:r>
          <w:rPr>
            <w:noProof/>
            <w:webHidden/>
          </w:rPr>
          <w:t>25</w:t>
        </w:r>
        <w:r>
          <w:rPr>
            <w:noProof/>
            <w:webHidden/>
          </w:rPr>
          <w:fldChar w:fldCharType="end"/>
        </w:r>
      </w:hyperlink>
    </w:p>
    <w:p w14:paraId="15FB7AEA" w14:textId="77777777" w:rsidR="00150986" w:rsidRDefault="00150986">
      <w:pPr>
        <w:pStyle w:val="TOC2"/>
        <w:rPr>
          <w:rFonts w:asciiTheme="minorHAnsi" w:eastAsiaTheme="minorEastAsia" w:hAnsiTheme="minorHAnsi" w:cstheme="minorBidi"/>
          <w:noProof/>
          <w:sz w:val="22"/>
        </w:rPr>
      </w:pPr>
      <w:hyperlink w:anchor="_Toc518979499" w:history="1">
        <w:r w:rsidRPr="00944D6D">
          <w:rPr>
            <w:rStyle w:val="Hyperlink"/>
            <w:noProof/>
          </w:rPr>
          <w:t>B.</w:t>
        </w:r>
        <w:r>
          <w:rPr>
            <w:rFonts w:asciiTheme="minorHAnsi" w:eastAsiaTheme="minorEastAsia" w:hAnsiTheme="minorHAnsi" w:cstheme="minorBidi"/>
            <w:noProof/>
            <w:sz w:val="22"/>
          </w:rPr>
          <w:tab/>
        </w:r>
        <w:r w:rsidRPr="00944D6D">
          <w:rPr>
            <w:rStyle w:val="Hyperlink"/>
            <w:noProof/>
          </w:rPr>
          <w:t>Heat acclimatization plan</w:t>
        </w:r>
        <w:r>
          <w:rPr>
            <w:noProof/>
            <w:webHidden/>
          </w:rPr>
          <w:tab/>
        </w:r>
        <w:r>
          <w:rPr>
            <w:noProof/>
            <w:webHidden/>
          </w:rPr>
          <w:fldChar w:fldCharType="begin"/>
        </w:r>
        <w:r>
          <w:rPr>
            <w:noProof/>
            <w:webHidden/>
          </w:rPr>
          <w:instrText xml:space="preserve"> PAGEREF _Toc518979499 \h </w:instrText>
        </w:r>
        <w:r>
          <w:rPr>
            <w:noProof/>
            <w:webHidden/>
          </w:rPr>
        </w:r>
        <w:r>
          <w:rPr>
            <w:noProof/>
            <w:webHidden/>
          </w:rPr>
          <w:fldChar w:fldCharType="separate"/>
        </w:r>
        <w:r>
          <w:rPr>
            <w:noProof/>
            <w:webHidden/>
          </w:rPr>
          <w:t>29</w:t>
        </w:r>
        <w:r>
          <w:rPr>
            <w:noProof/>
            <w:webHidden/>
          </w:rPr>
          <w:fldChar w:fldCharType="end"/>
        </w:r>
      </w:hyperlink>
    </w:p>
    <w:p w14:paraId="6BA7276A" w14:textId="77777777" w:rsidR="00150986" w:rsidRDefault="00150986">
      <w:pPr>
        <w:pStyle w:val="TOC2"/>
        <w:rPr>
          <w:rFonts w:asciiTheme="minorHAnsi" w:eastAsiaTheme="minorEastAsia" w:hAnsiTheme="minorHAnsi" w:cstheme="minorBidi"/>
          <w:noProof/>
          <w:sz w:val="22"/>
        </w:rPr>
      </w:pPr>
      <w:hyperlink w:anchor="_Toc518979500" w:history="1">
        <w:r w:rsidRPr="00944D6D">
          <w:rPr>
            <w:rStyle w:val="Hyperlink"/>
            <w:noProof/>
          </w:rPr>
          <w:t>C.</w:t>
        </w:r>
        <w:r>
          <w:rPr>
            <w:rFonts w:asciiTheme="minorHAnsi" w:eastAsiaTheme="minorEastAsia" w:hAnsiTheme="minorHAnsi" w:cstheme="minorBidi"/>
            <w:noProof/>
            <w:sz w:val="22"/>
          </w:rPr>
          <w:tab/>
        </w:r>
        <w:r w:rsidRPr="00944D6D">
          <w:rPr>
            <w:rStyle w:val="Hyperlink"/>
            <w:noProof/>
          </w:rPr>
          <w:t>Exposure monitoring</w:t>
        </w:r>
        <w:r>
          <w:rPr>
            <w:noProof/>
            <w:webHidden/>
          </w:rPr>
          <w:tab/>
        </w:r>
        <w:r>
          <w:rPr>
            <w:noProof/>
            <w:webHidden/>
          </w:rPr>
          <w:fldChar w:fldCharType="begin"/>
        </w:r>
        <w:r>
          <w:rPr>
            <w:noProof/>
            <w:webHidden/>
          </w:rPr>
          <w:instrText xml:space="preserve"> PAGEREF _Toc518979500 \h </w:instrText>
        </w:r>
        <w:r>
          <w:rPr>
            <w:noProof/>
            <w:webHidden/>
          </w:rPr>
        </w:r>
        <w:r>
          <w:rPr>
            <w:noProof/>
            <w:webHidden/>
          </w:rPr>
          <w:fldChar w:fldCharType="separate"/>
        </w:r>
        <w:r>
          <w:rPr>
            <w:noProof/>
            <w:webHidden/>
          </w:rPr>
          <w:t>30</w:t>
        </w:r>
        <w:r>
          <w:rPr>
            <w:noProof/>
            <w:webHidden/>
          </w:rPr>
          <w:fldChar w:fldCharType="end"/>
        </w:r>
      </w:hyperlink>
    </w:p>
    <w:p w14:paraId="06A0077F" w14:textId="77777777" w:rsidR="00150986" w:rsidRDefault="00150986">
      <w:pPr>
        <w:pStyle w:val="TOC2"/>
        <w:rPr>
          <w:rFonts w:asciiTheme="minorHAnsi" w:eastAsiaTheme="minorEastAsia" w:hAnsiTheme="minorHAnsi" w:cstheme="minorBidi"/>
          <w:noProof/>
          <w:sz w:val="22"/>
        </w:rPr>
      </w:pPr>
      <w:hyperlink w:anchor="_Toc518979501" w:history="1">
        <w:r w:rsidRPr="00944D6D">
          <w:rPr>
            <w:rStyle w:val="Hyperlink"/>
            <w:noProof/>
          </w:rPr>
          <w:t>D.</w:t>
        </w:r>
        <w:r>
          <w:rPr>
            <w:rFonts w:asciiTheme="minorHAnsi" w:eastAsiaTheme="minorEastAsia" w:hAnsiTheme="minorHAnsi" w:cstheme="minorBidi"/>
            <w:noProof/>
            <w:sz w:val="22"/>
          </w:rPr>
          <w:tab/>
        </w:r>
        <w:r w:rsidRPr="00944D6D">
          <w:rPr>
            <w:rStyle w:val="Hyperlink"/>
            <w:noProof/>
          </w:rPr>
          <w:t>Medical monitoring</w:t>
        </w:r>
        <w:r>
          <w:rPr>
            <w:noProof/>
            <w:webHidden/>
          </w:rPr>
          <w:tab/>
        </w:r>
        <w:r>
          <w:rPr>
            <w:noProof/>
            <w:webHidden/>
          </w:rPr>
          <w:fldChar w:fldCharType="begin"/>
        </w:r>
        <w:r>
          <w:rPr>
            <w:noProof/>
            <w:webHidden/>
          </w:rPr>
          <w:instrText xml:space="preserve"> PAGEREF _Toc518979501 \h </w:instrText>
        </w:r>
        <w:r>
          <w:rPr>
            <w:noProof/>
            <w:webHidden/>
          </w:rPr>
        </w:r>
        <w:r>
          <w:rPr>
            <w:noProof/>
            <w:webHidden/>
          </w:rPr>
          <w:fldChar w:fldCharType="separate"/>
        </w:r>
        <w:r>
          <w:rPr>
            <w:noProof/>
            <w:webHidden/>
          </w:rPr>
          <w:t>30</w:t>
        </w:r>
        <w:r>
          <w:rPr>
            <w:noProof/>
            <w:webHidden/>
          </w:rPr>
          <w:fldChar w:fldCharType="end"/>
        </w:r>
      </w:hyperlink>
    </w:p>
    <w:p w14:paraId="444C3B86" w14:textId="77777777" w:rsidR="00150986" w:rsidRDefault="00150986">
      <w:pPr>
        <w:pStyle w:val="TOC2"/>
        <w:rPr>
          <w:rFonts w:asciiTheme="minorHAnsi" w:eastAsiaTheme="minorEastAsia" w:hAnsiTheme="minorHAnsi" w:cstheme="minorBidi"/>
          <w:noProof/>
          <w:sz w:val="22"/>
        </w:rPr>
      </w:pPr>
      <w:hyperlink w:anchor="_Toc518979502" w:history="1">
        <w:r w:rsidRPr="00944D6D">
          <w:rPr>
            <w:rStyle w:val="Hyperlink"/>
            <w:noProof/>
          </w:rPr>
          <w:t>E.</w:t>
        </w:r>
        <w:r>
          <w:rPr>
            <w:rFonts w:asciiTheme="minorHAnsi" w:eastAsiaTheme="minorEastAsia" w:hAnsiTheme="minorHAnsi" w:cstheme="minorBidi"/>
            <w:noProof/>
            <w:sz w:val="22"/>
          </w:rPr>
          <w:tab/>
        </w:r>
        <w:r w:rsidRPr="00944D6D">
          <w:rPr>
            <w:rStyle w:val="Hyperlink"/>
            <w:noProof/>
          </w:rPr>
          <w:t>Emergency medical procedures</w:t>
        </w:r>
        <w:r>
          <w:rPr>
            <w:noProof/>
            <w:webHidden/>
          </w:rPr>
          <w:tab/>
        </w:r>
        <w:r>
          <w:rPr>
            <w:noProof/>
            <w:webHidden/>
          </w:rPr>
          <w:fldChar w:fldCharType="begin"/>
        </w:r>
        <w:r>
          <w:rPr>
            <w:noProof/>
            <w:webHidden/>
          </w:rPr>
          <w:instrText xml:space="preserve"> PAGEREF _Toc518979502 \h </w:instrText>
        </w:r>
        <w:r>
          <w:rPr>
            <w:noProof/>
            <w:webHidden/>
          </w:rPr>
        </w:r>
        <w:r>
          <w:rPr>
            <w:noProof/>
            <w:webHidden/>
          </w:rPr>
          <w:fldChar w:fldCharType="separate"/>
        </w:r>
        <w:r>
          <w:rPr>
            <w:noProof/>
            <w:webHidden/>
          </w:rPr>
          <w:t>31</w:t>
        </w:r>
        <w:r>
          <w:rPr>
            <w:noProof/>
            <w:webHidden/>
          </w:rPr>
          <w:fldChar w:fldCharType="end"/>
        </w:r>
      </w:hyperlink>
    </w:p>
    <w:p w14:paraId="3B9459D9" w14:textId="77777777" w:rsidR="00150986" w:rsidRDefault="00150986">
      <w:pPr>
        <w:pStyle w:val="TOC2"/>
        <w:rPr>
          <w:rFonts w:asciiTheme="minorHAnsi" w:eastAsiaTheme="minorEastAsia" w:hAnsiTheme="minorHAnsi" w:cstheme="minorBidi"/>
          <w:noProof/>
          <w:sz w:val="22"/>
        </w:rPr>
      </w:pPr>
      <w:hyperlink w:anchor="_Toc518979503" w:history="1">
        <w:r w:rsidRPr="00944D6D">
          <w:rPr>
            <w:rStyle w:val="Hyperlink"/>
            <w:bCs/>
            <w:noProof/>
          </w:rPr>
          <w:t>F.</w:t>
        </w:r>
        <w:r>
          <w:rPr>
            <w:rFonts w:asciiTheme="minorHAnsi" w:eastAsiaTheme="minorEastAsia" w:hAnsiTheme="minorHAnsi" w:cstheme="minorBidi"/>
            <w:noProof/>
            <w:sz w:val="22"/>
          </w:rPr>
          <w:tab/>
        </w:r>
        <w:r w:rsidRPr="00944D6D">
          <w:rPr>
            <w:rStyle w:val="Hyperlink"/>
            <w:noProof/>
          </w:rPr>
          <w:t>Hazard notification</w:t>
        </w:r>
        <w:r>
          <w:rPr>
            <w:noProof/>
            <w:webHidden/>
          </w:rPr>
          <w:tab/>
        </w:r>
        <w:r>
          <w:rPr>
            <w:noProof/>
            <w:webHidden/>
          </w:rPr>
          <w:fldChar w:fldCharType="begin"/>
        </w:r>
        <w:r>
          <w:rPr>
            <w:noProof/>
            <w:webHidden/>
          </w:rPr>
          <w:instrText xml:space="preserve"> PAGEREF _Toc518979503 \h </w:instrText>
        </w:r>
        <w:r>
          <w:rPr>
            <w:noProof/>
            <w:webHidden/>
          </w:rPr>
        </w:r>
        <w:r>
          <w:rPr>
            <w:noProof/>
            <w:webHidden/>
          </w:rPr>
          <w:fldChar w:fldCharType="separate"/>
        </w:r>
        <w:r>
          <w:rPr>
            <w:noProof/>
            <w:webHidden/>
          </w:rPr>
          <w:t>31</w:t>
        </w:r>
        <w:r>
          <w:rPr>
            <w:noProof/>
            <w:webHidden/>
          </w:rPr>
          <w:fldChar w:fldCharType="end"/>
        </w:r>
      </w:hyperlink>
    </w:p>
    <w:p w14:paraId="4547AF53" w14:textId="77777777" w:rsidR="00150986" w:rsidRDefault="00150986">
      <w:pPr>
        <w:pStyle w:val="TOC2"/>
        <w:rPr>
          <w:rFonts w:asciiTheme="minorHAnsi" w:eastAsiaTheme="minorEastAsia" w:hAnsiTheme="minorHAnsi" w:cstheme="minorBidi"/>
          <w:noProof/>
          <w:sz w:val="22"/>
        </w:rPr>
      </w:pPr>
      <w:hyperlink w:anchor="_Toc518979504" w:history="1">
        <w:r w:rsidRPr="00944D6D">
          <w:rPr>
            <w:rStyle w:val="Hyperlink"/>
            <w:noProof/>
          </w:rPr>
          <w:t>G.</w:t>
        </w:r>
        <w:r>
          <w:rPr>
            <w:rFonts w:asciiTheme="minorHAnsi" w:eastAsiaTheme="minorEastAsia" w:hAnsiTheme="minorHAnsi" w:cstheme="minorBidi"/>
            <w:noProof/>
            <w:sz w:val="22"/>
          </w:rPr>
          <w:tab/>
        </w:r>
        <w:r w:rsidRPr="00944D6D">
          <w:rPr>
            <w:rStyle w:val="Hyperlink"/>
            <w:noProof/>
          </w:rPr>
          <w:t>Heat Alert Program</w:t>
        </w:r>
        <w:r>
          <w:rPr>
            <w:noProof/>
            <w:webHidden/>
          </w:rPr>
          <w:tab/>
        </w:r>
        <w:r>
          <w:rPr>
            <w:noProof/>
            <w:webHidden/>
          </w:rPr>
          <w:fldChar w:fldCharType="begin"/>
        </w:r>
        <w:r>
          <w:rPr>
            <w:noProof/>
            <w:webHidden/>
          </w:rPr>
          <w:instrText xml:space="preserve"> PAGEREF _Toc518979504 \h </w:instrText>
        </w:r>
        <w:r>
          <w:rPr>
            <w:noProof/>
            <w:webHidden/>
          </w:rPr>
        </w:r>
        <w:r>
          <w:rPr>
            <w:noProof/>
            <w:webHidden/>
          </w:rPr>
          <w:fldChar w:fldCharType="separate"/>
        </w:r>
        <w:r>
          <w:rPr>
            <w:noProof/>
            <w:webHidden/>
          </w:rPr>
          <w:t>31</w:t>
        </w:r>
        <w:r>
          <w:rPr>
            <w:noProof/>
            <w:webHidden/>
          </w:rPr>
          <w:fldChar w:fldCharType="end"/>
        </w:r>
      </w:hyperlink>
    </w:p>
    <w:p w14:paraId="6A1DE6A8" w14:textId="77777777" w:rsidR="00150986" w:rsidRDefault="00150986">
      <w:pPr>
        <w:pStyle w:val="TOC2"/>
        <w:rPr>
          <w:rFonts w:asciiTheme="minorHAnsi" w:eastAsiaTheme="minorEastAsia" w:hAnsiTheme="minorHAnsi" w:cstheme="minorBidi"/>
          <w:noProof/>
          <w:sz w:val="22"/>
        </w:rPr>
      </w:pPr>
      <w:hyperlink w:anchor="_Toc518979505" w:history="1">
        <w:r w:rsidRPr="00944D6D">
          <w:rPr>
            <w:rStyle w:val="Hyperlink"/>
            <w:bCs/>
            <w:noProof/>
          </w:rPr>
          <w:t>H.</w:t>
        </w:r>
        <w:r>
          <w:rPr>
            <w:rFonts w:asciiTheme="minorHAnsi" w:eastAsiaTheme="minorEastAsia" w:hAnsiTheme="minorHAnsi" w:cstheme="minorBidi"/>
            <w:noProof/>
            <w:sz w:val="22"/>
          </w:rPr>
          <w:tab/>
        </w:r>
        <w:r w:rsidRPr="00944D6D">
          <w:rPr>
            <w:rStyle w:val="Hyperlink"/>
            <w:noProof/>
          </w:rPr>
          <w:t>Worker information and training</w:t>
        </w:r>
        <w:r>
          <w:rPr>
            <w:noProof/>
            <w:webHidden/>
          </w:rPr>
          <w:tab/>
        </w:r>
        <w:r>
          <w:rPr>
            <w:noProof/>
            <w:webHidden/>
          </w:rPr>
          <w:fldChar w:fldCharType="begin"/>
        </w:r>
        <w:r>
          <w:rPr>
            <w:noProof/>
            <w:webHidden/>
          </w:rPr>
          <w:instrText xml:space="preserve"> PAGEREF _Toc518979505 \h </w:instrText>
        </w:r>
        <w:r>
          <w:rPr>
            <w:noProof/>
            <w:webHidden/>
          </w:rPr>
        </w:r>
        <w:r>
          <w:rPr>
            <w:noProof/>
            <w:webHidden/>
          </w:rPr>
          <w:fldChar w:fldCharType="separate"/>
        </w:r>
        <w:r>
          <w:rPr>
            <w:noProof/>
            <w:webHidden/>
          </w:rPr>
          <w:t>31</w:t>
        </w:r>
        <w:r>
          <w:rPr>
            <w:noProof/>
            <w:webHidden/>
          </w:rPr>
          <w:fldChar w:fldCharType="end"/>
        </w:r>
      </w:hyperlink>
    </w:p>
    <w:p w14:paraId="18269D44" w14:textId="77777777" w:rsidR="00150986" w:rsidRDefault="00150986">
      <w:pPr>
        <w:pStyle w:val="TOC2"/>
        <w:rPr>
          <w:rFonts w:asciiTheme="minorHAnsi" w:eastAsiaTheme="minorEastAsia" w:hAnsiTheme="minorHAnsi" w:cstheme="minorBidi"/>
          <w:noProof/>
          <w:sz w:val="22"/>
        </w:rPr>
      </w:pPr>
      <w:hyperlink w:anchor="_Toc518979506" w:history="1">
        <w:r w:rsidRPr="00944D6D">
          <w:rPr>
            <w:rStyle w:val="Hyperlink"/>
            <w:bCs/>
            <w:noProof/>
          </w:rPr>
          <w:t>I.</w:t>
        </w:r>
        <w:r>
          <w:rPr>
            <w:rFonts w:asciiTheme="minorHAnsi" w:eastAsiaTheme="minorEastAsia" w:hAnsiTheme="minorHAnsi" w:cstheme="minorBidi"/>
            <w:noProof/>
            <w:sz w:val="22"/>
          </w:rPr>
          <w:tab/>
        </w:r>
        <w:r w:rsidRPr="00944D6D">
          <w:rPr>
            <w:rStyle w:val="Hyperlink"/>
            <w:noProof/>
          </w:rPr>
          <w:t>Heat-related surveillance and recordkeeping</w:t>
        </w:r>
        <w:r>
          <w:rPr>
            <w:noProof/>
            <w:webHidden/>
          </w:rPr>
          <w:tab/>
        </w:r>
        <w:r>
          <w:rPr>
            <w:noProof/>
            <w:webHidden/>
          </w:rPr>
          <w:fldChar w:fldCharType="begin"/>
        </w:r>
        <w:r>
          <w:rPr>
            <w:noProof/>
            <w:webHidden/>
          </w:rPr>
          <w:instrText xml:space="preserve"> PAGEREF _Toc518979506 \h </w:instrText>
        </w:r>
        <w:r>
          <w:rPr>
            <w:noProof/>
            <w:webHidden/>
          </w:rPr>
        </w:r>
        <w:r>
          <w:rPr>
            <w:noProof/>
            <w:webHidden/>
          </w:rPr>
          <w:fldChar w:fldCharType="separate"/>
        </w:r>
        <w:r>
          <w:rPr>
            <w:noProof/>
            <w:webHidden/>
          </w:rPr>
          <w:t>32</w:t>
        </w:r>
        <w:r>
          <w:rPr>
            <w:noProof/>
            <w:webHidden/>
          </w:rPr>
          <w:fldChar w:fldCharType="end"/>
        </w:r>
      </w:hyperlink>
    </w:p>
    <w:p w14:paraId="1C6BF234" w14:textId="77777777" w:rsidR="00150986" w:rsidRDefault="00150986">
      <w:pPr>
        <w:pStyle w:val="TOC1"/>
        <w:rPr>
          <w:rFonts w:asciiTheme="minorHAnsi" w:eastAsiaTheme="minorEastAsia" w:hAnsiTheme="minorHAnsi" w:cstheme="minorBidi"/>
          <w:noProof/>
          <w:sz w:val="22"/>
        </w:rPr>
      </w:pPr>
      <w:hyperlink w:anchor="_Toc518979507" w:history="1">
        <w:r w:rsidRPr="00944D6D">
          <w:rPr>
            <w:rStyle w:val="Hyperlink"/>
            <w:noProof/>
          </w:rPr>
          <w:t>VI.</w:t>
        </w:r>
        <w:r>
          <w:rPr>
            <w:rFonts w:asciiTheme="minorHAnsi" w:eastAsiaTheme="minorEastAsia" w:hAnsiTheme="minorHAnsi" w:cstheme="minorBidi"/>
            <w:noProof/>
            <w:sz w:val="22"/>
          </w:rPr>
          <w:tab/>
        </w:r>
        <w:r w:rsidRPr="00944D6D">
          <w:rPr>
            <w:rStyle w:val="Hyperlink"/>
            <w:noProof/>
          </w:rPr>
          <w:t>Whistleblower protections</w:t>
        </w:r>
        <w:r>
          <w:rPr>
            <w:noProof/>
            <w:webHidden/>
          </w:rPr>
          <w:tab/>
        </w:r>
        <w:r>
          <w:rPr>
            <w:noProof/>
            <w:webHidden/>
          </w:rPr>
          <w:fldChar w:fldCharType="begin"/>
        </w:r>
        <w:r>
          <w:rPr>
            <w:noProof/>
            <w:webHidden/>
          </w:rPr>
          <w:instrText xml:space="preserve"> PAGEREF _Toc518979507 \h </w:instrText>
        </w:r>
        <w:r>
          <w:rPr>
            <w:noProof/>
            <w:webHidden/>
          </w:rPr>
        </w:r>
        <w:r>
          <w:rPr>
            <w:noProof/>
            <w:webHidden/>
          </w:rPr>
          <w:fldChar w:fldCharType="separate"/>
        </w:r>
        <w:r>
          <w:rPr>
            <w:noProof/>
            <w:webHidden/>
          </w:rPr>
          <w:t>32</w:t>
        </w:r>
        <w:r>
          <w:rPr>
            <w:noProof/>
            <w:webHidden/>
          </w:rPr>
          <w:fldChar w:fldCharType="end"/>
        </w:r>
      </w:hyperlink>
    </w:p>
    <w:p w14:paraId="743766B7" w14:textId="77777777" w:rsidR="00150986" w:rsidRDefault="00150986">
      <w:pPr>
        <w:pStyle w:val="TOC1"/>
        <w:rPr>
          <w:rFonts w:asciiTheme="minorHAnsi" w:eastAsiaTheme="minorEastAsia" w:hAnsiTheme="minorHAnsi" w:cstheme="minorBidi"/>
          <w:noProof/>
          <w:sz w:val="22"/>
        </w:rPr>
      </w:pPr>
      <w:hyperlink w:anchor="_Toc518979508" w:history="1">
        <w:r w:rsidRPr="00944D6D">
          <w:rPr>
            <w:rStyle w:val="Hyperlink"/>
            <w:noProof/>
          </w:rPr>
          <w:t>VII.</w:t>
        </w:r>
        <w:r>
          <w:rPr>
            <w:rFonts w:asciiTheme="minorHAnsi" w:eastAsiaTheme="minorEastAsia" w:hAnsiTheme="minorHAnsi" w:cstheme="minorBidi"/>
            <w:noProof/>
            <w:sz w:val="22"/>
          </w:rPr>
          <w:tab/>
        </w:r>
        <w:r w:rsidRPr="00944D6D">
          <w:rPr>
            <w:rStyle w:val="Hyperlink"/>
            <w:noProof/>
          </w:rPr>
          <w:t>Petition requests</w:t>
        </w:r>
        <w:r>
          <w:rPr>
            <w:noProof/>
            <w:webHidden/>
          </w:rPr>
          <w:tab/>
        </w:r>
        <w:r>
          <w:rPr>
            <w:noProof/>
            <w:webHidden/>
          </w:rPr>
          <w:fldChar w:fldCharType="begin"/>
        </w:r>
        <w:r>
          <w:rPr>
            <w:noProof/>
            <w:webHidden/>
          </w:rPr>
          <w:instrText xml:space="preserve"> PAGEREF _Toc518979508 \h </w:instrText>
        </w:r>
        <w:r>
          <w:rPr>
            <w:noProof/>
            <w:webHidden/>
          </w:rPr>
        </w:r>
        <w:r>
          <w:rPr>
            <w:noProof/>
            <w:webHidden/>
          </w:rPr>
          <w:fldChar w:fldCharType="separate"/>
        </w:r>
        <w:r>
          <w:rPr>
            <w:noProof/>
            <w:webHidden/>
          </w:rPr>
          <w:t>34</w:t>
        </w:r>
        <w:r>
          <w:rPr>
            <w:noProof/>
            <w:webHidden/>
          </w:rPr>
          <w:fldChar w:fldCharType="end"/>
        </w:r>
      </w:hyperlink>
    </w:p>
    <w:p w14:paraId="0C6C72AB" w14:textId="77777777" w:rsidR="00150986" w:rsidRDefault="00150986">
      <w:pPr>
        <w:pStyle w:val="TOC1"/>
        <w:rPr>
          <w:rFonts w:asciiTheme="minorHAnsi" w:eastAsiaTheme="minorEastAsia" w:hAnsiTheme="minorHAnsi" w:cstheme="minorBidi"/>
          <w:noProof/>
          <w:sz w:val="22"/>
        </w:rPr>
      </w:pPr>
      <w:hyperlink w:anchor="_Toc518979509" w:history="1">
        <w:r w:rsidRPr="00944D6D">
          <w:rPr>
            <w:rStyle w:val="Hyperlink"/>
            <w:noProof/>
          </w:rPr>
          <w:t>VIII.</w:t>
        </w:r>
        <w:r>
          <w:rPr>
            <w:rFonts w:asciiTheme="minorHAnsi" w:eastAsiaTheme="minorEastAsia" w:hAnsiTheme="minorHAnsi" w:cstheme="minorBidi"/>
            <w:noProof/>
            <w:sz w:val="22"/>
          </w:rPr>
          <w:tab/>
        </w:r>
        <w:r w:rsidRPr="00944D6D">
          <w:rPr>
            <w:rStyle w:val="Hyperlink"/>
            <w:noProof/>
          </w:rPr>
          <w:t>Environmental impact statement</w:t>
        </w:r>
        <w:r>
          <w:rPr>
            <w:noProof/>
            <w:webHidden/>
          </w:rPr>
          <w:tab/>
        </w:r>
        <w:r>
          <w:rPr>
            <w:noProof/>
            <w:webHidden/>
          </w:rPr>
          <w:fldChar w:fldCharType="begin"/>
        </w:r>
        <w:r>
          <w:rPr>
            <w:noProof/>
            <w:webHidden/>
          </w:rPr>
          <w:instrText xml:space="preserve"> PAGEREF _Toc518979509 \h </w:instrText>
        </w:r>
        <w:r>
          <w:rPr>
            <w:noProof/>
            <w:webHidden/>
          </w:rPr>
        </w:r>
        <w:r>
          <w:rPr>
            <w:noProof/>
            <w:webHidden/>
          </w:rPr>
          <w:fldChar w:fldCharType="separate"/>
        </w:r>
        <w:r>
          <w:rPr>
            <w:noProof/>
            <w:webHidden/>
          </w:rPr>
          <w:t>35</w:t>
        </w:r>
        <w:r>
          <w:rPr>
            <w:noProof/>
            <w:webHidden/>
          </w:rPr>
          <w:fldChar w:fldCharType="end"/>
        </w:r>
      </w:hyperlink>
    </w:p>
    <w:p w14:paraId="3777CB16" w14:textId="77777777" w:rsidR="00150986" w:rsidRDefault="00150986">
      <w:pPr>
        <w:pStyle w:val="TOC1"/>
        <w:rPr>
          <w:rFonts w:asciiTheme="minorHAnsi" w:eastAsiaTheme="minorEastAsia" w:hAnsiTheme="minorHAnsi" w:cstheme="minorBidi"/>
          <w:noProof/>
          <w:sz w:val="22"/>
        </w:rPr>
      </w:pPr>
      <w:hyperlink w:anchor="_Toc518979510" w:history="1">
        <w:r w:rsidRPr="00944D6D">
          <w:rPr>
            <w:rStyle w:val="Hyperlink"/>
            <w:noProof/>
          </w:rPr>
          <w:t>IX.</w:t>
        </w:r>
        <w:r>
          <w:rPr>
            <w:rFonts w:asciiTheme="minorHAnsi" w:eastAsiaTheme="minorEastAsia" w:hAnsiTheme="minorHAnsi" w:cstheme="minorBidi"/>
            <w:noProof/>
            <w:sz w:val="22"/>
          </w:rPr>
          <w:tab/>
        </w:r>
        <w:r w:rsidRPr="00944D6D">
          <w:rPr>
            <w:rStyle w:val="Hyperlink"/>
            <w:noProof/>
          </w:rPr>
          <w:t>Certification</w:t>
        </w:r>
        <w:r>
          <w:rPr>
            <w:noProof/>
            <w:webHidden/>
          </w:rPr>
          <w:tab/>
        </w:r>
        <w:r>
          <w:rPr>
            <w:noProof/>
            <w:webHidden/>
          </w:rPr>
          <w:fldChar w:fldCharType="begin"/>
        </w:r>
        <w:r>
          <w:rPr>
            <w:noProof/>
            <w:webHidden/>
          </w:rPr>
          <w:instrText xml:space="preserve"> PAGEREF _Toc518979510 \h </w:instrText>
        </w:r>
        <w:r>
          <w:rPr>
            <w:noProof/>
            <w:webHidden/>
          </w:rPr>
        </w:r>
        <w:r>
          <w:rPr>
            <w:noProof/>
            <w:webHidden/>
          </w:rPr>
          <w:fldChar w:fldCharType="separate"/>
        </w:r>
        <w:r>
          <w:rPr>
            <w:noProof/>
            <w:webHidden/>
          </w:rPr>
          <w:t>36</w:t>
        </w:r>
        <w:r>
          <w:rPr>
            <w:noProof/>
            <w:webHidden/>
          </w:rPr>
          <w:fldChar w:fldCharType="end"/>
        </w:r>
      </w:hyperlink>
    </w:p>
    <w:p w14:paraId="09B6D0FB" w14:textId="77777777" w:rsidR="00150986" w:rsidRDefault="00150986">
      <w:pPr>
        <w:pStyle w:val="TOC1"/>
        <w:rPr>
          <w:rFonts w:asciiTheme="minorHAnsi" w:eastAsiaTheme="minorEastAsia" w:hAnsiTheme="minorHAnsi" w:cstheme="minorBidi"/>
          <w:noProof/>
          <w:sz w:val="22"/>
        </w:rPr>
      </w:pPr>
      <w:hyperlink w:anchor="_Toc518979511" w:history="1">
        <w:r w:rsidRPr="00944D6D">
          <w:rPr>
            <w:rStyle w:val="Hyperlink"/>
            <w:noProof/>
          </w:rPr>
          <w:t>Appendix</w:t>
        </w:r>
        <w:r>
          <w:rPr>
            <w:noProof/>
            <w:webHidden/>
          </w:rPr>
          <w:tab/>
        </w:r>
        <w:r>
          <w:rPr>
            <w:noProof/>
            <w:webHidden/>
          </w:rPr>
          <w:fldChar w:fldCharType="begin"/>
        </w:r>
        <w:r>
          <w:rPr>
            <w:noProof/>
            <w:webHidden/>
          </w:rPr>
          <w:instrText xml:space="preserve"> PAGEREF _Toc518979511 \h </w:instrText>
        </w:r>
        <w:r>
          <w:rPr>
            <w:noProof/>
            <w:webHidden/>
          </w:rPr>
        </w:r>
        <w:r>
          <w:rPr>
            <w:noProof/>
            <w:webHidden/>
          </w:rPr>
          <w:fldChar w:fldCharType="separate"/>
        </w:r>
        <w:r>
          <w:rPr>
            <w:noProof/>
            <w:webHidden/>
          </w:rPr>
          <w:t>37</w:t>
        </w:r>
        <w:r>
          <w:rPr>
            <w:noProof/>
            <w:webHidden/>
          </w:rPr>
          <w:fldChar w:fldCharType="end"/>
        </w:r>
      </w:hyperlink>
    </w:p>
    <w:p w14:paraId="3E60385F" w14:textId="77777777" w:rsidR="0052632C" w:rsidRPr="002F64A6" w:rsidRDefault="00BD175B" w:rsidP="0052632C">
      <w:pPr>
        <w:pStyle w:val="L1"/>
        <w:numPr>
          <w:ilvl w:val="0"/>
          <w:numId w:val="0"/>
        </w:numPr>
        <w:ind w:left="475" w:hanging="475"/>
        <w:rPr>
          <w:bCs/>
        </w:rPr>
      </w:pPr>
      <w:r w:rsidRPr="002F64A6">
        <w:rPr>
          <w:bCs/>
        </w:rPr>
        <w:fldChar w:fldCharType="end"/>
      </w:r>
    </w:p>
    <w:p w14:paraId="3A8A730D" w14:textId="4F794B71" w:rsidR="00ED710D" w:rsidRPr="002F64A6" w:rsidRDefault="00ED710D" w:rsidP="00ED710D">
      <w:pPr>
        <w:pStyle w:val="L1"/>
        <w:rPr>
          <w:bCs/>
        </w:rPr>
      </w:pPr>
      <w:bookmarkStart w:id="0" w:name="_Toc518979482"/>
      <w:r w:rsidRPr="002F64A6">
        <w:t>Background</w:t>
      </w:r>
      <w:bookmarkEnd w:id="0"/>
    </w:p>
    <w:p w14:paraId="4BCB8FBC" w14:textId="43B58A37" w:rsidR="00434BC7" w:rsidRDefault="00434BC7" w:rsidP="00434BC7">
      <w:r w:rsidRPr="002F64A6">
        <w:t>Global warming is resulting in more frequent days of extreme heat, and record-breaking summers are now becoming the norm. 2017 was the second-hottest year on record, surpassed only by 2016.</w:t>
      </w:r>
      <w:r w:rsidRPr="002F64A6">
        <w:rPr>
          <w:rStyle w:val="FootnoteReference"/>
          <w:rFonts w:asciiTheme="majorBidi" w:hAnsiTheme="majorBidi" w:cstheme="majorBidi"/>
          <w:szCs w:val="24"/>
        </w:rPr>
        <w:footnoteReference w:id="4"/>
      </w:r>
      <w:r w:rsidRPr="002F64A6">
        <w:t xml:space="preserve"> Indeed, 17 of the 18 hottest years on record have occurred since 2001.</w:t>
      </w:r>
      <w:r w:rsidRPr="002F64A6">
        <w:rPr>
          <w:rStyle w:val="FootnoteReference"/>
          <w:rFonts w:asciiTheme="majorBidi" w:hAnsiTheme="majorBidi" w:cstheme="majorBidi"/>
          <w:szCs w:val="24"/>
        </w:rPr>
        <w:footnoteReference w:id="5"/>
      </w:r>
      <w:r w:rsidRPr="002F64A6">
        <w:t xml:space="preserve"> </w:t>
      </w:r>
      <w:r>
        <w:t xml:space="preserve">According to the </w:t>
      </w:r>
      <w:r w:rsidR="00FF4779">
        <w:t xml:space="preserve">Fourth U.S. </w:t>
      </w:r>
      <w:r>
        <w:t>National Climate Assessment, average annual temperatures in the contiguous U.S. have already risen by 1.2°F (0.7°C) for the period 1986–2016 relative to 1901–1960 and by 1.8°F (1.0°C) for the period 1895–2016.</w:t>
      </w:r>
      <w:bookmarkStart w:id="1" w:name="_GoBack"/>
      <w:bookmarkEnd w:id="1"/>
      <w:r>
        <w:rPr>
          <w:rStyle w:val="FootnoteReference"/>
        </w:rPr>
        <w:footnoteReference w:id="6"/>
      </w:r>
      <w:r>
        <w:t xml:space="preserve"> This </w:t>
      </w:r>
      <w:r w:rsidR="00FF4779">
        <w:t xml:space="preserve">warming </w:t>
      </w:r>
      <w:r>
        <w:t xml:space="preserve">trend will not </w:t>
      </w:r>
      <w:r w:rsidR="00FF4779">
        <w:t xml:space="preserve">only </w:t>
      </w:r>
      <w:r>
        <w:t>continue, but accelerate. Record-setting years will be common in the coming decades, as temperatures are projected to increase by 2.5°F (1.4°C) for the period 2021–2050 relative to 1976–2005 even</w:t>
      </w:r>
      <w:r w:rsidR="00E94638">
        <w:t xml:space="preserve"> if </w:t>
      </w:r>
      <w:r w:rsidR="007C5A9F">
        <w:t xml:space="preserve">we aggressively reduce </w:t>
      </w:r>
      <w:r>
        <w:t xml:space="preserve">greenhouse gas </w:t>
      </w:r>
      <w:r w:rsidR="00E94638">
        <w:t xml:space="preserve">pollution </w:t>
      </w:r>
      <w:r w:rsidR="007C5A9F">
        <w:t>world</w:t>
      </w:r>
      <w:r w:rsidR="00D33513">
        <w:t>wide</w:t>
      </w:r>
      <w:r>
        <w:t>.</w:t>
      </w:r>
      <w:r>
        <w:rPr>
          <w:rStyle w:val="FootnoteReference"/>
        </w:rPr>
        <w:footnoteReference w:id="7"/>
      </w:r>
    </w:p>
    <w:p w14:paraId="5B55EEDF" w14:textId="45A557C5" w:rsidR="00434BC7" w:rsidRPr="002F64A6" w:rsidRDefault="00434BC7" w:rsidP="00434BC7">
      <w:r>
        <w:t xml:space="preserve">Extreme </w:t>
      </w:r>
      <w:r w:rsidR="00927016">
        <w:t xml:space="preserve">high </w:t>
      </w:r>
      <w:r>
        <w:t>temperatures are projected to increase even more than average temperatures, with cold waves becoming less intense and heat waves becoming more intense.</w:t>
      </w:r>
      <w:r>
        <w:rPr>
          <w:rStyle w:val="FootnoteReference"/>
        </w:rPr>
        <w:footnoteReference w:id="8"/>
      </w:r>
      <w:r>
        <w:t xml:space="preserve"> </w:t>
      </w:r>
      <w:r w:rsidRPr="002F64A6">
        <w:t xml:space="preserve">On our current </w:t>
      </w:r>
      <w:r w:rsidRPr="002F64A6">
        <w:lastRenderedPageBreak/>
        <w:t xml:space="preserve">greenhouse gas emissions path, by 2100 nearly the entire southeastern U.S., from Virginia to the southern tip of Texas, will experience </w:t>
      </w:r>
      <w:r>
        <w:t xml:space="preserve">on average </w:t>
      </w:r>
      <w:r w:rsidRPr="002F64A6">
        <w:t xml:space="preserve">more than 85 </w:t>
      </w:r>
      <w:r>
        <w:t xml:space="preserve">“deadly heat” </w:t>
      </w:r>
      <w:r w:rsidRPr="002F64A6">
        <w:t>days per year</w:t>
      </w:r>
      <w:r w:rsidR="001C08A2">
        <w:t>—</w:t>
      </w:r>
      <w:r>
        <w:t>days on which</w:t>
      </w:r>
      <w:r w:rsidRPr="002F64A6">
        <w:t xml:space="preserve"> the combined heat and humidity overwhelm human thermoregulatory capacity even for people at rest</w:t>
      </w:r>
      <w:r>
        <w:t xml:space="preserve">. </w:t>
      </w:r>
      <w:r w:rsidRPr="002F64A6">
        <w:t xml:space="preserve">Large portions of the region will experience more than 150 </w:t>
      </w:r>
      <w:r w:rsidR="0022418F">
        <w:t xml:space="preserve">deadly heat days </w:t>
      </w:r>
      <w:r w:rsidRPr="002F64A6">
        <w:t>per year.</w:t>
      </w:r>
      <w:r w:rsidRPr="002F64A6">
        <w:rPr>
          <w:rStyle w:val="FootnoteReference"/>
          <w:rFonts w:asciiTheme="majorBidi" w:hAnsiTheme="majorBidi" w:cstheme="majorBidi"/>
          <w:szCs w:val="24"/>
        </w:rPr>
        <w:footnoteReference w:id="9"/>
      </w:r>
    </w:p>
    <w:p w14:paraId="37CEB1F7" w14:textId="3925A068" w:rsidR="00ED710D" w:rsidRPr="0072656B" w:rsidRDefault="00ED710D" w:rsidP="00ED710D">
      <w:r w:rsidRPr="002F64A6">
        <w:t xml:space="preserve">Workers </w:t>
      </w:r>
      <w:r w:rsidR="0089613F" w:rsidRPr="002F64A6">
        <w:t xml:space="preserve">are </w:t>
      </w:r>
      <w:r w:rsidR="0089613F">
        <w:t xml:space="preserve">laboring </w:t>
      </w:r>
      <w:r w:rsidR="0089613F" w:rsidRPr="002F64A6">
        <w:t>in extreme heat</w:t>
      </w:r>
      <w:r w:rsidR="0089613F">
        <w:t xml:space="preserve">, </w:t>
      </w:r>
      <w:r w:rsidR="0089613F" w:rsidRPr="002F64A6">
        <w:t xml:space="preserve">often with no </w:t>
      </w:r>
      <w:r w:rsidR="0089613F">
        <w:t xml:space="preserve">protections </w:t>
      </w:r>
      <w:r w:rsidR="0089613F" w:rsidRPr="002F64A6">
        <w:t xml:space="preserve">from heat </w:t>
      </w:r>
      <w:r w:rsidR="00D765FD">
        <w:t>stress</w:t>
      </w:r>
      <w:r w:rsidR="0089613F">
        <w:t>, in a wide range of indoor and outdoor workplaces, including farms, construction sites, steel mills,</w:t>
      </w:r>
      <w:r w:rsidR="002561E9">
        <w:t xml:space="preserve"> warehouses</w:t>
      </w:r>
      <w:r w:rsidR="00B408BB">
        <w:t>,</w:t>
      </w:r>
      <w:r w:rsidR="0089613F">
        <w:t xml:space="preserve"> and </w:t>
      </w:r>
      <w:r w:rsidR="002561E9">
        <w:t xml:space="preserve">manufacturing and </w:t>
      </w:r>
      <w:r w:rsidR="0089613F">
        <w:t>meat-packing plants</w:t>
      </w:r>
      <w:r w:rsidR="0072656B">
        <w:t xml:space="preserve">. </w:t>
      </w:r>
      <w:r w:rsidRPr="002F64A6">
        <w:rPr>
          <w:rFonts w:asciiTheme="majorBidi" w:hAnsiTheme="majorBidi" w:cstheme="majorBidi"/>
          <w:szCs w:val="24"/>
        </w:rPr>
        <w:t>According to the Bureau of Labor Statistics, from 1992 through 2016, exposure to excessive environmental heat killed 783 U.S. workers and seriously injured 69,374 (</w:t>
      </w:r>
      <w:r w:rsidR="00CD2609" w:rsidRPr="002F64A6">
        <w:rPr>
          <w:rFonts w:asciiTheme="majorBidi" w:hAnsiTheme="majorBidi" w:cstheme="majorBidi"/>
          <w:bCs/>
          <w:szCs w:val="24"/>
        </w:rPr>
        <w:fldChar w:fldCharType="begin"/>
      </w:r>
      <w:r w:rsidR="00CD2609" w:rsidRPr="002F64A6">
        <w:rPr>
          <w:rFonts w:asciiTheme="majorBidi" w:hAnsiTheme="majorBidi" w:cstheme="majorBidi"/>
          <w:bCs/>
          <w:szCs w:val="24"/>
        </w:rPr>
        <w:instrText xml:space="preserve"> REF _Ref514585299 \h </w:instrText>
      </w:r>
      <w:r w:rsidR="00942E83" w:rsidRPr="002F64A6">
        <w:rPr>
          <w:rFonts w:asciiTheme="majorBidi" w:hAnsiTheme="majorBidi" w:cstheme="majorBidi"/>
          <w:bCs/>
          <w:szCs w:val="24"/>
        </w:rPr>
        <w:instrText xml:space="preserve"> \* MERGEFORMAT </w:instrText>
      </w:r>
      <w:r w:rsidR="00CD2609" w:rsidRPr="002F64A6">
        <w:rPr>
          <w:rFonts w:asciiTheme="majorBidi" w:hAnsiTheme="majorBidi" w:cstheme="majorBidi"/>
          <w:bCs/>
          <w:szCs w:val="24"/>
        </w:rPr>
      </w:r>
      <w:r w:rsidR="00CD2609" w:rsidRPr="002F64A6">
        <w:rPr>
          <w:rFonts w:asciiTheme="majorBidi" w:hAnsiTheme="majorBidi" w:cstheme="majorBidi"/>
          <w:bCs/>
          <w:szCs w:val="24"/>
        </w:rPr>
        <w:fldChar w:fldCharType="separate"/>
      </w:r>
      <w:r w:rsidR="00E35FAB" w:rsidRPr="002F64A6">
        <w:t xml:space="preserve">Figure </w:t>
      </w:r>
      <w:r w:rsidR="00E35FAB">
        <w:rPr>
          <w:noProof/>
        </w:rPr>
        <w:t>1</w:t>
      </w:r>
      <w:r w:rsidR="00CD2609" w:rsidRPr="002F64A6">
        <w:rPr>
          <w:rFonts w:asciiTheme="majorBidi" w:hAnsiTheme="majorBidi" w:cstheme="majorBidi"/>
          <w:bCs/>
          <w:szCs w:val="24"/>
        </w:rPr>
        <w:fldChar w:fldCharType="end"/>
      </w:r>
      <w:r w:rsidR="00AB286A" w:rsidRPr="002F64A6">
        <w:rPr>
          <w:rFonts w:asciiTheme="majorBidi" w:hAnsiTheme="majorBidi" w:cstheme="majorBidi"/>
          <w:bCs/>
          <w:szCs w:val="24"/>
        </w:rPr>
        <w:t xml:space="preserve"> and</w:t>
      </w:r>
      <w:r w:rsidR="00BC5867" w:rsidRPr="002F64A6">
        <w:rPr>
          <w:rFonts w:asciiTheme="majorBidi" w:hAnsiTheme="majorBidi" w:cstheme="majorBidi"/>
          <w:bCs/>
          <w:szCs w:val="24"/>
        </w:rPr>
        <w:t xml:space="preserve"> </w:t>
      </w:r>
      <w:r w:rsidR="008C5081" w:rsidRPr="002F64A6">
        <w:rPr>
          <w:rFonts w:asciiTheme="majorBidi" w:hAnsiTheme="majorBidi" w:cstheme="majorBidi"/>
          <w:bCs/>
          <w:szCs w:val="24"/>
        </w:rPr>
        <w:fldChar w:fldCharType="begin"/>
      </w:r>
      <w:r w:rsidR="008C5081" w:rsidRPr="002F64A6">
        <w:rPr>
          <w:rFonts w:asciiTheme="majorBidi" w:hAnsiTheme="majorBidi" w:cstheme="majorBidi"/>
          <w:bCs/>
          <w:szCs w:val="24"/>
        </w:rPr>
        <w:instrText xml:space="preserve"> REF _Ref514585314 \h </w:instrText>
      </w:r>
      <w:r w:rsidR="00942E83" w:rsidRPr="002F64A6">
        <w:rPr>
          <w:rFonts w:asciiTheme="majorBidi" w:hAnsiTheme="majorBidi" w:cstheme="majorBidi"/>
          <w:bCs/>
          <w:szCs w:val="24"/>
        </w:rPr>
        <w:instrText xml:space="preserve"> \* MERGEFORMAT </w:instrText>
      </w:r>
      <w:r w:rsidR="008C5081" w:rsidRPr="002F64A6">
        <w:rPr>
          <w:rFonts w:asciiTheme="majorBidi" w:hAnsiTheme="majorBidi" w:cstheme="majorBidi"/>
          <w:bCs/>
          <w:szCs w:val="24"/>
        </w:rPr>
      </w:r>
      <w:r w:rsidR="008C5081" w:rsidRPr="002F64A6">
        <w:rPr>
          <w:rFonts w:asciiTheme="majorBidi" w:hAnsiTheme="majorBidi" w:cstheme="majorBidi"/>
          <w:bCs/>
          <w:szCs w:val="24"/>
        </w:rPr>
        <w:fldChar w:fldCharType="separate"/>
      </w:r>
      <w:r w:rsidR="00E35FAB" w:rsidRPr="002F64A6">
        <w:t xml:space="preserve">Figure </w:t>
      </w:r>
      <w:r w:rsidR="00E35FAB">
        <w:rPr>
          <w:noProof/>
        </w:rPr>
        <w:t>2</w:t>
      </w:r>
      <w:r w:rsidR="008C5081" w:rsidRPr="002F64A6">
        <w:rPr>
          <w:rFonts w:asciiTheme="majorBidi" w:hAnsiTheme="majorBidi" w:cstheme="majorBidi"/>
          <w:bCs/>
          <w:szCs w:val="24"/>
        </w:rPr>
        <w:fldChar w:fldCharType="end"/>
      </w:r>
      <w:r w:rsidRPr="002F64A6">
        <w:rPr>
          <w:rFonts w:asciiTheme="majorBidi" w:hAnsiTheme="majorBidi" w:cstheme="majorBidi"/>
          <w:szCs w:val="24"/>
        </w:rPr>
        <w:t>).</w:t>
      </w:r>
      <w:r w:rsidRPr="002F64A6">
        <w:rPr>
          <w:rFonts w:asciiTheme="majorBidi" w:hAnsiTheme="majorBidi" w:cstheme="majorBidi"/>
          <w:szCs w:val="24"/>
          <w:vertAlign w:val="superscript"/>
        </w:rPr>
        <w:footnoteReference w:id="10"/>
      </w:r>
      <w:r w:rsidRPr="002F64A6">
        <w:rPr>
          <w:rFonts w:asciiTheme="majorBidi" w:hAnsiTheme="majorBidi" w:cstheme="majorBidi"/>
          <w:szCs w:val="24"/>
        </w:rPr>
        <w:t xml:space="preserve"> These figures are in all</w:t>
      </w:r>
      <w:r w:rsidR="00CF540C">
        <w:rPr>
          <w:rFonts w:asciiTheme="majorBidi" w:hAnsiTheme="majorBidi" w:cstheme="majorBidi"/>
          <w:szCs w:val="24"/>
        </w:rPr>
        <w:t xml:space="preserve"> likelihood vast underestimates</w:t>
      </w:r>
      <w:r w:rsidRPr="002F64A6">
        <w:rPr>
          <w:rFonts w:asciiTheme="majorBidi" w:hAnsiTheme="majorBidi" w:cstheme="majorBidi"/>
          <w:szCs w:val="24"/>
        </w:rPr>
        <w:t xml:space="preserve"> due to under-reporting. And with accelerating global warming, the United Nations reported in 2016 that worker injuries and deaths due to excessive heat exposure are projected to increase in the coming years.</w:t>
      </w:r>
      <w:r w:rsidRPr="002F64A6">
        <w:rPr>
          <w:rStyle w:val="FootnoteReference"/>
          <w:rFonts w:asciiTheme="majorBidi" w:hAnsiTheme="majorBidi" w:cstheme="majorBidi"/>
          <w:szCs w:val="24"/>
        </w:rPr>
        <w:footnoteReference w:id="11"/>
      </w:r>
      <w:r w:rsidR="0053751A">
        <w:rPr>
          <w:rFonts w:asciiTheme="majorBidi" w:hAnsiTheme="majorBidi" w:cstheme="majorBidi"/>
          <w:szCs w:val="24"/>
        </w:rPr>
        <w:t xml:space="preserve"> Outdoor </w:t>
      </w:r>
      <w:r w:rsidR="00BC02AE">
        <w:rPr>
          <w:rFonts w:asciiTheme="majorBidi" w:hAnsiTheme="majorBidi" w:cstheme="majorBidi"/>
          <w:szCs w:val="24"/>
        </w:rPr>
        <w:t xml:space="preserve">laborers </w:t>
      </w:r>
      <w:r w:rsidR="0053751A">
        <w:rPr>
          <w:rFonts w:asciiTheme="majorBidi" w:hAnsiTheme="majorBidi" w:cstheme="majorBidi"/>
          <w:szCs w:val="24"/>
        </w:rPr>
        <w:t xml:space="preserve">will be put at greater risk due to </w:t>
      </w:r>
      <w:r w:rsidR="00BC02AE">
        <w:rPr>
          <w:rFonts w:asciiTheme="majorBidi" w:hAnsiTheme="majorBidi" w:cstheme="majorBidi"/>
          <w:szCs w:val="24"/>
        </w:rPr>
        <w:t xml:space="preserve">workplace </w:t>
      </w:r>
      <w:r w:rsidR="0053751A">
        <w:rPr>
          <w:rFonts w:asciiTheme="majorBidi" w:hAnsiTheme="majorBidi" w:cstheme="majorBidi"/>
          <w:szCs w:val="24"/>
        </w:rPr>
        <w:t>heat stress; but indoor workers will be at great</w:t>
      </w:r>
      <w:r w:rsidR="00BC02AE">
        <w:rPr>
          <w:rFonts w:asciiTheme="majorBidi" w:hAnsiTheme="majorBidi" w:cstheme="majorBidi"/>
          <w:szCs w:val="24"/>
        </w:rPr>
        <w:t>er</w:t>
      </w:r>
      <w:r w:rsidR="0053751A">
        <w:rPr>
          <w:rFonts w:asciiTheme="majorBidi" w:hAnsiTheme="majorBidi" w:cstheme="majorBidi"/>
          <w:szCs w:val="24"/>
        </w:rPr>
        <w:t xml:space="preserve"> risk too, as extreme heat and higher overnight low temperatures make it more difficult to cool down </w:t>
      </w:r>
      <w:r w:rsidR="004C6C69">
        <w:rPr>
          <w:rFonts w:asciiTheme="majorBidi" w:hAnsiTheme="majorBidi" w:cstheme="majorBidi"/>
          <w:szCs w:val="24"/>
        </w:rPr>
        <w:t>outside of work</w:t>
      </w:r>
      <w:r w:rsidR="0053751A">
        <w:rPr>
          <w:rFonts w:asciiTheme="majorBidi" w:hAnsiTheme="majorBidi" w:cstheme="majorBidi"/>
          <w:szCs w:val="24"/>
        </w:rPr>
        <w:t xml:space="preserve">, </w:t>
      </w:r>
      <w:r w:rsidR="003B2BBA">
        <w:rPr>
          <w:rFonts w:asciiTheme="majorBidi" w:hAnsiTheme="majorBidi" w:cstheme="majorBidi"/>
          <w:szCs w:val="24"/>
        </w:rPr>
        <w:t xml:space="preserve">increasing vulnerability </w:t>
      </w:r>
      <w:r w:rsidR="004C6C69">
        <w:rPr>
          <w:rFonts w:asciiTheme="majorBidi" w:hAnsiTheme="majorBidi" w:cstheme="majorBidi"/>
          <w:szCs w:val="24"/>
        </w:rPr>
        <w:t>o</w:t>
      </w:r>
      <w:r w:rsidR="003B2BBA">
        <w:rPr>
          <w:rFonts w:asciiTheme="majorBidi" w:hAnsiTheme="majorBidi" w:cstheme="majorBidi"/>
          <w:szCs w:val="24"/>
        </w:rPr>
        <w:t>n the job.</w:t>
      </w:r>
    </w:p>
    <w:p w14:paraId="0F8E3417" w14:textId="42C4902D" w:rsidR="00ED710D" w:rsidRPr="002F64A6" w:rsidRDefault="00ED710D" w:rsidP="00ED710D">
      <w:pPr>
        <w:rPr>
          <w:rFonts w:asciiTheme="majorBidi" w:hAnsiTheme="majorBidi" w:cstheme="majorBidi"/>
          <w:szCs w:val="24"/>
        </w:rPr>
      </w:pPr>
      <w:r w:rsidRPr="002F64A6">
        <w:rPr>
          <w:rFonts w:asciiTheme="majorBidi" w:hAnsiTheme="majorBidi" w:cstheme="majorBidi"/>
          <w:szCs w:val="24"/>
        </w:rPr>
        <w:t xml:space="preserve">In addition to the acute risks of death and </w:t>
      </w:r>
      <w:r w:rsidR="0026530B">
        <w:rPr>
          <w:rFonts w:asciiTheme="majorBidi" w:hAnsiTheme="majorBidi" w:cstheme="majorBidi"/>
          <w:szCs w:val="24"/>
        </w:rPr>
        <w:t>illness</w:t>
      </w:r>
      <w:r w:rsidRPr="002F64A6">
        <w:rPr>
          <w:rFonts w:asciiTheme="majorBidi" w:hAnsiTheme="majorBidi" w:cstheme="majorBidi"/>
          <w:szCs w:val="24"/>
        </w:rPr>
        <w:t xml:space="preserve">, heat stress likely poses long-term risks. For example, in recent decades an epidemic of chronic kidney disease of unknown </w:t>
      </w:r>
      <w:r w:rsidR="00562E98" w:rsidRPr="002F64A6">
        <w:rPr>
          <w:rFonts w:asciiTheme="majorBidi" w:hAnsiTheme="majorBidi" w:cstheme="majorBidi"/>
          <w:szCs w:val="24"/>
        </w:rPr>
        <w:t xml:space="preserve">etiology </w:t>
      </w:r>
      <w:r w:rsidRPr="002F64A6">
        <w:rPr>
          <w:rFonts w:asciiTheme="majorBidi" w:hAnsiTheme="majorBidi" w:cstheme="majorBidi"/>
          <w:szCs w:val="24"/>
        </w:rPr>
        <w:t xml:space="preserve">has taken hold in Central America, becoming the second-leading cause of death among men in El Salvador, and chronic heat stress is strongly suspected to be a contributing factor to the illness (see section below on </w:t>
      </w:r>
      <w:r w:rsidR="00DB23CF">
        <w:rPr>
          <w:rFonts w:asciiTheme="majorBidi" w:hAnsiTheme="majorBidi" w:cstheme="majorBidi"/>
          <w:szCs w:val="24"/>
        </w:rPr>
        <w:t>“</w:t>
      </w:r>
      <w:r w:rsidRPr="002F64A6">
        <w:rPr>
          <w:rFonts w:asciiTheme="majorBidi" w:hAnsiTheme="majorBidi" w:cstheme="majorBidi"/>
          <w:szCs w:val="24"/>
        </w:rPr>
        <w:t xml:space="preserve">chronic </w:t>
      </w:r>
      <w:r w:rsidR="000056D2">
        <w:rPr>
          <w:rFonts w:asciiTheme="majorBidi" w:hAnsiTheme="majorBidi" w:cstheme="majorBidi"/>
          <w:szCs w:val="24"/>
        </w:rPr>
        <w:t>heat-related illness</w:t>
      </w:r>
      <w:r w:rsidR="00DB23CF">
        <w:rPr>
          <w:rFonts w:asciiTheme="majorBidi" w:hAnsiTheme="majorBidi" w:cstheme="majorBidi"/>
          <w:szCs w:val="24"/>
        </w:rPr>
        <w:t>”</w:t>
      </w:r>
      <w:r w:rsidRPr="002F64A6">
        <w:rPr>
          <w:rFonts w:asciiTheme="majorBidi" w:hAnsiTheme="majorBidi" w:cstheme="majorBidi"/>
          <w:szCs w:val="24"/>
        </w:rPr>
        <w:t xml:space="preserve">). Such illnesses can be expected to </w:t>
      </w:r>
      <w:r w:rsidR="00581815">
        <w:rPr>
          <w:rFonts w:asciiTheme="majorBidi" w:hAnsiTheme="majorBidi" w:cstheme="majorBidi"/>
          <w:szCs w:val="24"/>
        </w:rPr>
        <w:t xml:space="preserve">occur more widely globally </w:t>
      </w:r>
      <w:r w:rsidRPr="002F64A6">
        <w:rPr>
          <w:rFonts w:asciiTheme="majorBidi" w:hAnsiTheme="majorBidi" w:cstheme="majorBidi"/>
          <w:szCs w:val="24"/>
        </w:rPr>
        <w:t>as temperatures rise and, indeed, there is already some evidence that rates of kidney disease may be abnormally high among migrant farm workers in California</w:t>
      </w:r>
      <w:r w:rsidR="00DB23CF">
        <w:rPr>
          <w:rFonts w:asciiTheme="majorBidi" w:hAnsiTheme="majorBidi" w:cstheme="majorBidi"/>
          <w:szCs w:val="24"/>
        </w:rPr>
        <w:t>’</w:t>
      </w:r>
      <w:r w:rsidRPr="002F64A6">
        <w:rPr>
          <w:rFonts w:asciiTheme="majorBidi" w:hAnsiTheme="majorBidi" w:cstheme="majorBidi"/>
          <w:szCs w:val="24"/>
        </w:rPr>
        <w:t>s Central Valley.</w:t>
      </w:r>
      <w:r w:rsidRPr="002F64A6">
        <w:rPr>
          <w:rStyle w:val="FootnoteReference"/>
          <w:rFonts w:asciiTheme="majorBidi" w:hAnsiTheme="majorBidi" w:cstheme="majorBidi"/>
          <w:szCs w:val="24"/>
        </w:rPr>
        <w:footnoteReference w:id="12"/>
      </w:r>
    </w:p>
    <w:p w14:paraId="5D710449" w14:textId="77777777" w:rsidR="00ED710D" w:rsidRPr="002F64A6" w:rsidRDefault="00ED710D" w:rsidP="00ED710D">
      <w:pPr>
        <w:pStyle w:val="L1"/>
      </w:pPr>
      <w:bookmarkStart w:id="2" w:name="_Toc518979483"/>
      <w:r w:rsidRPr="002F64A6">
        <w:t>Health effects of excessive heat exposure</w:t>
      </w:r>
      <w:bookmarkEnd w:id="2"/>
    </w:p>
    <w:p w14:paraId="53BE4B9F" w14:textId="08791BCE" w:rsidR="00ED710D" w:rsidRPr="002F64A6" w:rsidRDefault="00ED710D" w:rsidP="00ED710D">
      <w:pPr>
        <w:rPr>
          <w:rFonts w:asciiTheme="majorBidi" w:hAnsiTheme="majorBidi" w:cstheme="majorBidi"/>
          <w:szCs w:val="24"/>
        </w:rPr>
      </w:pPr>
      <w:r w:rsidRPr="002F64A6">
        <w:rPr>
          <w:rFonts w:asciiTheme="majorBidi" w:hAnsiTheme="majorBidi" w:cstheme="majorBidi"/>
          <w:szCs w:val="24"/>
        </w:rPr>
        <w:t xml:space="preserve">The human body needs to maintain a core, or internal, temperature of 37 degrees Celsius (98.6 Fahrenheit) and can tolerate </w:t>
      </w:r>
      <w:r w:rsidR="00904156">
        <w:rPr>
          <w:rFonts w:asciiTheme="majorBidi" w:hAnsiTheme="majorBidi" w:cstheme="majorBidi"/>
          <w:szCs w:val="24"/>
        </w:rPr>
        <w:t xml:space="preserve">only </w:t>
      </w:r>
      <w:r w:rsidRPr="002F64A6">
        <w:rPr>
          <w:rFonts w:asciiTheme="majorBidi" w:hAnsiTheme="majorBidi" w:cstheme="majorBidi"/>
          <w:szCs w:val="24"/>
        </w:rPr>
        <w:t>small deviations from this temperature.</w:t>
      </w:r>
      <w:r w:rsidRPr="002F64A6">
        <w:rPr>
          <w:rStyle w:val="FootnoteReference"/>
          <w:rFonts w:asciiTheme="majorBidi" w:hAnsiTheme="majorBidi" w:cstheme="majorBidi"/>
          <w:szCs w:val="24"/>
        </w:rPr>
        <w:footnoteReference w:id="13"/>
      </w:r>
      <w:r w:rsidRPr="002F64A6">
        <w:rPr>
          <w:rFonts w:asciiTheme="majorBidi" w:hAnsiTheme="majorBidi" w:cstheme="majorBidi"/>
          <w:szCs w:val="24"/>
        </w:rPr>
        <w:t xml:space="preserve"> </w:t>
      </w:r>
      <w:r w:rsidR="008451B0">
        <w:rPr>
          <w:rFonts w:asciiTheme="majorBidi" w:hAnsiTheme="majorBidi" w:cstheme="majorBidi"/>
          <w:szCs w:val="24"/>
        </w:rPr>
        <w:t>T</w:t>
      </w:r>
      <w:r w:rsidRPr="002F64A6">
        <w:rPr>
          <w:rFonts w:asciiTheme="majorBidi" w:hAnsiTheme="majorBidi" w:cstheme="majorBidi"/>
          <w:szCs w:val="24"/>
        </w:rPr>
        <w:t>wo sources of heat can raise the body</w:t>
      </w:r>
      <w:r w:rsidR="00DB23CF">
        <w:rPr>
          <w:rFonts w:asciiTheme="majorBidi" w:hAnsiTheme="majorBidi" w:cstheme="majorBidi"/>
          <w:szCs w:val="24"/>
        </w:rPr>
        <w:t>’</w:t>
      </w:r>
      <w:r w:rsidRPr="002F64A6">
        <w:rPr>
          <w:rFonts w:asciiTheme="majorBidi" w:hAnsiTheme="majorBidi" w:cstheme="majorBidi"/>
          <w:szCs w:val="24"/>
        </w:rPr>
        <w:t xml:space="preserve">s temperature: </w:t>
      </w:r>
      <w:r w:rsidR="00A127CB" w:rsidRPr="002F64A6">
        <w:rPr>
          <w:rFonts w:asciiTheme="majorBidi" w:hAnsiTheme="majorBidi" w:cstheme="majorBidi"/>
          <w:szCs w:val="24"/>
        </w:rPr>
        <w:t>(</w:t>
      </w:r>
      <w:r w:rsidRPr="002F64A6">
        <w:rPr>
          <w:rFonts w:asciiTheme="majorBidi" w:hAnsiTheme="majorBidi" w:cstheme="majorBidi"/>
          <w:szCs w:val="24"/>
        </w:rPr>
        <w:t>1) environmental heat, such as that from a hot summer day</w:t>
      </w:r>
      <w:r w:rsidR="001F7099">
        <w:rPr>
          <w:rFonts w:asciiTheme="majorBidi" w:hAnsiTheme="majorBidi" w:cstheme="majorBidi"/>
          <w:szCs w:val="24"/>
        </w:rPr>
        <w:t xml:space="preserve"> or a furnace</w:t>
      </w:r>
      <w:r w:rsidRPr="002F64A6">
        <w:rPr>
          <w:rFonts w:asciiTheme="majorBidi" w:hAnsiTheme="majorBidi" w:cstheme="majorBidi"/>
          <w:szCs w:val="24"/>
        </w:rPr>
        <w:t xml:space="preserve">, and </w:t>
      </w:r>
      <w:r w:rsidR="00A127CB" w:rsidRPr="002F64A6">
        <w:rPr>
          <w:rFonts w:asciiTheme="majorBidi" w:hAnsiTheme="majorBidi" w:cstheme="majorBidi"/>
          <w:szCs w:val="24"/>
        </w:rPr>
        <w:t>(</w:t>
      </w:r>
      <w:r w:rsidRPr="002F64A6">
        <w:rPr>
          <w:rFonts w:asciiTheme="majorBidi" w:hAnsiTheme="majorBidi" w:cstheme="majorBidi"/>
          <w:szCs w:val="24"/>
        </w:rPr>
        <w:t>2) metabolic heat, or the heat that the body generates internally, especially with physical activity.</w:t>
      </w:r>
      <w:r w:rsidRPr="002F64A6">
        <w:rPr>
          <w:rStyle w:val="FootnoteReference"/>
          <w:rFonts w:asciiTheme="majorBidi" w:hAnsiTheme="majorBidi" w:cstheme="majorBidi"/>
          <w:szCs w:val="24"/>
        </w:rPr>
        <w:footnoteReference w:id="14"/>
      </w:r>
      <w:r w:rsidRPr="002F64A6">
        <w:rPr>
          <w:rFonts w:asciiTheme="majorBidi" w:hAnsiTheme="majorBidi" w:cstheme="majorBidi"/>
          <w:szCs w:val="24"/>
        </w:rPr>
        <w:t xml:space="preserve"> Workers who perform strenuous physical labor while exposed to </w:t>
      </w:r>
      <w:r w:rsidR="00945922">
        <w:rPr>
          <w:rFonts w:asciiTheme="majorBidi" w:hAnsiTheme="majorBidi" w:cstheme="majorBidi"/>
          <w:szCs w:val="24"/>
        </w:rPr>
        <w:lastRenderedPageBreak/>
        <w:t xml:space="preserve">environmental </w:t>
      </w:r>
      <w:r w:rsidRPr="002F64A6">
        <w:rPr>
          <w:rFonts w:asciiTheme="majorBidi" w:hAnsiTheme="majorBidi" w:cstheme="majorBidi"/>
          <w:szCs w:val="24"/>
        </w:rPr>
        <w:t>heat will rapidly increase their body temperature through both mechanisms simultaneously, leaving them especially vulnerable to heat stress.</w:t>
      </w:r>
    </w:p>
    <w:p w14:paraId="4667EA34" w14:textId="32249714" w:rsidR="00ED710D" w:rsidRPr="002F64A6" w:rsidRDefault="00ED710D" w:rsidP="008A774C">
      <w:pPr>
        <w:pStyle w:val="L2"/>
      </w:pPr>
      <w:bookmarkStart w:id="3" w:name="_Toc518979484"/>
      <w:r w:rsidRPr="002F64A6">
        <w:t>The body</w:t>
      </w:r>
      <w:r w:rsidR="00DB23CF">
        <w:t>’</w:t>
      </w:r>
      <w:r w:rsidRPr="002F64A6">
        <w:t xml:space="preserve">s normal response to high heat levels: The </w:t>
      </w:r>
      <w:r w:rsidR="00562E98" w:rsidRPr="002F64A6">
        <w:t xml:space="preserve">crucial </w:t>
      </w:r>
      <w:r w:rsidRPr="002F64A6">
        <w:t>importance of the sweat response</w:t>
      </w:r>
      <w:bookmarkEnd w:id="3"/>
    </w:p>
    <w:p w14:paraId="1B90A5C2" w14:textId="6B7E5404" w:rsidR="00ED710D" w:rsidRPr="002F64A6" w:rsidRDefault="00ED710D" w:rsidP="00ED710D">
      <w:pPr>
        <w:rPr>
          <w:rFonts w:asciiTheme="majorBidi" w:hAnsiTheme="majorBidi" w:cstheme="majorBidi"/>
          <w:szCs w:val="24"/>
        </w:rPr>
      </w:pPr>
      <w:r w:rsidRPr="002F64A6">
        <w:rPr>
          <w:rFonts w:asciiTheme="majorBidi" w:hAnsiTheme="majorBidi" w:cstheme="majorBidi"/>
          <w:szCs w:val="24"/>
        </w:rPr>
        <w:t>Any increase in the body</w:t>
      </w:r>
      <w:r w:rsidR="00DB23CF">
        <w:rPr>
          <w:rFonts w:asciiTheme="majorBidi" w:hAnsiTheme="majorBidi" w:cstheme="majorBidi"/>
          <w:szCs w:val="24"/>
        </w:rPr>
        <w:t>’</w:t>
      </w:r>
      <w:r w:rsidRPr="002F64A6">
        <w:rPr>
          <w:rFonts w:asciiTheme="majorBidi" w:hAnsiTheme="majorBidi" w:cstheme="majorBidi"/>
          <w:szCs w:val="24"/>
        </w:rPr>
        <w:t xml:space="preserve">s core temperature induces a series of compensatory responses to emit the excess heat and cool the body. In a hot environment, </w:t>
      </w:r>
      <w:r w:rsidR="00562E98" w:rsidRPr="002F64A6">
        <w:rPr>
          <w:rFonts w:asciiTheme="majorBidi" w:hAnsiTheme="majorBidi" w:cstheme="majorBidi"/>
          <w:szCs w:val="24"/>
        </w:rPr>
        <w:t xml:space="preserve">by far </w:t>
      </w:r>
      <w:r w:rsidRPr="002F64A6">
        <w:rPr>
          <w:rFonts w:asciiTheme="majorBidi" w:hAnsiTheme="majorBidi" w:cstheme="majorBidi"/>
          <w:szCs w:val="24"/>
        </w:rPr>
        <w:t>the most important response to an increase in core temperature is sweating.</w:t>
      </w:r>
      <w:r w:rsidRPr="002F64A6">
        <w:rPr>
          <w:rStyle w:val="FootnoteReference"/>
          <w:rFonts w:asciiTheme="majorBidi" w:hAnsiTheme="majorBidi" w:cstheme="majorBidi"/>
          <w:szCs w:val="24"/>
        </w:rPr>
        <w:footnoteReference w:id="15"/>
      </w:r>
      <w:r w:rsidRPr="002F64A6">
        <w:rPr>
          <w:rFonts w:asciiTheme="majorBidi" w:hAnsiTheme="majorBidi" w:cstheme="majorBidi"/>
          <w:szCs w:val="24"/>
        </w:rPr>
        <w:t xml:space="preserve"> </w:t>
      </w:r>
      <w:r w:rsidR="00DD5E77">
        <w:rPr>
          <w:rFonts w:asciiTheme="majorBidi" w:hAnsiTheme="majorBidi" w:cstheme="majorBidi"/>
          <w:szCs w:val="24"/>
        </w:rPr>
        <w:t>T</w:t>
      </w:r>
      <w:r w:rsidRPr="002F64A6">
        <w:rPr>
          <w:rFonts w:asciiTheme="majorBidi" w:hAnsiTheme="majorBidi" w:cstheme="majorBidi"/>
          <w:szCs w:val="24"/>
        </w:rPr>
        <w:t>he evaporation of sweat from the skin, either from ambient heat or moving air (e.g., wind) removes heat from the body</w:t>
      </w:r>
      <w:r w:rsidR="00DB23CF">
        <w:rPr>
          <w:rFonts w:asciiTheme="majorBidi" w:hAnsiTheme="majorBidi" w:cstheme="majorBidi"/>
          <w:szCs w:val="24"/>
        </w:rPr>
        <w:t>’</w:t>
      </w:r>
      <w:r w:rsidRPr="002F64A6">
        <w:rPr>
          <w:rFonts w:asciiTheme="majorBidi" w:hAnsiTheme="majorBidi" w:cstheme="majorBidi"/>
          <w:szCs w:val="24"/>
        </w:rPr>
        <w:t>s surface and serves as the body</w:t>
      </w:r>
      <w:r w:rsidR="00DB23CF">
        <w:rPr>
          <w:rFonts w:asciiTheme="majorBidi" w:hAnsiTheme="majorBidi" w:cstheme="majorBidi"/>
          <w:szCs w:val="24"/>
        </w:rPr>
        <w:t>’</w:t>
      </w:r>
      <w:r w:rsidRPr="002F64A6">
        <w:rPr>
          <w:rFonts w:asciiTheme="majorBidi" w:hAnsiTheme="majorBidi" w:cstheme="majorBidi"/>
          <w:szCs w:val="24"/>
        </w:rPr>
        <w:t xml:space="preserve">s best defense against heat stress. Small arteries in the skin also dilate in response to high temperatures to expedite the removal of excess heat through the skin. This shunting of blood away from vital organs, such as the brain and kidneys, causes </w:t>
      </w:r>
      <w:r w:rsidR="007476AA">
        <w:rPr>
          <w:rFonts w:asciiTheme="majorBidi" w:hAnsiTheme="majorBidi" w:cstheme="majorBidi"/>
          <w:szCs w:val="24"/>
        </w:rPr>
        <w:t xml:space="preserve">an increase in </w:t>
      </w:r>
      <w:r w:rsidRPr="002F64A6">
        <w:rPr>
          <w:rFonts w:asciiTheme="majorBidi" w:hAnsiTheme="majorBidi" w:cstheme="majorBidi"/>
          <w:szCs w:val="24"/>
        </w:rPr>
        <w:t>heart rate, a key indicator of heat strain.</w:t>
      </w:r>
      <w:r w:rsidRPr="002F64A6">
        <w:rPr>
          <w:rStyle w:val="FootnoteReference"/>
          <w:rFonts w:asciiTheme="majorBidi" w:hAnsiTheme="majorBidi" w:cstheme="majorBidi"/>
          <w:szCs w:val="24"/>
        </w:rPr>
        <w:footnoteReference w:id="16"/>
      </w:r>
    </w:p>
    <w:p w14:paraId="1733C74A" w14:textId="69E2D194" w:rsidR="00ED710D" w:rsidRPr="002F64A6" w:rsidRDefault="00212609" w:rsidP="00ED710D">
      <w:pPr>
        <w:rPr>
          <w:rFonts w:asciiTheme="majorBidi" w:hAnsiTheme="majorBidi" w:cstheme="majorBidi"/>
          <w:szCs w:val="24"/>
        </w:rPr>
      </w:pPr>
      <w:r>
        <w:rPr>
          <w:rFonts w:asciiTheme="majorBidi" w:hAnsiTheme="majorBidi" w:cstheme="majorBidi"/>
          <w:szCs w:val="24"/>
        </w:rPr>
        <w:t>S</w:t>
      </w:r>
      <w:r w:rsidR="00ED710D" w:rsidRPr="002F64A6">
        <w:rPr>
          <w:rFonts w:asciiTheme="majorBidi" w:hAnsiTheme="majorBidi" w:cstheme="majorBidi"/>
          <w:szCs w:val="24"/>
        </w:rPr>
        <w:t xml:space="preserve">everal factors can impede the critical sweat response. Certain types of clothing, such as the PPE worn by many agricultural or manufacturing workers, serve as a physical barrier to the evaporation of sweat (although certain types of PPE can actually mitigate the risk of heat stress; see below for more details). Humidity in the air causes an increase in vapor pressure, which also reduces the evaporation of sweat from the skin. Humidity is such a strong influence on the </w:t>
      </w:r>
      <w:r w:rsidR="007437D1">
        <w:rPr>
          <w:rFonts w:asciiTheme="majorBidi" w:hAnsiTheme="majorBidi" w:cstheme="majorBidi"/>
          <w:szCs w:val="24"/>
        </w:rPr>
        <w:t>body</w:t>
      </w:r>
      <w:r w:rsidR="00DB23CF">
        <w:rPr>
          <w:rFonts w:asciiTheme="majorBidi" w:hAnsiTheme="majorBidi" w:cstheme="majorBidi"/>
          <w:szCs w:val="24"/>
        </w:rPr>
        <w:t>’</w:t>
      </w:r>
      <w:r w:rsidR="007437D1">
        <w:rPr>
          <w:rFonts w:asciiTheme="majorBidi" w:hAnsiTheme="majorBidi" w:cstheme="majorBidi"/>
          <w:szCs w:val="24"/>
        </w:rPr>
        <w:t xml:space="preserve">s </w:t>
      </w:r>
      <w:r w:rsidR="00ED710D" w:rsidRPr="002F64A6">
        <w:rPr>
          <w:rFonts w:asciiTheme="majorBidi" w:hAnsiTheme="majorBidi" w:cstheme="majorBidi"/>
          <w:szCs w:val="24"/>
        </w:rPr>
        <w:t xml:space="preserve">ability to cool itself that at high rates of relative humidity, heat loss from sweating </w:t>
      </w:r>
      <w:r w:rsidR="00DB23CF">
        <w:rPr>
          <w:rFonts w:asciiTheme="majorBidi" w:hAnsiTheme="majorBidi" w:cstheme="majorBidi"/>
          <w:szCs w:val="24"/>
        </w:rPr>
        <w:t>“</w:t>
      </w:r>
      <w:r w:rsidR="00ED710D" w:rsidRPr="002F64A6">
        <w:rPr>
          <w:rFonts w:asciiTheme="majorBidi" w:hAnsiTheme="majorBidi" w:cstheme="majorBidi"/>
          <w:szCs w:val="24"/>
        </w:rPr>
        <w:t>is virtually nonexistent.</w:t>
      </w:r>
      <w:r w:rsidR="00DB23CF">
        <w:rPr>
          <w:rFonts w:asciiTheme="majorBidi" w:hAnsiTheme="majorBidi" w:cstheme="majorBidi"/>
          <w:szCs w:val="24"/>
        </w:rPr>
        <w:t>”</w:t>
      </w:r>
      <w:r w:rsidR="00ED710D" w:rsidRPr="002F64A6">
        <w:rPr>
          <w:rStyle w:val="FootnoteReference"/>
          <w:rFonts w:asciiTheme="majorBidi" w:hAnsiTheme="majorBidi" w:cstheme="majorBidi"/>
          <w:szCs w:val="24"/>
        </w:rPr>
        <w:footnoteReference w:id="17"/>
      </w:r>
      <w:r w:rsidR="00ED710D" w:rsidRPr="002F64A6">
        <w:rPr>
          <w:rFonts w:asciiTheme="majorBidi" w:hAnsiTheme="majorBidi" w:cstheme="majorBidi"/>
          <w:szCs w:val="24"/>
        </w:rPr>
        <w:t xml:space="preserve"> Finally, dehydration (as explained below) depletes the body</w:t>
      </w:r>
      <w:r w:rsidR="00DB23CF">
        <w:rPr>
          <w:rFonts w:asciiTheme="majorBidi" w:hAnsiTheme="majorBidi" w:cstheme="majorBidi"/>
          <w:szCs w:val="24"/>
        </w:rPr>
        <w:t>’</w:t>
      </w:r>
      <w:r w:rsidR="00ED710D" w:rsidRPr="002F64A6">
        <w:rPr>
          <w:rFonts w:asciiTheme="majorBidi" w:hAnsiTheme="majorBidi" w:cstheme="majorBidi"/>
          <w:szCs w:val="24"/>
        </w:rPr>
        <w:t>s supply of water</w:t>
      </w:r>
      <w:r w:rsidR="00B41C90">
        <w:rPr>
          <w:rFonts w:asciiTheme="majorBidi" w:hAnsiTheme="majorBidi" w:cstheme="majorBidi"/>
          <w:szCs w:val="24"/>
        </w:rPr>
        <w:t xml:space="preserve">, which </w:t>
      </w:r>
      <w:r w:rsidR="00ED710D" w:rsidRPr="002F64A6">
        <w:rPr>
          <w:rFonts w:asciiTheme="majorBidi" w:hAnsiTheme="majorBidi" w:cstheme="majorBidi"/>
          <w:szCs w:val="24"/>
        </w:rPr>
        <w:t>is essential for sweating.</w:t>
      </w:r>
    </w:p>
    <w:p w14:paraId="3871241F" w14:textId="491B61FC" w:rsidR="00ED710D" w:rsidRPr="002F64A6" w:rsidRDefault="00ED710D" w:rsidP="00723C1C">
      <w:pPr>
        <w:pStyle w:val="L2"/>
      </w:pPr>
      <w:bookmarkStart w:id="4" w:name="_Toc518979485"/>
      <w:r w:rsidRPr="002F64A6">
        <w:t>Dehydration</w:t>
      </w:r>
      <w:bookmarkEnd w:id="4"/>
    </w:p>
    <w:p w14:paraId="6783829D" w14:textId="27E1049E" w:rsidR="00ED710D" w:rsidRPr="002F64A6" w:rsidRDefault="00CB22AC" w:rsidP="00ED710D">
      <w:pPr>
        <w:rPr>
          <w:rFonts w:asciiTheme="majorBidi" w:hAnsiTheme="majorBidi" w:cstheme="majorBidi"/>
          <w:szCs w:val="24"/>
        </w:rPr>
      </w:pPr>
      <w:r>
        <w:rPr>
          <w:rFonts w:asciiTheme="majorBidi" w:hAnsiTheme="majorBidi" w:cstheme="majorBidi"/>
          <w:szCs w:val="24"/>
        </w:rPr>
        <w:t>E</w:t>
      </w:r>
      <w:r w:rsidRPr="002F64A6">
        <w:rPr>
          <w:rFonts w:asciiTheme="majorBidi" w:hAnsiTheme="majorBidi" w:cstheme="majorBidi"/>
          <w:szCs w:val="24"/>
        </w:rPr>
        <w:t>ven in the absence of heat exposure</w:t>
      </w:r>
      <w:r>
        <w:rPr>
          <w:rFonts w:asciiTheme="majorBidi" w:hAnsiTheme="majorBidi" w:cstheme="majorBidi"/>
          <w:szCs w:val="24"/>
        </w:rPr>
        <w:t>,</w:t>
      </w:r>
      <w:r w:rsidRPr="002F64A6">
        <w:rPr>
          <w:rFonts w:asciiTheme="majorBidi" w:hAnsiTheme="majorBidi" w:cstheme="majorBidi"/>
          <w:szCs w:val="24"/>
        </w:rPr>
        <w:t xml:space="preserve"> </w:t>
      </w:r>
      <w:r>
        <w:rPr>
          <w:rFonts w:asciiTheme="majorBidi" w:hAnsiTheme="majorBidi" w:cstheme="majorBidi"/>
          <w:szCs w:val="24"/>
        </w:rPr>
        <w:t>t</w:t>
      </w:r>
      <w:r w:rsidRPr="002F64A6">
        <w:rPr>
          <w:rFonts w:asciiTheme="majorBidi" w:hAnsiTheme="majorBidi" w:cstheme="majorBidi"/>
          <w:szCs w:val="24"/>
        </w:rPr>
        <w:t xml:space="preserve">he average person </w:t>
      </w:r>
      <w:r w:rsidR="00ED710D" w:rsidRPr="002F64A6">
        <w:rPr>
          <w:rFonts w:asciiTheme="majorBidi" w:hAnsiTheme="majorBidi" w:cstheme="majorBidi"/>
          <w:szCs w:val="24"/>
        </w:rPr>
        <w:t>requires approximately a liter of water per day to replace the amount lost through urine</w:t>
      </w:r>
      <w:r w:rsidR="005D42B7">
        <w:rPr>
          <w:rFonts w:asciiTheme="majorBidi" w:hAnsiTheme="majorBidi" w:cstheme="majorBidi"/>
          <w:szCs w:val="24"/>
        </w:rPr>
        <w:t>, evaporation from the skin, and respiration</w:t>
      </w:r>
      <w:r w:rsidR="00ED710D" w:rsidRPr="002F64A6">
        <w:rPr>
          <w:rFonts w:asciiTheme="majorBidi" w:hAnsiTheme="majorBidi" w:cstheme="majorBidi"/>
          <w:szCs w:val="24"/>
        </w:rPr>
        <w:t>.</w:t>
      </w:r>
      <w:r w:rsidR="00ED710D" w:rsidRPr="002F64A6">
        <w:rPr>
          <w:rFonts w:asciiTheme="majorBidi" w:hAnsiTheme="majorBidi" w:cstheme="majorBidi"/>
          <w:szCs w:val="24"/>
          <w:vertAlign w:val="superscript"/>
        </w:rPr>
        <w:footnoteReference w:id="18"/>
      </w:r>
      <w:r w:rsidR="00ED710D" w:rsidRPr="002F64A6">
        <w:rPr>
          <w:rFonts w:asciiTheme="majorBidi" w:hAnsiTheme="majorBidi" w:cstheme="majorBidi"/>
          <w:szCs w:val="24"/>
        </w:rPr>
        <w:t xml:space="preserve"> Physical exertion and higher temperatures accelerate this water loss. Workers performing physical labor under hot conditions can lose up to 6</w:t>
      </w:r>
      <w:r w:rsidR="00C16939">
        <w:rPr>
          <w:rFonts w:asciiTheme="majorBidi" w:hAnsiTheme="majorBidi" w:cstheme="majorBidi"/>
          <w:szCs w:val="24"/>
        </w:rPr>
        <w:t xml:space="preserve"> to </w:t>
      </w:r>
      <w:r w:rsidR="00ED710D" w:rsidRPr="002F64A6">
        <w:rPr>
          <w:rFonts w:asciiTheme="majorBidi" w:hAnsiTheme="majorBidi" w:cstheme="majorBidi"/>
          <w:szCs w:val="24"/>
        </w:rPr>
        <w:t>8 liters of water through sweat throughout the workday.</w:t>
      </w:r>
      <w:r w:rsidR="00ED710D" w:rsidRPr="002F64A6">
        <w:rPr>
          <w:rFonts w:asciiTheme="majorBidi" w:hAnsiTheme="majorBidi" w:cstheme="majorBidi"/>
          <w:szCs w:val="24"/>
          <w:vertAlign w:val="superscript"/>
        </w:rPr>
        <w:footnoteReference w:id="19"/>
      </w:r>
      <w:r w:rsidR="00ED710D" w:rsidRPr="002F64A6">
        <w:rPr>
          <w:rFonts w:asciiTheme="majorBidi" w:hAnsiTheme="majorBidi" w:cstheme="majorBidi"/>
          <w:szCs w:val="24"/>
        </w:rPr>
        <w:t xml:space="preserve"> Other factors, including older age, coffee or alcohol consumption, and taking certain drugs (e.g.</w:t>
      </w:r>
      <w:r w:rsidR="002A0CBB" w:rsidRPr="002F64A6">
        <w:rPr>
          <w:rFonts w:asciiTheme="majorBidi" w:hAnsiTheme="majorBidi" w:cstheme="majorBidi"/>
          <w:szCs w:val="24"/>
        </w:rPr>
        <w:t>,</w:t>
      </w:r>
      <w:r w:rsidR="00ED710D" w:rsidRPr="002F64A6">
        <w:rPr>
          <w:rFonts w:asciiTheme="majorBidi" w:hAnsiTheme="majorBidi" w:cstheme="majorBidi"/>
          <w:szCs w:val="24"/>
        </w:rPr>
        <w:t xml:space="preserve"> diuretics) can increase the risk for dehydration.</w:t>
      </w:r>
      <w:r w:rsidR="00ED710D" w:rsidRPr="002F64A6">
        <w:rPr>
          <w:rStyle w:val="FootnoteReference"/>
          <w:rFonts w:asciiTheme="majorBidi" w:hAnsiTheme="majorBidi" w:cstheme="majorBidi"/>
          <w:szCs w:val="24"/>
        </w:rPr>
        <w:footnoteReference w:id="20"/>
      </w:r>
      <w:r w:rsidR="00ED710D" w:rsidRPr="002F64A6">
        <w:rPr>
          <w:rFonts w:asciiTheme="majorBidi" w:hAnsiTheme="majorBidi" w:cstheme="majorBidi"/>
          <w:szCs w:val="24"/>
        </w:rPr>
        <w:t xml:space="preserve"> Since merely satisfying thirst is not a sufficient mechanism to replace lost fluids, workers and others at risk for dehydration must proactively consume water or other fluids</w:t>
      </w:r>
      <w:r w:rsidR="00995E80">
        <w:rPr>
          <w:rFonts w:asciiTheme="majorBidi" w:hAnsiTheme="majorBidi" w:cstheme="majorBidi"/>
          <w:szCs w:val="24"/>
        </w:rPr>
        <w:t>—non-alcoholic and non-caffeinated—</w:t>
      </w:r>
      <w:r w:rsidR="00ED710D" w:rsidRPr="002F64A6">
        <w:rPr>
          <w:rFonts w:asciiTheme="majorBidi" w:hAnsiTheme="majorBidi" w:cstheme="majorBidi"/>
          <w:szCs w:val="24"/>
        </w:rPr>
        <w:t>every 15 to 20 minutes.</w:t>
      </w:r>
      <w:r w:rsidR="00ED710D" w:rsidRPr="002F64A6">
        <w:rPr>
          <w:rStyle w:val="FootnoteReference"/>
          <w:rFonts w:asciiTheme="majorBidi" w:hAnsiTheme="majorBidi" w:cstheme="majorBidi"/>
          <w:szCs w:val="24"/>
        </w:rPr>
        <w:footnoteReference w:id="21"/>
      </w:r>
    </w:p>
    <w:p w14:paraId="3B36BA92" w14:textId="56024685" w:rsidR="00ED710D" w:rsidRPr="002F64A6" w:rsidRDefault="00ED710D" w:rsidP="00ED710D">
      <w:pPr>
        <w:rPr>
          <w:rFonts w:asciiTheme="majorBidi" w:hAnsiTheme="majorBidi" w:cstheme="majorBidi"/>
          <w:szCs w:val="24"/>
        </w:rPr>
      </w:pPr>
      <w:r w:rsidRPr="002F64A6">
        <w:rPr>
          <w:rFonts w:asciiTheme="majorBidi" w:hAnsiTheme="majorBidi" w:cstheme="majorBidi"/>
          <w:szCs w:val="24"/>
        </w:rPr>
        <w:t xml:space="preserve">Dehydration can </w:t>
      </w:r>
      <w:r w:rsidR="00E633B9">
        <w:rPr>
          <w:rFonts w:asciiTheme="majorBidi" w:hAnsiTheme="majorBidi" w:cstheme="majorBidi"/>
          <w:szCs w:val="24"/>
        </w:rPr>
        <w:t>cause</w:t>
      </w:r>
      <w:r w:rsidRPr="002F64A6">
        <w:rPr>
          <w:rFonts w:asciiTheme="majorBidi" w:hAnsiTheme="majorBidi" w:cstheme="majorBidi"/>
          <w:szCs w:val="24"/>
        </w:rPr>
        <w:t xml:space="preserve"> a number of serious effects on the body, including dangerously low blood pressure, heart attacks in those with cardiovascular disease, kidney failure, and severe </w:t>
      </w:r>
      <w:r w:rsidRPr="002F64A6">
        <w:rPr>
          <w:rFonts w:asciiTheme="majorBidi" w:hAnsiTheme="majorBidi" w:cstheme="majorBidi"/>
          <w:szCs w:val="24"/>
        </w:rPr>
        <w:lastRenderedPageBreak/>
        <w:t>neurological effects, such as fainting or convulsions. Dehydration also affects the body</w:t>
      </w:r>
      <w:r w:rsidR="00DB23CF">
        <w:rPr>
          <w:rFonts w:asciiTheme="majorBidi" w:hAnsiTheme="majorBidi" w:cstheme="majorBidi"/>
          <w:szCs w:val="24"/>
        </w:rPr>
        <w:t>’</w:t>
      </w:r>
      <w:r w:rsidRPr="002F64A6">
        <w:rPr>
          <w:rFonts w:asciiTheme="majorBidi" w:hAnsiTheme="majorBidi" w:cstheme="majorBidi"/>
          <w:szCs w:val="24"/>
        </w:rPr>
        <w:t xml:space="preserve">s ability to deal with heat stress. As water stores are depleted, dehydrated workers gradually lose the ability to sweat, resulting in a faster increase in core temperature and further dehydration, in a dangerous cycle. Chronic, periodic dehydration that can </w:t>
      </w:r>
      <w:r w:rsidR="00AC735C">
        <w:rPr>
          <w:rFonts w:asciiTheme="majorBidi" w:hAnsiTheme="majorBidi" w:cstheme="majorBidi"/>
          <w:szCs w:val="24"/>
        </w:rPr>
        <w:t xml:space="preserve">result from </w:t>
      </w:r>
      <w:r w:rsidRPr="002F64A6">
        <w:rPr>
          <w:rFonts w:asciiTheme="majorBidi" w:hAnsiTheme="majorBidi" w:cstheme="majorBidi"/>
          <w:szCs w:val="24"/>
        </w:rPr>
        <w:t xml:space="preserve">long-term outdoor physical labor also can damage the kidneys, potentially contributing to chronic kidney disease (see section below on </w:t>
      </w:r>
      <w:r w:rsidR="00DB23CF">
        <w:rPr>
          <w:rFonts w:asciiTheme="majorBidi" w:hAnsiTheme="majorBidi" w:cstheme="majorBidi"/>
          <w:szCs w:val="24"/>
        </w:rPr>
        <w:t>“</w:t>
      </w:r>
      <w:r w:rsidR="005638E9">
        <w:rPr>
          <w:rFonts w:asciiTheme="majorBidi" w:hAnsiTheme="majorBidi" w:cstheme="majorBidi"/>
          <w:szCs w:val="24"/>
        </w:rPr>
        <w:t>c</w:t>
      </w:r>
      <w:r w:rsidR="005638E9" w:rsidRPr="002F64A6">
        <w:rPr>
          <w:rFonts w:asciiTheme="majorBidi" w:hAnsiTheme="majorBidi" w:cstheme="majorBidi"/>
          <w:szCs w:val="24"/>
        </w:rPr>
        <w:t xml:space="preserve">hronic </w:t>
      </w:r>
      <w:r w:rsidR="005638E9">
        <w:rPr>
          <w:rFonts w:asciiTheme="majorBidi" w:hAnsiTheme="majorBidi" w:cstheme="majorBidi"/>
          <w:szCs w:val="24"/>
        </w:rPr>
        <w:t>heat-related illness</w:t>
      </w:r>
      <w:r w:rsidR="00DB23CF">
        <w:rPr>
          <w:rFonts w:asciiTheme="majorBidi" w:hAnsiTheme="majorBidi" w:cstheme="majorBidi"/>
          <w:szCs w:val="24"/>
        </w:rPr>
        <w:t>”</w:t>
      </w:r>
      <w:r w:rsidRPr="002F64A6">
        <w:rPr>
          <w:rFonts w:asciiTheme="majorBidi" w:hAnsiTheme="majorBidi" w:cstheme="majorBidi"/>
          <w:szCs w:val="24"/>
        </w:rPr>
        <w:t>).</w:t>
      </w:r>
      <w:r w:rsidRPr="002F64A6">
        <w:rPr>
          <w:rStyle w:val="FootnoteReference"/>
          <w:rFonts w:asciiTheme="majorBidi" w:hAnsiTheme="majorBidi" w:cstheme="majorBidi"/>
          <w:szCs w:val="24"/>
        </w:rPr>
        <w:footnoteReference w:id="22"/>
      </w:r>
    </w:p>
    <w:p w14:paraId="3DA03E58" w14:textId="66E01759" w:rsidR="00ED710D" w:rsidRPr="002F64A6" w:rsidRDefault="00ED710D" w:rsidP="00E325F1">
      <w:pPr>
        <w:pStyle w:val="L2"/>
      </w:pPr>
      <w:bookmarkStart w:id="5" w:name="_Toc518979486"/>
      <w:r w:rsidRPr="002F64A6">
        <w:t>Acclimatization</w:t>
      </w:r>
      <w:bookmarkEnd w:id="5"/>
    </w:p>
    <w:p w14:paraId="47847E80" w14:textId="738449BC" w:rsidR="00ED710D" w:rsidRPr="002F64A6" w:rsidRDefault="00ED710D" w:rsidP="00ED710D">
      <w:pPr>
        <w:rPr>
          <w:rFonts w:asciiTheme="majorBidi" w:hAnsiTheme="majorBidi" w:cstheme="majorBidi"/>
          <w:szCs w:val="24"/>
        </w:rPr>
      </w:pPr>
      <w:r w:rsidRPr="002F64A6">
        <w:rPr>
          <w:rFonts w:asciiTheme="majorBidi" w:hAnsiTheme="majorBidi" w:cstheme="majorBidi"/>
          <w:szCs w:val="24"/>
        </w:rPr>
        <w:t>Acclimatization refers to the body</w:t>
      </w:r>
      <w:r w:rsidR="00DB23CF">
        <w:rPr>
          <w:rFonts w:asciiTheme="majorBidi" w:hAnsiTheme="majorBidi" w:cstheme="majorBidi"/>
          <w:szCs w:val="24"/>
        </w:rPr>
        <w:t>’</w:t>
      </w:r>
      <w:r w:rsidRPr="002F64A6">
        <w:rPr>
          <w:rFonts w:asciiTheme="majorBidi" w:hAnsiTheme="majorBidi" w:cstheme="majorBidi"/>
          <w:szCs w:val="24"/>
        </w:rPr>
        <w:t xml:space="preserve">s ability to gradually and partially adapt over time to high </w:t>
      </w:r>
      <w:r w:rsidR="00E4190F" w:rsidRPr="002F64A6">
        <w:rPr>
          <w:rFonts w:asciiTheme="majorBidi" w:hAnsiTheme="majorBidi" w:cstheme="majorBidi"/>
          <w:szCs w:val="24"/>
        </w:rPr>
        <w:t xml:space="preserve">environmental </w:t>
      </w:r>
      <w:r w:rsidRPr="002F64A6">
        <w:rPr>
          <w:rFonts w:asciiTheme="majorBidi" w:hAnsiTheme="majorBidi" w:cstheme="majorBidi"/>
          <w:szCs w:val="24"/>
        </w:rPr>
        <w:t xml:space="preserve">heat </w:t>
      </w:r>
      <w:r w:rsidR="002A0CBB" w:rsidRPr="002F64A6">
        <w:rPr>
          <w:rFonts w:asciiTheme="majorBidi" w:hAnsiTheme="majorBidi" w:cstheme="majorBidi"/>
          <w:szCs w:val="24"/>
        </w:rPr>
        <w:t>exposure</w:t>
      </w:r>
      <w:r w:rsidRPr="002F64A6">
        <w:rPr>
          <w:rFonts w:asciiTheme="majorBidi" w:hAnsiTheme="majorBidi" w:cstheme="majorBidi"/>
          <w:szCs w:val="24"/>
        </w:rPr>
        <w:t>. When a person is exposed to heat levels higher than he or she is accustomed to, the body gradually adapts, primarily by developing a more robust sweat response, among other physiological adjustments, to emit excess heat</w:t>
      </w:r>
      <w:r w:rsidR="004279A1">
        <w:rPr>
          <w:rFonts w:asciiTheme="majorBidi" w:hAnsiTheme="majorBidi" w:cstheme="majorBidi"/>
          <w:szCs w:val="24"/>
        </w:rPr>
        <w:t xml:space="preserve"> </w:t>
      </w:r>
      <w:r w:rsidR="004279A1" w:rsidRPr="002F64A6">
        <w:rPr>
          <w:rFonts w:asciiTheme="majorBidi" w:hAnsiTheme="majorBidi" w:cstheme="majorBidi"/>
          <w:szCs w:val="24"/>
        </w:rPr>
        <w:t>more optimally</w:t>
      </w:r>
      <w:r w:rsidRPr="002F64A6">
        <w:rPr>
          <w:rFonts w:asciiTheme="majorBidi" w:hAnsiTheme="majorBidi" w:cstheme="majorBidi"/>
          <w:szCs w:val="24"/>
        </w:rPr>
        <w:t>.</w:t>
      </w:r>
      <w:r w:rsidRPr="002F64A6">
        <w:rPr>
          <w:rStyle w:val="FootnoteReference"/>
          <w:rFonts w:asciiTheme="majorBidi" w:hAnsiTheme="majorBidi" w:cstheme="majorBidi"/>
          <w:szCs w:val="24"/>
        </w:rPr>
        <w:footnoteReference w:id="23"/>
      </w:r>
      <w:r w:rsidRPr="002F64A6">
        <w:rPr>
          <w:rFonts w:asciiTheme="majorBidi" w:hAnsiTheme="majorBidi" w:cstheme="majorBidi"/>
          <w:szCs w:val="24"/>
        </w:rPr>
        <w:t xml:space="preserve"> This process requires exposure to the hot conditions for at least two hours per day</w:t>
      </w:r>
      <w:r w:rsidRPr="002F64A6">
        <w:rPr>
          <w:rStyle w:val="FootnoteReference"/>
          <w:rFonts w:asciiTheme="majorBidi" w:hAnsiTheme="majorBidi" w:cstheme="majorBidi"/>
          <w:szCs w:val="24"/>
        </w:rPr>
        <w:footnoteReference w:id="24"/>
      </w:r>
      <w:r w:rsidRPr="002F64A6">
        <w:rPr>
          <w:rFonts w:asciiTheme="majorBidi" w:hAnsiTheme="majorBidi" w:cstheme="majorBidi"/>
          <w:szCs w:val="24"/>
        </w:rPr>
        <w:t xml:space="preserve"> over a period of seven to 14 days, with a phased increase in work rate each day.</w:t>
      </w:r>
      <w:r w:rsidRPr="002F64A6">
        <w:rPr>
          <w:rStyle w:val="FootnoteReference"/>
          <w:rFonts w:asciiTheme="majorBidi" w:hAnsiTheme="majorBidi" w:cstheme="majorBidi"/>
          <w:szCs w:val="24"/>
        </w:rPr>
        <w:footnoteReference w:id="25"/>
      </w:r>
      <w:r w:rsidRPr="002F64A6">
        <w:rPr>
          <w:rFonts w:asciiTheme="majorBidi" w:hAnsiTheme="majorBidi" w:cstheme="majorBidi"/>
          <w:szCs w:val="24"/>
          <w:vertAlign w:val="superscript"/>
        </w:rPr>
        <w:t>,</w:t>
      </w:r>
      <w:r w:rsidRPr="002F64A6">
        <w:rPr>
          <w:rStyle w:val="FootnoteReference"/>
          <w:rFonts w:asciiTheme="majorBidi" w:hAnsiTheme="majorBidi" w:cstheme="majorBidi"/>
          <w:szCs w:val="24"/>
        </w:rPr>
        <w:footnoteReference w:id="26"/>
      </w:r>
      <w:r w:rsidR="008505FD">
        <w:rPr>
          <w:rFonts w:asciiTheme="majorBidi" w:hAnsiTheme="majorBidi" w:cstheme="majorBidi"/>
          <w:szCs w:val="24"/>
        </w:rPr>
        <w:t xml:space="preserve"> </w:t>
      </w:r>
      <w:r w:rsidRPr="002F64A6">
        <w:rPr>
          <w:rFonts w:asciiTheme="majorBidi" w:hAnsiTheme="majorBidi" w:cstheme="majorBidi"/>
          <w:szCs w:val="24"/>
        </w:rPr>
        <w:t xml:space="preserve">Workers must be adequately hydrated and given adequate rest breaks in </w:t>
      </w:r>
      <w:r w:rsidR="00B501BA">
        <w:rPr>
          <w:rFonts w:asciiTheme="majorBidi" w:hAnsiTheme="majorBidi" w:cstheme="majorBidi"/>
          <w:szCs w:val="24"/>
        </w:rPr>
        <w:t xml:space="preserve">shaded or </w:t>
      </w:r>
      <w:r w:rsidRPr="002F64A6">
        <w:rPr>
          <w:rFonts w:asciiTheme="majorBidi" w:hAnsiTheme="majorBidi" w:cstheme="majorBidi"/>
          <w:szCs w:val="24"/>
        </w:rPr>
        <w:t>air-conditioned surroundings throughout the acclimatization process.</w:t>
      </w:r>
      <w:r w:rsidRPr="002F64A6">
        <w:rPr>
          <w:rStyle w:val="FootnoteReference"/>
          <w:rFonts w:asciiTheme="majorBidi" w:hAnsiTheme="majorBidi" w:cstheme="majorBidi"/>
          <w:szCs w:val="24"/>
        </w:rPr>
        <w:footnoteReference w:id="27"/>
      </w:r>
      <w:r w:rsidRPr="002F64A6">
        <w:rPr>
          <w:rFonts w:asciiTheme="majorBidi" w:hAnsiTheme="majorBidi" w:cstheme="majorBidi"/>
          <w:szCs w:val="24"/>
        </w:rPr>
        <w:t xml:space="preserve"> Re-acclimatization to higher heat exposure is necessary for any sudden increases in the environmental heat level.</w:t>
      </w:r>
      <w:r w:rsidRPr="002F64A6">
        <w:rPr>
          <w:rStyle w:val="FootnoteReference"/>
          <w:rFonts w:asciiTheme="majorBidi" w:hAnsiTheme="majorBidi" w:cstheme="majorBidi"/>
          <w:szCs w:val="24"/>
        </w:rPr>
        <w:footnoteReference w:id="28"/>
      </w:r>
    </w:p>
    <w:p w14:paraId="40F5C7BF" w14:textId="3C6C460E" w:rsidR="00ED710D" w:rsidRPr="002F64A6" w:rsidRDefault="00ED710D" w:rsidP="00E325F1">
      <w:pPr>
        <w:pStyle w:val="L2"/>
        <w:rPr>
          <w:rFonts w:eastAsiaTheme="minorHAnsi"/>
        </w:rPr>
      </w:pPr>
      <w:bookmarkStart w:id="6" w:name="_Toc518979487"/>
      <w:r w:rsidRPr="002F64A6">
        <w:rPr>
          <w:rFonts w:eastAsiaTheme="minorHAnsi"/>
        </w:rPr>
        <w:t>Acute heat-related illnesses</w:t>
      </w:r>
      <w:r w:rsidRPr="002F64A6">
        <w:rPr>
          <w:rFonts w:eastAsiaTheme="minorHAnsi"/>
          <w:vertAlign w:val="superscript"/>
        </w:rPr>
        <w:footnoteReference w:id="29"/>
      </w:r>
      <w:bookmarkEnd w:id="6"/>
    </w:p>
    <w:p w14:paraId="5C655F69" w14:textId="77777777" w:rsidR="00BA2448" w:rsidRPr="002F64A6" w:rsidRDefault="00ED710D" w:rsidP="00BA2448">
      <w:r w:rsidRPr="002F64A6">
        <w:t>Heat syncope is dizziness, light-headedness, or fainting that results from prolonged standing or sudden rising from a sitting or lying position within a hot environment.</w:t>
      </w:r>
      <w:r w:rsidRPr="002F64A6">
        <w:rPr>
          <w:vertAlign w:val="superscript"/>
        </w:rPr>
        <w:footnoteReference w:id="30"/>
      </w:r>
      <w:r w:rsidRPr="002F64A6">
        <w:t xml:space="preserve"> It is more likely to occur when a person is dehydrated, not acclimatized to hot weather, or both. Heat syncope is treated by sitting or lying in a cool place and slowly drinking fluids.</w:t>
      </w:r>
    </w:p>
    <w:p w14:paraId="77E2FC67" w14:textId="77777777" w:rsidR="00BA2448" w:rsidRPr="002F64A6" w:rsidRDefault="00ED710D" w:rsidP="00BA2448">
      <w:r w:rsidRPr="002F64A6">
        <w:t>Heat rash involves skin irritation, which can appear as pimples or small blisters on the neck, chest, groin, among other places.</w:t>
      </w:r>
      <w:r w:rsidRPr="002F64A6">
        <w:rPr>
          <w:vertAlign w:val="superscript"/>
        </w:rPr>
        <w:footnoteReference w:id="31"/>
      </w:r>
      <w:r w:rsidRPr="002F64A6">
        <w:t xml:space="preserve"> It is treated by getting away from hot and humid areas, keeping the rash dry, and applying powder to the affected area.</w:t>
      </w:r>
    </w:p>
    <w:p w14:paraId="665952F4" w14:textId="7C1531E1" w:rsidR="00BA2448" w:rsidRPr="002F64A6" w:rsidRDefault="00ED710D" w:rsidP="00BA2448">
      <w:r w:rsidRPr="002F64A6">
        <w:t>Prolonged physical exertion in hot weather can lead to muscle cramps</w:t>
      </w:r>
      <w:r w:rsidRPr="002F64A6">
        <w:rPr>
          <w:vertAlign w:val="superscript"/>
        </w:rPr>
        <w:footnoteReference w:id="32"/>
      </w:r>
      <w:r w:rsidRPr="002F64A6">
        <w:t xml:space="preserve"> and, in severe cases, a life-threatening condition known as rhabdomyolysis, which involves rapid breakdown and death of muscle tissue</w:t>
      </w:r>
      <w:r w:rsidR="00E4190F" w:rsidRPr="002F64A6">
        <w:t xml:space="preserve"> and can lead to acute kidney injury</w:t>
      </w:r>
      <w:r w:rsidRPr="002F64A6">
        <w:t>.</w:t>
      </w:r>
      <w:r w:rsidRPr="002F64A6">
        <w:rPr>
          <w:vertAlign w:val="superscript"/>
        </w:rPr>
        <w:footnoteReference w:id="33"/>
      </w:r>
      <w:r w:rsidRPr="002F64A6">
        <w:t xml:space="preserve"> Symptoms of rhabdomyolysis include </w:t>
      </w:r>
      <w:r w:rsidRPr="002F64A6">
        <w:lastRenderedPageBreak/>
        <w:t xml:space="preserve">severe muscle cramps or pain, dark (tea or cola-colored) urine, and weakness. </w:t>
      </w:r>
      <w:r w:rsidR="00276A09">
        <w:t>I</w:t>
      </w:r>
      <w:r w:rsidR="00276A09" w:rsidRPr="002F64A6">
        <w:t>f such symptoms occur</w:t>
      </w:r>
      <w:r w:rsidR="00276A09">
        <w:t xml:space="preserve">, it is essential to stop </w:t>
      </w:r>
      <w:r w:rsidR="00276A09" w:rsidRPr="002F64A6">
        <w:t>physical activity, drink</w:t>
      </w:r>
      <w:r w:rsidR="00276A09">
        <w:t xml:space="preserve"> </w:t>
      </w:r>
      <w:r w:rsidR="00276A09" w:rsidRPr="002F64A6">
        <w:t>fluids, and see</w:t>
      </w:r>
      <w:r w:rsidR="00276A09">
        <w:t xml:space="preserve"> </w:t>
      </w:r>
      <w:r w:rsidR="00276A09" w:rsidRPr="002F64A6">
        <w:t>a medical professional immediately</w:t>
      </w:r>
      <w:r w:rsidRPr="002F64A6">
        <w:t>.</w:t>
      </w:r>
    </w:p>
    <w:p w14:paraId="528A8A07" w14:textId="77777777" w:rsidR="00BA2448" w:rsidRPr="002F64A6" w:rsidRDefault="00ED710D" w:rsidP="00BA2448">
      <w:r w:rsidRPr="002F64A6">
        <w:t>Heat exhaustion results from prolonged exposure to heat and a loss of body fluids and salt, usually through excessive sweating.</w:t>
      </w:r>
      <w:r w:rsidRPr="002F64A6">
        <w:rPr>
          <w:vertAlign w:val="superscript"/>
        </w:rPr>
        <w:footnoteReference w:id="34"/>
      </w:r>
      <w:r w:rsidRPr="002F64A6">
        <w:t xml:space="preserve"> The symptoms of heat exhaustion are headache, nausea, dizziness, weakness, irritability, thirst, heavy sweating, elevated body temperature, or decreased urination. Heat exhaustion is treated by lying down away from the heat, removing unnecessary clothing, cooling down with cold compresses, washing the head, face, and neck with cold water, and slowly drinking cool fluids.</w:t>
      </w:r>
    </w:p>
    <w:p w14:paraId="04ADDEA8" w14:textId="3A1EE1A7" w:rsidR="00ED710D" w:rsidRPr="002F64A6" w:rsidRDefault="00ED710D" w:rsidP="00BA2448">
      <w:r w:rsidRPr="002F64A6">
        <w:t>If heat exhaustion is severe and not adequately treated, then heat stroke, a life-threatening medical emergency, can occur. Heat stroke occurs when the body rapidly loses the ability to control its temperature and is no longer able to sweat.</w:t>
      </w:r>
      <w:r w:rsidRPr="002F64A6">
        <w:rPr>
          <w:vertAlign w:val="superscript"/>
        </w:rPr>
        <w:footnoteReference w:id="35"/>
      </w:r>
      <w:r w:rsidRPr="002F64A6">
        <w:t xml:space="preserve"> The body</w:t>
      </w:r>
      <w:r w:rsidR="00DB23CF">
        <w:t>’</w:t>
      </w:r>
      <w:r w:rsidRPr="002F64A6">
        <w:t xml:space="preserve">s temperature can rise to 106°F or higher within 10 to 15 minutes. Symptoms of heat stroke include confusion, slurred speech, hot and dry skin or profuse sweating, seizures, or loss of consciousness (coma). Immediate medical attention must be sought by calling 911, </w:t>
      </w:r>
      <w:r w:rsidR="00A9793D">
        <w:t xml:space="preserve">while in the meantime giving </w:t>
      </w:r>
      <w:r w:rsidR="00A9793D" w:rsidRPr="002F64A6">
        <w:t xml:space="preserve">treatment </w:t>
      </w:r>
      <w:r w:rsidR="00A9793D">
        <w:t xml:space="preserve">similar </w:t>
      </w:r>
      <w:r w:rsidR="00A9793D" w:rsidRPr="002F64A6">
        <w:t>to that recommended for heat exhaustion</w:t>
      </w:r>
      <w:r w:rsidRPr="002F64A6">
        <w:t>.</w:t>
      </w:r>
    </w:p>
    <w:p w14:paraId="1D4382D7" w14:textId="512DB58E" w:rsidR="00ED710D" w:rsidRPr="002F64A6" w:rsidRDefault="00ED710D" w:rsidP="00E325F1">
      <w:pPr>
        <w:pStyle w:val="L2"/>
        <w:rPr>
          <w:rFonts w:eastAsiaTheme="minorHAnsi"/>
        </w:rPr>
      </w:pPr>
      <w:bookmarkStart w:id="7" w:name="_Toc518979488"/>
      <w:r w:rsidRPr="002F64A6">
        <w:rPr>
          <w:rFonts w:eastAsiaTheme="minorHAnsi"/>
        </w:rPr>
        <w:t>Chronic heat-related illnesses</w:t>
      </w:r>
      <w:bookmarkEnd w:id="7"/>
    </w:p>
    <w:p w14:paraId="7563EC71" w14:textId="186AE945" w:rsidR="00ED710D" w:rsidRPr="002F64A6" w:rsidRDefault="00ED710D" w:rsidP="00ED710D">
      <w:pPr>
        <w:spacing w:after="0"/>
        <w:rPr>
          <w:rFonts w:asciiTheme="majorBidi" w:eastAsiaTheme="minorHAnsi" w:hAnsiTheme="majorBidi" w:cstheme="majorBidi"/>
          <w:szCs w:val="24"/>
        </w:rPr>
      </w:pPr>
      <w:r w:rsidRPr="002F64A6">
        <w:rPr>
          <w:rFonts w:asciiTheme="majorBidi" w:eastAsiaTheme="minorHAnsi" w:hAnsiTheme="majorBidi" w:cstheme="majorBidi"/>
          <w:szCs w:val="24"/>
        </w:rPr>
        <w:t xml:space="preserve">Chronic kidney disease of unknown </w:t>
      </w:r>
      <w:r w:rsidR="00550725">
        <w:rPr>
          <w:rFonts w:asciiTheme="majorBidi" w:eastAsiaTheme="minorHAnsi" w:hAnsiTheme="majorBidi" w:cstheme="majorBidi"/>
          <w:szCs w:val="24"/>
        </w:rPr>
        <w:t>etiology</w:t>
      </w:r>
      <w:r w:rsidR="00550725" w:rsidRPr="002F64A6">
        <w:rPr>
          <w:rFonts w:asciiTheme="majorBidi" w:eastAsiaTheme="minorHAnsi" w:hAnsiTheme="majorBidi" w:cstheme="majorBidi"/>
          <w:szCs w:val="24"/>
        </w:rPr>
        <w:t xml:space="preserve"> </w:t>
      </w:r>
      <w:r w:rsidRPr="002F64A6">
        <w:rPr>
          <w:rFonts w:asciiTheme="majorBidi" w:eastAsiaTheme="minorHAnsi" w:hAnsiTheme="majorBidi" w:cstheme="majorBidi"/>
          <w:szCs w:val="24"/>
        </w:rPr>
        <w:t xml:space="preserve">(CKD-U) is a devastating condition </w:t>
      </w:r>
      <w:r w:rsidR="009005F3">
        <w:rPr>
          <w:rFonts w:asciiTheme="majorBidi" w:eastAsiaTheme="minorHAnsi" w:hAnsiTheme="majorBidi" w:cstheme="majorBidi"/>
          <w:szCs w:val="24"/>
        </w:rPr>
        <w:t xml:space="preserve">that primarily affects </w:t>
      </w:r>
      <w:r w:rsidRPr="002F64A6">
        <w:rPr>
          <w:rFonts w:asciiTheme="majorBidi" w:eastAsiaTheme="minorHAnsi" w:hAnsiTheme="majorBidi" w:cstheme="majorBidi"/>
          <w:szCs w:val="24"/>
        </w:rPr>
        <w:t>mainly young male agricultural workers in Central America, certain parts of Asia, and other tropical regions of the world.</w:t>
      </w:r>
      <w:r w:rsidRPr="002F64A6">
        <w:rPr>
          <w:rStyle w:val="FootnoteReference"/>
          <w:rFonts w:asciiTheme="majorBidi" w:eastAsiaTheme="minorHAnsi" w:hAnsiTheme="majorBidi" w:cstheme="majorBidi"/>
          <w:szCs w:val="24"/>
        </w:rPr>
        <w:footnoteReference w:id="36"/>
      </w:r>
      <w:r w:rsidRPr="002F64A6">
        <w:rPr>
          <w:rFonts w:asciiTheme="majorBidi" w:eastAsiaTheme="minorHAnsi" w:hAnsiTheme="majorBidi" w:cstheme="majorBidi"/>
          <w:szCs w:val="24"/>
        </w:rPr>
        <w:t xml:space="preserve"> Its detection has been fairly recent, over the past two decades, but the disease has risen to startling levels in Nicaragua and El Salvador</w:t>
      </w:r>
      <w:r w:rsidR="008826E3">
        <w:rPr>
          <w:rFonts w:asciiTheme="majorBidi" w:eastAsiaTheme="minorHAnsi" w:hAnsiTheme="majorBidi" w:cstheme="majorBidi"/>
          <w:szCs w:val="24"/>
        </w:rPr>
        <w:t>. I</w:t>
      </w:r>
      <w:r w:rsidR="008826E3" w:rsidRPr="002F64A6">
        <w:rPr>
          <w:rFonts w:asciiTheme="majorBidi" w:eastAsiaTheme="minorHAnsi" w:hAnsiTheme="majorBidi" w:cstheme="majorBidi"/>
          <w:szCs w:val="24"/>
        </w:rPr>
        <w:t>n the latter</w:t>
      </w:r>
      <w:r w:rsidRPr="002F64A6">
        <w:rPr>
          <w:rFonts w:asciiTheme="majorBidi" w:eastAsiaTheme="minorHAnsi" w:hAnsiTheme="majorBidi" w:cstheme="majorBidi"/>
          <w:szCs w:val="24"/>
        </w:rPr>
        <w:t>, CKD has become the second most common cause of death in men, with males affected three times as frequently as females.</w:t>
      </w:r>
      <w:r w:rsidRPr="002F64A6">
        <w:rPr>
          <w:rStyle w:val="FootnoteReference"/>
          <w:rFonts w:asciiTheme="majorBidi" w:eastAsiaTheme="minorHAnsi" w:hAnsiTheme="majorBidi" w:cstheme="majorBidi"/>
          <w:szCs w:val="24"/>
        </w:rPr>
        <w:footnoteReference w:id="37"/>
      </w:r>
      <w:r w:rsidRPr="002F64A6">
        <w:rPr>
          <w:rFonts w:asciiTheme="majorBidi" w:eastAsiaTheme="minorHAnsi" w:hAnsiTheme="majorBidi" w:cstheme="majorBidi"/>
          <w:szCs w:val="24"/>
        </w:rPr>
        <w:t xml:space="preserve"> The precise causes</w:t>
      </w:r>
      <w:r w:rsidR="00CD238E" w:rsidRPr="00CD238E">
        <w:rPr>
          <w:rFonts w:asciiTheme="majorBidi" w:eastAsiaTheme="minorHAnsi" w:hAnsiTheme="majorBidi" w:cstheme="majorBidi"/>
          <w:szCs w:val="24"/>
        </w:rPr>
        <w:t xml:space="preserve"> </w:t>
      </w:r>
      <w:r w:rsidR="00CD238E">
        <w:rPr>
          <w:rFonts w:asciiTheme="majorBidi" w:eastAsiaTheme="minorHAnsi" w:hAnsiTheme="majorBidi" w:cstheme="majorBidi"/>
          <w:szCs w:val="24"/>
        </w:rPr>
        <w:t>are not yet fully understood</w:t>
      </w:r>
      <w:r w:rsidRPr="002F64A6">
        <w:rPr>
          <w:rFonts w:asciiTheme="majorBidi" w:eastAsiaTheme="minorHAnsi" w:hAnsiTheme="majorBidi" w:cstheme="majorBidi"/>
          <w:szCs w:val="24"/>
        </w:rPr>
        <w:t>, as the affected patients do not have the traditional risk factors for CKD, such as diabetes or hypertension.</w:t>
      </w:r>
      <w:r w:rsidRPr="002F64A6">
        <w:rPr>
          <w:rStyle w:val="FootnoteReference"/>
          <w:rFonts w:asciiTheme="majorBidi" w:eastAsiaTheme="minorHAnsi" w:hAnsiTheme="majorBidi" w:cstheme="majorBidi"/>
          <w:szCs w:val="24"/>
        </w:rPr>
        <w:footnoteReference w:id="38"/>
      </w:r>
      <w:r w:rsidRPr="002F64A6">
        <w:rPr>
          <w:rFonts w:asciiTheme="majorBidi" w:eastAsiaTheme="minorHAnsi" w:hAnsiTheme="majorBidi" w:cstheme="majorBidi"/>
          <w:szCs w:val="24"/>
        </w:rPr>
        <w:t xml:space="preserve"> </w:t>
      </w:r>
      <w:r w:rsidR="00BA2153">
        <w:rPr>
          <w:rFonts w:asciiTheme="majorBidi" w:eastAsiaTheme="minorHAnsi" w:hAnsiTheme="majorBidi" w:cstheme="majorBidi"/>
          <w:szCs w:val="24"/>
        </w:rPr>
        <w:t>I</w:t>
      </w:r>
      <w:r w:rsidRPr="002F64A6">
        <w:rPr>
          <w:rFonts w:asciiTheme="majorBidi" w:eastAsiaTheme="minorHAnsi" w:hAnsiTheme="majorBidi" w:cstheme="majorBidi"/>
          <w:szCs w:val="24"/>
        </w:rPr>
        <w:t>t is likely multifactorial, and chronic heat stress</w:t>
      </w:r>
      <w:r w:rsidR="00431F0C">
        <w:rPr>
          <w:rFonts w:asciiTheme="majorBidi" w:eastAsiaTheme="minorHAnsi" w:hAnsiTheme="majorBidi" w:cstheme="majorBidi"/>
          <w:szCs w:val="24"/>
        </w:rPr>
        <w:t xml:space="preserve"> and </w:t>
      </w:r>
      <w:r w:rsidR="00431F0C" w:rsidRPr="002F64A6">
        <w:rPr>
          <w:rFonts w:asciiTheme="majorBidi" w:eastAsiaTheme="minorHAnsi" w:hAnsiTheme="majorBidi" w:cstheme="majorBidi"/>
          <w:szCs w:val="24"/>
        </w:rPr>
        <w:t xml:space="preserve">recurrent dehydration </w:t>
      </w:r>
      <w:r w:rsidR="00431F0C">
        <w:rPr>
          <w:rFonts w:asciiTheme="majorBidi" w:eastAsiaTheme="minorHAnsi" w:hAnsiTheme="majorBidi" w:cstheme="majorBidi"/>
          <w:szCs w:val="24"/>
        </w:rPr>
        <w:t>from</w:t>
      </w:r>
      <w:r w:rsidR="00BA2153">
        <w:rPr>
          <w:rFonts w:asciiTheme="majorBidi" w:eastAsiaTheme="minorHAnsi" w:hAnsiTheme="majorBidi" w:cstheme="majorBidi"/>
          <w:szCs w:val="24"/>
        </w:rPr>
        <w:t xml:space="preserve"> </w:t>
      </w:r>
      <w:r w:rsidRPr="002F64A6">
        <w:rPr>
          <w:rFonts w:asciiTheme="majorBidi" w:eastAsiaTheme="minorHAnsi" w:hAnsiTheme="majorBidi" w:cstheme="majorBidi"/>
          <w:szCs w:val="24"/>
        </w:rPr>
        <w:t>long periods of intensive farm labor are strongly suspected to be contributing factors.</w:t>
      </w:r>
      <w:r w:rsidRPr="002F64A6">
        <w:rPr>
          <w:rStyle w:val="FootnoteReference"/>
          <w:rFonts w:asciiTheme="majorBidi" w:eastAsiaTheme="minorHAnsi" w:hAnsiTheme="majorBidi" w:cstheme="majorBidi"/>
          <w:szCs w:val="24"/>
        </w:rPr>
        <w:footnoteReference w:id="39"/>
      </w:r>
      <w:r w:rsidRPr="002F64A6">
        <w:rPr>
          <w:rFonts w:asciiTheme="majorBidi" w:eastAsiaTheme="minorHAnsi" w:hAnsiTheme="majorBidi" w:cstheme="majorBidi"/>
          <w:szCs w:val="24"/>
          <w:vertAlign w:val="superscript"/>
        </w:rPr>
        <w:t>,</w:t>
      </w:r>
      <w:r w:rsidRPr="002F64A6">
        <w:rPr>
          <w:rStyle w:val="FootnoteReference"/>
          <w:rFonts w:asciiTheme="majorBidi" w:eastAsiaTheme="minorHAnsi" w:hAnsiTheme="majorBidi" w:cstheme="majorBidi"/>
          <w:szCs w:val="24"/>
        </w:rPr>
        <w:footnoteReference w:id="40"/>
      </w:r>
    </w:p>
    <w:p w14:paraId="171456DA" w14:textId="416279D3" w:rsidR="00CC78CF" w:rsidRDefault="00CC78CF" w:rsidP="00E325F1">
      <w:pPr>
        <w:pStyle w:val="L1"/>
      </w:pPr>
      <w:bookmarkStart w:id="8" w:name="_Toc518979489"/>
      <w:r>
        <w:t xml:space="preserve">The </w:t>
      </w:r>
      <w:r w:rsidR="00733279">
        <w:t>p</w:t>
      </w:r>
      <w:r>
        <w:t xml:space="preserve">revalence and </w:t>
      </w:r>
      <w:r w:rsidR="00733279">
        <w:t>p</w:t>
      </w:r>
      <w:r>
        <w:t xml:space="preserve">reventability of </w:t>
      </w:r>
      <w:r w:rsidR="00733279">
        <w:t>h</w:t>
      </w:r>
      <w:r>
        <w:t>eat-</w:t>
      </w:r>
      <w:r w:rsidR="00733279">
        <w:t>r</w:t>
      </w:r>
      <w:r>
        <w:t xml:space="preserve">elated </w:t>
      </w:r>
      <w:r w:rsidR="00733279">
        <w:t>i</w:t>
      </w:r>
      <w:r>
        <w:t>llness</w:t>
      </w:r>
      <w:bookmarkEnd w:id="8"/>
    </w:p>
    <w:p w14:paraId="6968E238" w14:textId="0254B2C7" w:rsidR="00ED710D" w:rsidRPr="002F64A6" w:rsidRDefault="00ED710D" w:rsidP="00CC78CF">
      <w:pPr>
        <w:pStyle w:val="L2"/>
      </w:pPr>
      <w:bookmarkStart w:id="9" w:name="_Toc518979490"/>
      <w:r w:rsidRPr="002F64A6">
        <w:t xml:space="preserve">Reported heat stress deaths and injuries </w:t>
      </w:r>
      <w:r w:rsidR="001556FB" w:rsidRPr="002F64A6">
        <w:t>vastly understate the problem</w:t>
      </w:r>
      <w:bookmarkEnd w:id="9"/>
    </w:p>
    <w:p w14:paraId="77BB7660" w14:textId="086084B4" w:rsidR="00ED710D" w:rsidRPr="002F64A6" w:rsidRDefault="00ED710D" w:rsidP="00ED710D">
      <w:pPr>
        <w:rPr>
          <w:rFonts w:asciiTheme="majorBidi" w:hAnsiTheme="majorBidi" w:cstheme="majorBidi"/>
          <w:szCs w:val="24"/>
        </w:rPr>
      </w:pPr>
      <w:r w:rsidRPr="002F64A6">
        <w:rPr>
          <w:rFonts w:asciiTheme="majorBidi" w:hAnsiTheme="majorBidi" w:cstheme="majorBidi"/>
          <w:szCs w:val="24"/>
        </w:rPr>
        <w:t xml:space="preserve">According to </w:t>
      </w:r>
      <w:r w:rsidR="004C2574" w:rsidRPr="002F64A6">
        <w:rPr>
          <w:rFonts w:asciiTheme="majorBidi" w:hAnsiTheme="majorBidi" w:cstheme="majorBidi"/>
          <w:szCs w:val="24"/>
        </w:rPr>
        <w:t xml:space="preserve">data </w:t>
      </w:r>
      <w:r w:rsidRPr="002F64A6">
        <w:rPr>
          <w:rFonts w:asciiTheme="majorBidi" w:hAnsiTheme="majorBidi" w:cstheme="majorBidi"/>
          <w:szCs w:val="24"/>
        </w:rPr>
        <w:t xml:space="preserve">compiled from </w:t>
      </w:r>
      <w:r w:rsidR="004C2574">
        <w:rPr>
          <w:rFonts w:asciiTheme="majorBidi" w:hAnsiTheme="majorBidi" w:cstheme="majorBidi"/>
          <w:szCs w:val="24"/>
        </w:rPr>
        <w:t xml:space="preserve">the </w:t>
      </w:r>
      <w:r w:rsidR="004C2574" w:rsidRPr="002F64A6">
        <w:rPr>
          <w:rFonts w:asciiTheme="majorBidi" w:hAnsiTheme="majorBidi" w:cstheme="majorBidi"/>
          <w:szCs w:val="24"/>
        </w:rPr>
        <w:t xml:space="preserve">Bureau of Labor Statistics (BLS) </w:t>
      </w:r>
      <w:r w:rsidRPr="002F64A6">
        <w:rPr>
          <w:rFonts w:asciiTheme="majorBidi" w:hAnsiTheme="majorBidi" w:cstheme="majorBidi"/>
          <w:szCs w:val="24"/>
        </w:rPr>
        <w:t xml:space="preserve">annual Survey of Occupational Injuries and Illnesses (SOII), exposure to excessive environmental heat stress </w:t>
      </w:r>
      <w:r w:rsidRPr="002F64A6">
        <w:rPr>
          <w:rFonts w:asciiTheme="majorBidi" w:hAnsiTheme="majorBidi" w:cstheme="majorBidi"/>
          <w:szCs w:val="24"/>
        </w:rPr>
        <w:lastRenderedPageBreak/>
        <w:t xml:space="preserve">killed 783 U.S. workers and seriously injured 69,374 workers </w:t>
      </w:r>
      <w:r w:rsidR="0062313D" w:rsidRPr="002F64A6">
        <w:rPr>
          <w:rFonts w:asciiTheme="majorBidi" w:hAnsiTheme="majorBidi" w:cstheme="majorBidi"/>
          <w:szCs w:val="24"/>
        </w:rPr>
        <w:t xml:space="preserve">from 1992 through 2016 </w:t>
      </w:r>
      <w:r w:rsidRPr="002F64A6">
        <w:rPr>
          <w:rFonts w:asciiTheme="majorBidi" w:hAnsiTheme="majorBidi" w:cstheme="majorBidi"/>
          <w:szCs w:val="24"/>
        </w:rPr>
        <w:t>(</w:t>
      </w:r>
      <w:r w:rsidR="008C5081" w:rsidRPr="002F64A6">
        <w:rPr>
          <w:rFonts w:asciiTheme="majorBidi" w:hAnsiTheme="majorBidi" w:cstheme="majorBidi"/>
          <w:bCs/>
          <w:szCs w:val="24"/>
        </w:rPr>
        <w:fldChar w:fldCharType="begin"/>
      </w:r>
      <w:r w:rsidR="008C5081" w:rsidRPr="002F64A6">
        <w:rPr>
          <w:rFonts w:asciiTheme="majorBidi" w:hAnsiTheme="majorBidi" w:cstheme="majorBidi"/>
          <w:bCs/>
          <w:szCs w:val="24"/>
        </w:rPr>
        <w:instrText xml:space="preserve"> REF _Ref514585299 \h </w:instrText>
      </w:r>
      <w:r w:rsidR="00942E83" w:rsidRPr="002F64A6">
        <w:rPr>
          <w:rFonts w:asciiTheme="majorBidi" w:hAnsiTheme="majorBidi" w:cstheme="majorBidi"/>
          <w:bCs/>
          <w:szCs w:val="24"/>
        </w:rPr>
        <w:instrText xml:space="preserve"> \* MERGEFORMAT </w:instrText>
      </w:r>
      <w:r w:rsidR="008C5081" w:rsidRPr="002F64A6">
        <w:rPr>
          <w:rFonts w:asciiTheme="majorBidi" w:hAnsiTheme="majorBidi" w:cstheme="majorBidi"/>
          <w:bCs/>
          <w:szCs w:val="24"/>
        </w:rPr>
      </w:r>
      <w:r w:rsidR="008C5081" w:rsidRPr="002F64A6">
        <w:rPr>
          <w:rFonts w:asciiTheme="majorBidi" w:hAnsiTheme="majorBidi" w:cstheme="majorBidi"/>
          <w:bCs/>
          <w:szCs w:val="24"/>
        </w:rPr>
        <w:fldChar w:fldCharType="separate"/>
      </w:r>
      <w:r w:rsidR="00E35FAB" w:rsidRPr="002F64A6">
        <w:t xml:space="preserve">Figure </w:t>
      </w:r>
      <w:r w:rsidR="00E35FAB">
        <w:rPr>
          <w:noProof/>
        </w:rPr>
        <w:t>1</w:t>
      </w:r>
      <w:r w:rsidR="008C5081" w:rsidRPr="002F64A6">
        <w:rPr>
          <w:rFonts w:asciiTheme="majorBidi" w:hAnsiTheme="majorBidi" w:cstheme="majorBidi"/>
          <w:bCs/>
          <w:szCs w:val="24"/>
        </w:rPr>
        <w:fldChar w:fldCharType="end"/>
      </w:r>
      <w:r w:rsidR="008C5081" w:rsidRPr="002F64A6">
        <w:rPr>
          <w:rFonts w:asciiTheme="majorBidi" w:hAnsiTheme="majorBidi" w:cstheme="majorBidi"/>
          <w:bCs/>
          <w:szCs w:val="24"/>
        </w:rPr>
        <w:t xml:space="preserve"> and </w:t>
      </w:r>
      <w:r w:rsidR="008C5081" w:rsidRPr="002F64A6">
        <w:rPr>
          <w:rFonts w:asciiTheme="majorBidi" w:hAnsiTheme="majorBidi" w:cstheme="majorBidi"/>
          <w:bCs/>
          <w:szCs w:val="24"/>
        </w:rPr>
        <w:fldChar w:fldCharType="begin"/>
      </w:r>
      <w:r w:rsidR="008C5081" w:rsidRPr="002F64A6">
        <w:rPr>
          <w:rFonts w:asciiTheme="majorBidi" w:hAnsiTheme="majorBidi" w:cstheme="majorBidi"/>
          <w:bCs/>
          <w:szCs w:val="24"/>
        </w:rPr>
        <w:instrText xml:space="preserve"> REF _Ref514585314 \h </w:instrText>
      </w:r>
      <w:r w:rsidR="00942E83" w:rsidRPr="002F64A6">
        <w:rPr>
          <w:rFonts w:asciiTheme="majorBidi" w:hAnsiTheme="majorBidi" w:cstheme="majorBidi"/>
          <w:bCs/>
          <w:szCs w:val="24"/>
        </w:rPr>
        <w:instrText xml:space="preserve"> \* MERGEFORMAT </w:instrText>
      </w:r>
      <w:r w:rsidR="008C5081" w:rsidRPr="002F64A6">
        <w:rPr>
          <w:rFonts w:asciiTheme="majorBidi" w:hAnsiTheme="majorBidi" w:cstheme="majorBidi"/>
          <w:bCs/>
          <w:szCs w:val="24"/>
        </w:rPr>
      </w:r>
      <w:r w:rsidR="008C5081" w:rsidRPr="002F64A6">
        <w:rPr>
          <w:rFonts w:asciiTheme="majorBidi" w:hAnsiTheme="majorBidi" w:cstheme="majorBidi"/>
          <w:bCs/>
          <w:szCs w:val="24"/>
        </w:rPr>
        <w:fldChar w:fldCharType="separate"/>
      </w:r>
      <w:r w:rsidR="00E35FAB" w:rsidRPr="002F64A6">
        <w:t xml:space="preserve">Figure </w:t>
      </w:r>
      <w:r w:rsidR="00E35FAB">
        <w:rPr>
          <w:noProof/>
        </w:rPr>
        <w:t>2</w:t>
      </w:r>
      <w:r w:rsidR="008C5081" w:rsidRPr="002F64A6">
        <w:rPr>
          <w:rFonts w:asciiTheme="majorBidi" w:hAnsiTheme="majorBidi" w:cstheme="majorBidi"/>
          <w:bCs/>
          <w:szCs w:val="24"/>
        </w:rPr>
        <w:fldChar w:fldCharType="end"/>
      </w:r>
      <w:r w:rsidRPr="002F64A6">
        <w:rPr>
          <w:rFonts w:asciiTheme="majorBidi" w:hAnsiTheme="majorBidi" w:cstheme="majorBidi"/>
          <w:szCs w:val="24"/>
        </w:rPr>
        <w:t>).</w:t>
      </w:r>
      <w:bookmarkStart w:id="10" w:name="_Ref514765625"/>
      <w:r w:rsidRPr="002F64A6">
        <w:rPr>
          <w:rStyle w:val="FootnoteReference"/>
          <w:rFonts w:asciiTheme="majorBidi" w:hAnsiTheme="majorBidi" w:cstheme="majorBidi"/>
          <w:szCs w:val="24"/>
        </w:rPr>
        <w:footnoteReference w:id="41"/>
      </w:r>
      <w:bookmarkEnd w:id="10"/>
    </w:p>
    <w:p w14:paraId="4123A299" w14:textId="72BBB7E3" w:rsidR="001027F5" w:rsidRPr="002F64A6" w:rsidRDefault="001027F5" w:rsidP="001027F5">
      <w:pPr>
        <w:pStyle w:val="Caption"/>
      </w:pPr>
      <w:bookmarkStart w:id="11" w:name="_Ref514585299"/>
      <w:r w:rsidRPr="002F64A6">
        <w:t xml:space="preserve">Figure </w:t>
      </w:r>
      <w:r w:rsidR="00A46EC9">
        <w:fldChar w:fldCharType="begin"/>
      </w:r>
      <w:r w:rsidR="00A46EC9">
        <w:instrText xml:space="preserve"> SEQ Figure \* ARABIC </w:instrText>
      </w:r>
      <w:r w:rsidR="00A46EC9">
        <w:fldChar w:fldCharType="separate"/>
      </w:r>
      <w:r w:rsidR="00E35FAB">
        <w:rPr>
          <w:noProof/>
        </w:rPr>
        <w:t>1</w:t>
      </w:r>
      <w:r w:rsidR="00A46EC9">
        <w:rPr>
          <w:noProof/>
        </w:rPr>
        <w:fldChar w:fldCharType="end"/>
      </w:r>
      <w:bookmarkEnd w:id="11"/>
      <w:r w:rsidRPr="002F64A6">
        <w:t xml:space="preserve">. </w:t>
      </w:r>
      <w:r w:rsidR="00157EC7" w:rsidRPr="00157EC7">
        <w:t xml:space="preserve">BLS </w:t>
      </w:r>
      <w:r w:rsidR="00157EC7">
        <w:t>c</w:t>
      </w:r>
      <w:r w:rsidR="00157EC7" w:rsidRPr="00157EC7">
        <w:t xml:space="preserve">ounts of U.S. </w:t>
      </w:r>
      <w:r w:rsidR="00157EC7">
        <w:t>w</w:t>
      </w:r>
      <w:r w:rsidR="00157EC7" w:rsidRPr="00157EC7">
        <w:t xml:space="preserve">orkers </w:t>
      </w:r>
      <w:r w:rsidR="00157EC7">
        <w:t>k</w:t>
      </w:r>
      <w:r w:rsidR="00157EC7" w:rsidRPr="00157EC7">
        <w:t xml:space="preserve">illed by </w:t>
      </w:r>
      <w:r w:rsidR="00157EC7">
        <w:t>h</w:t>
      </w:r>
      <w:r w:rsidR="00157EC7" w:rsidRPr="00157EC7">
        <w:t xml:space="preserve">eat </w:t>
      </w:r>
      <w:r w:rsidR="00157EC7">
        <w:t>s</w:t>
      </w:r>
      <w:r w:rsidR="00157EC7" w:rsidRPr="00157EC7">
        <w:t>tress</w:t>
      </w:r>
    </w:p>
    <w:p w14:paraId="7600F153" w14:textId="6FF6E66E" w:rsidR="00E13571" w:rsidRPr="002F64A6" w:rsidRDefault="00A14109" w:rsidP="00D64CE8">
      <w:pPr>
        <w:pStyle w:val="Caption"/>
        <w:rPr>
          <w:rFonts w:asciiTheme="majorBidi" w:hAnsiTheme="majorBidi" w:cstheme="majorBidi"/>
          <w:szCs w:val="24"/>
        </w:rPr>
      </w:pPr>
      <w:r w:rsidRPr="002F64A6">
        <w:rPr>
          <w:noProof/>
        </w:rPr>
        <w:drawing>
          <wp:inline distT="0" distB="0" distL="0" distR="0" wp14:anchorId="6DF30404" wp14:editId="457CF62E">
            <wp:extent cx="5029200" cy="3017520"/>
            <wp:effectExtent l="0" t="0" r="0" b="0"/>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2065E47" w14:textId="7B4A1C25" w:rsidR="0015115A" w:rsidRPr="002F64A6" w:rsidRDefault="0015115A" w:rsidP="00C50127">
      <w:pPr>
        <w:pStyle w:val="Asterisks1"/>
        <w:ind w:left="1170" w:hanging="90"/>
      </w:pPr>
      <w:r w:rsidRPr="002F64A6">
        <w:t xml:space="preserve">Source: </w:t>
      </w:r>
      <w:r w:rsidR="00155B08" w:rsidRPr="00155B08">
        <w:t xml:space="preserve">Bureau of Labor Statistics. Occupational Injuries/Illnesses and Fatal Injuries Profiles. </w:t>
      </w:r>
      <w:hyperlink r:id="rId9" w:history="1">
        <w:r w:rsidR="00155B08" w:rsidRPr="00C70A1A">
          <w:rPr>
            <w:rStyle w:val="Hyperlink"/>
          </w:rPr>
          <w:t>https://data.bls.gov/gqt/InitialPage</w:t>
        </w:r>
      </w:hyperlink>
      <w:r w:rsidR="00155B08" w:rsidRPr="00155B08">
        <w:t xml:space="preserve">. Accessed May 24, 2018. </w:t>
      </w:r>
      <w:r w:rsidRPr="002F64A6">
        <w:t>Includes private sector and state and local government workers.</w:t>
      </w:r>
      <w:r w:rsidR="00157EC7">
        <w:rPr>
          <w:rStyle w:val="FootnoteReference"/>
        </w:rPr>
        <w:footnoteReference w:id="42"/>
      </w:r>
    </w:p>
    <w:p w14:paraId="28C18336" w14:textId="1F6B0E35" w:rsidR="00E13571" w:rsidRPr="002F64A6" w:rsidRDefault="00E13571" w:rsidP="00E13571">
      <w:pPr>
        <w:pStyle w:val="Caption"/>
      </w:pPr>
      <w:bookmarkStart w:id="12" w:name="_Ref514585314"/>
      <w:r w:rsidRPr="002F64A6">
        <w:lastRenderedPageBreak/>
        <w:t xml:space="preserve">Figure </w:t>
      </w:r>
      <w:r w:rsidR="00A46EC9">
        <w:fldChar w:fldCharType="begin"/>
      </w:r>
      <w:r w:rsidR="00A46EC9">
        <w:instrText xml:space="preserve"> SEQ Figure \* ARABIC </w:instrText>
      </w:r>
      <w:r w:rsidR="00A46EC9">
        <w:fldChar w:fldCharType="separate"/>
      </w:r>
      <w:r w:rsidR="00E35FAB">
        <w:rPr>
          <w:noProof/>
        </w:rPr>
        <w:t>2</w:t>
      </w:r>
      <w:r w:rsidR="00A46EC9">
        <w:rPr>
          <w:noProof/>
        </w:rPr>
        <w:fldChar w:fldCharType="end"/>
      </w:r>
      <w:bookmarkEnd w:id="12"/>
      <w:r w:rsidRPr="002F64A6">
        <w:t xml:space="preserve">. Reports of </w:t>
      </w:r>
      <w:r w:rsidR="00616CB3">
        <w:t>s</w:t>
      </w:r>
      <w:r w:rsidRPr="002F64A6">
        <w:t xml:space="preserve">erious </w:t>
      </w:r>
      <w:r w:rsidR="00616CB3">
        <w:t>i</w:t>
      </w:r>
      <w:r w:rsidRPr="002F64A6">
        <w:t xml:space="preserve">njuries to </w:t>
      </w:r>
      <w:r w:rsidR="0015115A" w:rsidRPr="002F64A6">
        <w:t xml:space="preserve">U.S. </w:t>
      </w:r>
      <w:r w:rsidR="00616CB3">
        <w:t>w</w:t>
      </w:r>
      <w:r w:rsidR="00A277A9">
        <w:t>orkers</w:t>
      </w:r>
      <w:r w:rsidR="00A277A9">
        <w:br/>
        <w:t xml:space="preserve">from </w:t>
      </w:r>
      <w:r w:rsidR="00616CB3">
        <w:t>h</w:t>
      </w:r>
      <w:r w:rsidRPr="002F64A6">
        <w:t xml:space="preserve">eat </w:t>
      </w:r>
      <w:r w:rsidR="00616CB3">
        <w:t>s</w:t>
      </w:r>
      <w:r w:rsidRPr="002F64A6">
        <w:t>tress</w:t>
      </w:r>
      <w:r w:rsidR="00A277A9">
        <w:t>, 1992–20</w:t>
      </w:r>
      <w:r w:rsidR="008A76C9">
        <w:t>16</w:t>
      </w:r>
      <w:r w:rsidR="00A277A9">
        <w:t xml:space="preserve"> (not including state and</w:t>
      </w:r>
      <w:r w:rsidR="00A277A9">
        <w:br/>
        <w:t>government workers</w:t>
      </w:r>
      <w:r w:rsidR="00A249C5">
        <w:t xml:space="preserve"> before</w:t>
      </w:r>
      <w:r w:rsidR="00A277A9">
        <w:t xml:space="preserve"> 2009)</w:t>
      </w:r>
    </w:p>
    <w:p w14:paraId="1D370201" w14:textId="2ECF3A57" w:rsidR="00E13571" w:rsidRPr="00A04011" w:rsidRDefault="00FE3EF9" w:rsidP="00A04011">
      <w:pPr>
        <w:pStyle w:val="Caption"/>
      </w:pPr>
      <w:r w:rsidRPr="002F64A6">
        <w:rPr>
          <w:noProof/>
        </w:rPr>
        <w:drawing>
          <wp:inline distT="0" distB="0" distL="0" distR="0" wp14:anchorId="5EFDD599" wp14:editId="095B2910">
            <wp:extent cx="5029200" cy="3017520"/>
            <wp:effectExtent l="0" t="0" r="0" b="0"/>
            <wp:docPr id="2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E8323B0" w14:textId="2FD0E61A" w:rsidR="00B5617B" w:rsidRPr="002F64A6" w:rsidRDefault="00B5617B" w:rsidP="00D64CE8">
      <w:pPr>
        <w:pStyle w:val="Asterisks"/>
        <w:ind w:left="1260" w:right="810"/>
      </w:pPr>
      <w:r w:rsidRPr="002F64A6">
        <w:t xml:space="preserve">Source: </w:t>
      </w:r>
      <w:r w:rsidR="0059215F" w:rsidRPr="0059215F">
        <w:t xml:space="preserve">Bureau of Labor Statistics. Occupational Injuries/Illnesses and Fatal Injuries Profiles. </w:t>
      </w:r>
      <w:hyperlink r:id="rId11" w:history="1">
        <w:r w:rsidR="0059215F" w:rsidRPr="00C70A1A">
          <w:rPr>
            <w:rStyle w:val="Hyperlink"/>
          </w:rPr>
          <w:t>https://data.bls.gov/gqt/InitialPage</w:t>
        </w:r>
      </w:hyperlink>
      <w:r w:rsidR="0059215F" w:rsidRPr="0059215F">
        <w:t xml:space="preserve">. Accessed </w:t>
      </w:r>
      <w:r w:rsidR="0059215F">
        <w:t>May 24,</w:t>
      </w:r>
      <w:r w:rsidR="0059215F" w:rsidRPr="0059215F">
        <w:t xml:space="preserve"> 2018. </w:t>
      </w:r>
      <w:r w:rsidR="001B6822" w:rsidRPr="001B6822">
        <w:t xml:space="preserve">Serious injuries are defined as those resulting in at least one day </w:t>
      </w:r>
      <w:r w:rsidR="00CB2AEB">
        <w:t xml:space="preserve">of absence </w:t>
      </w:r>
      <w:r w:rsidR="001B6822" w:rsidRPr="001B6822">
        <w:t xml:space="preserve">from work </w:t>
      </w:r>
      <w:r w:rsidR="001B6822">
        <w:t xml:space="preserve">. The </w:t>
      </w:r>
      <w:r w:rsidRPr="002F64A6">
        <w:t xml:space="preserve">BLS database does not </w:t>
      </w:r>
      <w:r w:rsidR="003A7276">
        <w:t xml:space="preserve">capture </w:t>
      </w:r>
      <w:r w:rsidRPr="002F64A6">
        <w:t>injury data for state and local government workers prior to 2009.</w:t>
      </w:r>
      <w:r w:rsidR="003D250D">
        <w:rPr>
          <w:rStyle w:val="FootnoteReference"/>
        </w:rPr>
        <w:footnoteReference w:id="43"/>
      </w:r>
    </w:p>
    <w:p w14:paraId="1D9CCE2E" w14:textId="6D81F14B" w:rsidR="00ED710D" w:rsidRPr="002F64A6" w:rsidRDefault="00E31358" w:rsidP="00ED710D">
      <w:pPr>
        <w:rPr>
          <w:rFonts w:asciiTheme="majorBidi" w:hAnsiTheme="majorBidi" w:cstheme="majorBidi"/>
          <w:szCs w:val="24"/>
        </w:rPr>
      </w:pPr>
      <w:r>
        <w:rPr>
          <w:rFonts w:asciiTheme="majorBidi" w:hAnsiTheme="majorBidi" w:cstheme="majorBidi"/>
          <w:szCs w:val="24"/>
        </w:rPr>
        <w:t>But t</w:t>
      </w:r>
      <w:r w:rsidRPr="002F64A6">
        <w:rPr>
          <w:rFonts w:asciiTheme="majorBidi" w:hAnsiTheme="majorBidi" w:cstheme="majorBidi"/>
          <w:szCs w:val="24"/>
        </w:rPr>
        <w:t>he BLS data vast</w:t>
      </w:r>
      <w:r>
        <w:rPr>
          <w:rFonts w:asciiTheme="majorBidi" w:hAnsiTheme="majorBidi" w:cstheme="majorBidi"/>
          <w:szCs w:val="24"/>
        </w:rPr>
        <w:t>ly</w:t>
      </w:r>
      <w:r w:rsidRPr="002F64A6">
        <w:rPr>
          <w:rFonts w:asciiTheme="majorBidi" w:hAnsiTheme="majorBidi" w:cstheme="majorBidi"/>
          <w:szCs w:val="24"/>
        </w:rPr>
        <w:t xml:space="preserve"> </w:t>
      </w:r>
      <w:r>
        <w:rPr>
          <w:rFonts w:asciiTheme="majorBidi" w:hAnsiTheme="majorBidi" w:cstheme="majorBidi"/>
          <w:szCs w:val="24"/>
        </w:rPr>
        <w:t>understate the number of injuries</w:t>
      </w:r>
      <w:r w:rsidR="00ED710D" w:rsidRPr="002F64A6">
        <w:rPr>
          <w:rFonts w:asciiTheme="majorBidi" w:hAnsiTheme="majorBidi" w:cstheme="majorBidi"/>
          <w:szCs w:val="24"/>
        </w:rPr>
        <w:t xml:space="preserve"> </w:t>
      </w:r>
      <w:r w:rsidR="006A2E4F">
        <w:rPr>
          <w:rFonts w:asciiTheme="majorBidi" w:hAnsiTheme="majorBidi" w:cstheme="majorBidi"/>
          <w:szCs w:val="24"/>
        </w:rPr>
        <w:t xml:space="preserve">and fatalities </w:t>
      </w:r>
      <w:r w:rsidR="00ED710D" w:rsidRPr="002F64A6">
        <w:rPr>
          <w:rFonts w:asciiTheme="majorBidi" w:hAnsiTheme="majorBidi" w:cstheme="majorBidi"/>
          <w:szCs w:val="24"/>
        </w:rPr>
        <w:t xml:space="preserve">for several reasons. </w:t>
      </w:r>
      <w:r w:rsidR="006A2E4F">
        <w:rPr>
          <w:rFonts w:asciiTheme="majorBidi" w:hAnsiTheme="majorBidi" w:cstheme="majorBidi"/>
          <w:szCs w:val="24"/>
        </w:rPr>
        <w:t>Regarding injuries, s</w:t>
      </w:r>
      <w:r w:rsidR="00DD54B8">
        <w:rPr>
          <w:rFonts w:asciiTheme="majorBidi" w:hAnsiTheme="majorBidi" w:cstheme="majorBidi"/>
          <w:szCs w:val="24"/>
        </w:rPr>
        <w:t xml:space="preserve">ome </w:t>
      </w:r>
      <w:r w:rsidR="009178FC">
        <w:rPr>
          <w:rFonts w:asciiTheme="majorBidi" w:hAnsiTheme="majorBidi" w:cstheme="majorBidi"/>
          <w:szCs w:val="24"/>
        </w:rPr>
        <w:t xml:space="preserve">of the shortcomings stem from the fact that BLS </w:t>
      </w:r>
      <w:r w:rsidR="00ED710D" w:rsidRPr="002F64A6">
        <w:rPr>
          <w:rFonts w:asciiTheme="majorBidi" w:hAnsiTheme="majorBidi" w:cstheme="majorBidi"/>
          <w:szCs w:val="24"/>
        </w:rPr>
        <w:t>relies on employer logs.</w:t>
      </w:r>
      <w:r w:rsidR="00ED710D" w:rsidRPr="002F64A6">
        <w:rPr>
          <w:rFonts w:asciiTheme="majorBidi" w:hAnsiTheme="majorBidi" w:cstheme="majorBidi"/>
          <w:szCs w:val="24"/>
          <w:vertAlign w:val="superscript"/>
        </w:rPr>
        <w:footnoteReference w:id="44"/>
      </w:r>
      <w:r w:rsidR="00ED710D" w:rsidRPr="002F64A6">
        <w:rPr>
          <w:rFonts w:asciiTheme="majorBidi" w:hAnsiTheme="majorBidi" w:cstheme="majorBidi"/>
          <w:szCs w:val="24"/>
        </w:rPr>
        <w:t xml:space="preserve"> The </w:t>
      </w:r>
      <w:r w:rsidR="00E4190F" w:rsidRPr="002F64A6">
        <w:rPr>
          <w:rFonts w:asciiTheme="majorBidi" w:hAnsiTheme="majorBidi" w:cstheme="majorBidi"/>
          <w:szCs w:val="24"/>
        </w:rPr>
        <w:t>O</w:t>
      </w:r>
      <w:r w:rsidR="00E4190F" w:rsidRPr="002F64A6">
        <w:rPr>
          <w:rFonts w:asciiTheme="majorBidi" w:hAnsiTheme="majorBidi" w:cstheme="majorBidi"/>
          <w:bCs/>
          <w:szCs w:val="24"/>
        </w:rPr>
        <w:t>ccupational Safety and Health</w:t>
      </w:r>
      <w:r w:rsidR="00E4190F" w:rsidRPr="002F64A6">
        <w:rPr>
          <w:rFonts w:asciiTheme="majorBidi" w:hAnsiTheme="majorBidi" w:cstheme="majorBidi"/>
          <w:b/>
          <w:bCs/>
          <w:szCs w:val="24"/>
        </w:rPr>
        <w:t xml:space="preserve"> </w:t>
      </w:r>
      <w:r w:rsidR="00CE7BED" w:rsidRPr="002F64A6">
        <w:rPr>
          <w:rFonts w:asciiTheme="majorBidi" w:hAnsiTheme="majorBidi" w:cstheme="majorBidi"/>
          <w:b/>
          <w:bCs/>
          <w:szCs w:val="24"/>
        </w:rPr>
        <w:t>(</w:t>
      </w:r>
      <w:r w:rsidR="00ED710D" w:rsidRPr="002F64A6">
        <w:rPr>
          <w:rFonts w:asciiTheme="majorBidi" w:hAnsiTheme="majorBidi" w:cstheme="majorBidi"/>
          <w:szCs w:val="24"/>
        </w:rPr>
        <w:t>OSH</w:t>
      </w:r>
      <w:r w:rsidR="00CE7BED" w:rsidRPr="002F64A6">
        <w:rPr>
          <w:rFonts w:asciiTheme="majorBidi" w:hAnsiTheme="majorBidi" w:cstheme="majorBidi"/>
          <w:szCs w:val="24"/>
        </w:rPr>
        <w:t>)</w:t>
      </w:r>
      <w:r w:rsidR="00ED710D" w:rsidRPr="002F64A6">
        <w:rPr>
          <w:rFonts w:asciiTheme="majorBidi" w:hAnsiTheme="majorBidi" w:cstheme="majorBidi"/>
          <w:szCs w:val="24"/>
        </w:rPr>
        <w:t xml:space="preserve"> Act of 1970 requires most employers to </w:t>
      </w:r>
      <w:r w:rsidR="0030509F">
        <w:rPr>
          <w:rFonts w:asciiTheme="majorBidi" w:hAnsiTheme="majorBidi" w:cstheme="majorBidi"/>
          <w:szCs w:val="24"/>
        </w:rPr>
        <w:t xml:space="preserve">record </w:t>
      </w:r>
      <w:r w:rsidR="00ED710D" w:rsidRPr="002F64A6">
        <w:rPr>
          <w:rFonts w:asciiTheme="majorBidi" w:hAnsiTheme="majorBidi" w:cstheme="majorBidi"/>
          <w:szCs w:val="24"/>
        </w:rPr>
        <w:t xml:space="preserve">injuries and illnesses sustained by their workers on a form known as the Form 300 Log of Injury (or </w:t>
      </w:r>
      <w:r w:rsidR="00251746">
        <w:rPr>
          <w:rFonts w:asciiTheme="majorBidi" w:hAnsiTheme="majorBidi" w:cstheme="majorBidi"/>
          <w:szCs w:val="24"/>
        </w:rPr>
        <w:t xml:space="preserve">Form </w:t>
      </w:r>
      <w:r w:rsidR="00ED710D" w:rsidRPr="002F64A6">
        <w:rPr>
          <w:rFonts w:asciiTheme="majorBidi" w:hAnsiTheme="majorBidi" w:cstheme="majorBidi"/>
          <w:szCs w:val="24"/>
        </w:rPr>
        <w:t>300 log).</w:t>
      </w:r>
      <w:r w:rsidR="00ED710D" w:rsidRPr="002F64A6">
        <w:rPr>
          <w:rFonts w:asciiTheme="majorBidi" w:hAnsiTheme="majorBidi" w:cstheme="majorBidi"/>
          <w:szCs w:val="24"/>
          <w:vertAlign w:val="superscript"/>
        </w:rPr>
        <w:footnoteReference w:id="45"/>
      </w:r>
      <w:r w:rsidR="00ED710D" w:rsidRPr="002F64A6">
        <w:rPr>
          <w:rFonts w:asciiTheme="majorBidi" w:hAnsiTheme="majorBidi" w:cstheme="majorBidi"/>
          <w:szCs w:val="24"/>
        </w:rPr>
        <w:t xml:space="preserve"> </w:t>
      </w:r>
      <w:r w:rsidR="003C2A6D">
        <w:rPr>
          <w:rFonts w:asciiTheme="majorBidi" w:hAnsiTheme="majorBidi" w:cstheme="majorBidi"/>
          <w:szCs w:val="24"/>
        </w:rPr>
        <w:t>But t</w:t>
      </w:r>
      <w:r w:rsidR="00ED710D" w:rsidRPr="002F64A6">
        <w:rPr>
          <w:rFonts w:asciiTheme="majorBidi" w:hAnsiTheme="majorBidi" w:cstheme="majorBidi"/>
          <w:szCs w:val="24"/>
        </w:rPr>
        <w:t>he OSH Act</w:t>
      </w:r>
      <w:r w:rsidR="001E5C9D">
        <w:rPr>
          <w:rFonts w:asciiTheme="majorBidi" w:hAnsiTheme="majorBidi" w:cstheme="majorBidi"/>
          <w:szCs w:val="24"/>
        </w:rPr>
        <w:t xml:space="preserve"> </w:t>
      </w:r>
      <w:r w:rsidR="00E207AF">
        <w:rPr>
          <w:rFonts w:asciiTheme="majorBidi" w:hAnsiTheme="majorBidi" w:cstheme="majorBidi"/>
          <w:szCs w:val="24"/>
        </w:rPr>
        <w:t>does not apply to f</w:t>
      </w:r>
      <w:r w:rsidR="001E5C9D">
        <w:rPr>
          <w:rFonts w:asciiTheme="majorBidi" w:hAnsiTheme="majorBidi" w:cstheme="majorBidi"/>
          <w:szCs w:val="24"/>
        </w:rPr>
        <w:t>e</w:t>
      </w:r>
      <w:r w:rsidR="00ED710D" w:rsidRPr="002F64A6">
        <w:rPr>
          <w:rFonts w:asciiTheme="majorBidi" w:hAnsiTheme="majorBidi" w:cstheme="majorBidi"/>
          <w:szCs w:val="24"/>
        </w:rPr>
        <w:t>deral government agencies, self-employed persons, and household workers.</w:t>
      </w:r>
      <w:r w:rsidR="00ED710D" w:rsidRPr="002F64A6">
        <w:rPr>
          <w:rFonts w:asciiTheme="majorBidi" w:hAnsiTheme="majorBidi" w:cstheme="majorBidi"/>
          <w:szCs w:val="24"/>
          <w:vertAlign w:val="superscript"/>
        </w:rPr>
        <w:footnoteReference w:id="46"/>
      </w:r>
      <w:r w:rsidR="00ED710D" w:rsidRPr="002F64A6">
        <w:rPr>
          <w:rFonts w:asciiTheme="majorBidi" w:hAnsiTheme="majorBidi" w:cstheme="majorBidi"/>
          <w:szCs w:val="24"/>
        </w:rPr>
        <w:t xml:space="preserve"> </w:t>
      </w:r>
      <w:r w:rsidR="00E207AF">
        <w:rPr>
          <w:rFonts w:asciiTheme="majorBidi" w:hAnsiTheme="majorBidi" w:cstheme="majorBidi"/>
          <w:szCs w:val="24"/>
        </w:rPr>
        <w:t>The Act also exempts s</w:t>
      </w:r>
      <w:r w:rsidR="00ED710D" w:rsidRPr="002F64A6">
        <w:rPr>
          <w:rFonts w:asciiTheme="majorBidi" w:hAnsiTheme="majorBidi" w:cstheme="majorBidi"/>
          <w:szCs w:val="24"/>
        </w:rPr>
        <w:t>mall farms with fewer than 11 workers</w:t>
      </w:r>
      <w:r w:rsidR="00E207AF">
        <w:rPr>
          <w:rFonts w:asciiTheme="majorBidi" w:hAnsiTheme="majorBidi" w:cstheme="majorBidi"/>
          <w:szCs w:val="24"/>
        </w:rPr>
        <w:t xml:space="preserve">, which means that </w:t>
      </w:r>
      <w:r w:rsidR="00ED710D" w:rsidRPr="002F64A6">
        <w:rPr>
          <w:rFonts w:asciiTheme="majorBidi" w:hAnsiTheme="majorBidi" w:cstheme="majorBidi"/>
          <w:szCs w:val="24"/>
        </w:rPr>
        <w:t xml:space="preserve">BLS </w:t>
      </w:r>
      <w:r w:rsidR="00E207AF">
        <w:rPr>
          <w:rFonts w:asciiTheme="majorBidi" w:hAnsiTheme="majorBidi" w:cstheme="majorBidi"/>
          <w:szCs w:val="24"/>
        </w:rPr>
        <w:t xml:space="preserve">injury </w:t>
      </w:r>
      <w:r w:rsidR="00ED710D" w:rsidRPr="002F64A6">
        <w:rPr>
          <w:rFonts w:asciiTheme="majorBidi" w:hAnsiTheme="majorBidi" w:cstheme="majorBidi"/>
          <w:szCs w:val="24"/>
        </w:rPr>
        <w:t>data</w:t>
      </w:r>
      <w:r w:rsidR="00E207AF">
        <w:rPr>
          <w:rFonts w:asciiTheme="majorBidi" w:hAnsiTheme="majorBidi" w:cstheme="majorBidi"/>
          <w:szCs w:val="24"/>
        </w:rPr>
        <w:t xml:space="preserve"> </w:t>
      </w:r>
      <w:r w:rsidR="00ED710D" w:rsidRPr="002F64A6">
        <w:rPr>
          <w:rFonts w:asciiTheme="majorBidi" w:hAnsiTheme="majorBidi" w:cstheme="majorBidi"/>
          <w:szCs w:val="24"/>
        </w:rPr>
        <w:t xml:space="preserve">do not capture heat-related events </w:t>
      </w:r>
      <w:r w:rsidR="00A97EED">
        <w:rPr>
          <w:rFonts w:asciiTheme="majorBidi" w:hAnsiTheme="majorBidi" w:cstheme="majorBidi"/>
          <w:szCs w:val="24"/>
        </w:rPr>
        <w:t>for</w:t>
      </w:r>
      <w:r w:rsidR="00A97EED" w:rsidRPr="002F64A6">
        <w:rPr>
          <w:rFonts w:asciiTheme="majorBidi" w:hAnsiTheme="majorBidi" w:cstheme="majorBidi"/>
          <w:szCs w:val="24"/>
        </w:rPr>
        <w:t xml:space="preserve"> </w:t>
      </w:r>
      <w:r w:rsidR="00ED710D" w:rsidRPr="002F64A6">
        <w:rPr>
          <w:rFonts w:asciiTheme="majorBidi" w:hAnsiTheme="majorBidi" w:cstheme="majorBidi"/>
          <w:szCs w:val="24"/>
        </w:rPr>
        <w:t>a significant number of agricultural workers</w:t>
      </w:r>
      <w:r w:rsidR="00D552A8">
        <w:rPr>
          <w:rFonts w:asciiTheme="majorBidi" w:hAnsiTheme="majorBidi" w:cstheme="majorBidi"/>
          <w:szCs w:val="24"/>
        </w:rPr>
        <w:t>,</w:t>
      </w:r>
      <w:r w:rsidR="00ED710D" w:rsidRPr="002F64A6">
        <w:rPr>
          <w:rFonts w:asciiTheme="majorBidi" w:hAnsiTheme="majorBidi" w:cstheme="majorBidi"/>
          <w:szCs w:val="24"/>
        </w:rPr>
        <w:t xml:space="preserve"> </w:t>
      </w:r>
      <w:r w:rsidR="00464131">
        <w:rPr>
          <w:rFonts w:asciiTheme="majorBidi" w:hAnsiTheme="majorBidi" w:cstheme="majorBidi"/>
          <w:szCs w:val="24"/>
        </w:rPr>
        <w:t xml:space="preserve">the </w:t>
      </w:r>
      <w:r w:rsidR="00744289">
        <w:rPr>
          <w:rFonts w:asciiTheme="majorBidi" w:hAnsiTheme="majorBidi" w:cstheme="majorBidi"/>
          <w:szCs w:val="24"/>
        </w:rPr>
        <w:t xml:space="preserve">sector </w:t>
      </w:r>
      <w:r w:rsidR="00464131">
        <w:rPr>
          <w:rFonts w:asciiTheme="majorBidi" w:hAnsiTheme="majorBidi" w:cstheme="majorBidi"/>
          <w:szCs w:val="24"/>
        </w:rPr>
        <w:t xml:space="preserve">at highest risk of </w:t>
      </w:r>
      <w:r w:rsidR="00D552A8">
        <w:rPr>
          <w:rFonts w:asciiTheme="majorBidi" w:hAnsiTheme="majorBidi" w:cstheme="majorBidi"/>
          <w:szCs w:val="24"/>
        </w:rPr>
        <w:t>heat illness</w:t>
      </w:r>
      <w:r w:rsidR="00ED710D" w:rsidRPr="002F64A6">
        <w:rPr>
          <w:rFonts w:asciiTheme="majorBidi" w:hAnsiTheme="majorBidi" w:cstheme="majorBidi"/>
          <w:szCs w:val="24"/>
        </w:rPr>
        <w:t>.</w:t>
      </w:r>
      <w:r w:rsidR="00D62F43">
        <w:rPr>
          <w:rStyle w:val="FootnoteReference"/>
          <w:rFonts w:asciiTheme="majorBidi" w:hAnsiTheme="majorBidi" w:cstheme="majorBidi"/>
          <w:szCs w:val="24"/>
        </w:rPr>
        <w:footnoteReference w:id="47"/>
      </w:r>
      <w:r w:rsidR="00ED710D" w:rsidRPr="002F64A6">
        <w:rPr>
          <w:rFonts w:asciiTheme="majorBidi" w:hAnsiTheme="majorBidi" w:cstheme="majorBidi"/>
          <w:szCs w:val="24"/>
        </w:rPr>
        <w:t xml:space="preserve"> </w:t>
      </w:r>
      <w:r w:rsidR="00ED3A10" w:rsidRPr="002F64A6">
        <w:rPr>
          <w:rFonts w:asciiTheme="majorBidi" w:hAnsiTheme="majorBidi" w:cstheme="majorBidi"/>
          <w:szCs w:val="24"/>
        </w:rPr>
        <w:t xml:space="preserve">Moreover, OSHA does not require that an injury be reported if it does not lead to one or more of the following: </w:t>
      </w:r>
      <w:r w:rsidR="00ED710D" w:rsidRPr="002F64A6">
        <w:rPr>
          <w:rFonts w:asciiTheme="majorBidi" w:hAnsiTheme="majorBidi" w:cstheme="majorBidi"/>
          <w:szCs w:val="24"/>
        </w:rPr>
        <w:t>death</w:t>
      </w:r>
      <w:r w:rsidR="003D45BD" w:rsidRPr="002F64A6">
        <w:rPr>
          <w:rFonts w:asciiTheme="majorBidi" w:hAnsiTheme="majorBidi" w:cstheme="majorBidi"/>
          <w:szCs w:val="24"/>
        </w:rPr>
        <w:t>;</w:t>
      </w:r>
      <w:r w:rsidR="00ED710D" w:rsidRPr="002F64A6">
        <w:rPr>
          <w:rFonts w:asciiTheme="majorBidi" w:hAnsiTheme="majorBidi" w:cstheme="majorBidi"/>
          <w:szCs w:val="24"/>
        </w:rPr>
        <w:t xml:space="preserve"> days away from work</w:t>
      </w:r>
      <w:r w:rsidR="003D45BD" w:rsidRPr="002F64A6">
        <w:rPr>
          <w:rFonts w:asciiTheme="majorBidi" w:hAnsiTheme="majorBidi" w:cstheme="majorBidi"/>
          <w:szCs w:val="24"/>
        </w:rPr>
        <w:t>;</w:t>
      </w:r>
      <w:r w:rsidR="00ED710D" w:rsidRPr="002F64A6">
        <w:rPr>
          <w:rFonts w:asciiTheme="majorBidi" w:hAnsiTheme="majorBidi" w:cstheme="majorBidi"/>
          <w:szCs w:val="24"/>
        </w:rPr>
        <w:t xml:space="preserve"> restricted work or transfer to another job</w:t>
      </w:r>
      <w:r w:rsidR="003D45BD" w:rsidRPr="002F64A6">
        <w:rPr>
          <w:rFonts w:asciiTheme="majorBidi" w:hAnsiTheme="majorBidi" w:cstheme="majorBidi"/>
          <w:szCs w:val="24"/>
        </w:rPr>
        <w:t>;</w:t>
      </w:r>
      <w:r w:rsidR="00ED710D" w:rsidRPr="002F64A6">
        <w:rPr>
          <w:rFonts w:asciiTheme="majorBidi" w:hAnsiTheme="majorBidi" w:cstheme="majorBidi"/>
          <w:szCs w:val="24"/>
        </w:rPr>
        <w:t xml:space="preserve"> medical treatment beyond first aid</w:t>
      </w:r>
      <w:r w:rsidR="003D45BD" w:rsidRPr="002F64A6">
        <w:rPr>
          <w:rFonts w:asciiTheme="majorBidi" w:hAnsiTheme="majorBidi" w:cstheme="majorBidi"/>
          <w:szCs w:val="24"/>
        </w:rPr>
        <w:t>;</w:t>
      </w:r>
      <w:r w:rsidR="00ED710D" w:rsidRPr="002F64A6">
        <w:rPr>
          <w:rFonts w:asciiTheme="majorBidi" w:hAnsiTheme="majorBidi" w:cstheme="majorBidi"/>
          <w:szCs w:val="24"/>
        </w:rPr>
        <w:t xml:space="preserve"> loss of consciousness</w:t>
      </w:r>
      <w:r w:rsidR="003D45BD" w:rsidRPr="002F64A6">
        <w:rPr>
          <w:rFonts w:asciiTheme="majorBidi" w:hAnsiTheme="majorBidi" w:cstheme="majorBidi"/>
          <w:szCs w:val="24"/>
        </w:rPr>
        <w:t>;</w:t>
      </w:r>
      <w:r w:rsidR="00ED710D" w:rsidRPr="002F64A6">
        <w:rPr>
          <w:rFonts w:asciiTheme="majorBidi" w:hAnsiTheme="majorBidi" w:cstheme="majorBidi"/>
          <w:szCs w:val="24"/>
        </w:rPr>
        <w:t xml:space="preserve"> or a diagnosis of significant injury by a health care professional.</w:t>
      </w:r>
      <w:r w:rsidR="00ED710D" w:rsidRPr="002F64A6">
        <w:rPr>
          <w:rFonts w:asciiTheme="majorBidi" w:hAnsiTheme="majorBidi" w:cstheme="majorBidi"/>
          <w:szCs w:val="24"/>
          <w:vertAlign w:val="superscript"/>
        </w:rPr>
        <w:footnoteReference w:id="48"/>
      </w:r>
    </w:p>
    <w:p w14:paraId="0A73ED1D" w14:textId="0416B892" w:rsidR="006D2076" w:rsidRDefault="00ED710D" w:rsidP="00ED710D">
      <w:pPr>
        <w:rPr>
          <w:rFonts w:asciiTheme="majorBidi" w:hAnsiTheme="majorBidi" w:cstheme="majorBidi"/>
          <w:szCs w:val="24"/>
        </w:rPr>
      </w:pPr>
      <w:r w:rsidRPr="002F64A6">
        <w:rPr>
          <w:rFonts w:asciiTheme="majorBidi" w:hAnsiTheme="majorBidi" w:cstheme="majorBidi"/>
          <w:szCs w:val="24"/>
        </w:rPr>
        <w:lastRenderedPageBreak/>
        <w:t xml:space="preserve">Even for employers covered by the OSH Act, the </w:t>
      </w:r>
      <w:r w:rsidR="00AB12BE">
        <w:rPr>
          <w:rFonts w:asciiTheme="majorBidi" w:hAnsiTheme="majorBidi" w:cstheme="majorBidi"/>
          <w:szCs w:val="24"/>
        </w:rPr>
        <w:t>injury and illness</w:t>
      </w:r>
      <w:r w:rsidR="003B2FC7">
        <w:rPr>
          <w:rFonts w:asciiTheme="majorBidi" w:hAnsiTheme="majorBidi" w:cstheme="majorBidi"/>
          <w:szCs w:val="24"/>
        </w:rPr>
        <w:t xml:space="preserve"> </w:t>
      </w:r>
      <w:r w:rsidRPr="002F64A6">
        <w:rPr>
          <w:rFonts w:asciiTheme="majorBidi" w:hAnsiTheme="majorBidi" w:cstheme="majorBidi"/>
          <w:szCs w:val="24"/>
        </w:rPr>
        <w:t xml:space="preserve">data </w:t>
      </w:r>
      <w:r w:rsidR="00B02566">
        <w:rPr>
          <w:rFonts w:asciiTheme="majorBidi" w:hAnsiTheme="majorBidi" w:cstheme="majorBidi"/>
          <w:szCs w:val="24"/>
        </w:rPr>
        <w:t xml:space="preserve">are still underestimates </w:t>
      </w:r>
      <w:r w:rsidRPr="002F64A6">
        <w:rPr>
          <w:rFonts w:asciiTheme="majorBidi" w:hAnsiTheme="majorBidi" w:cstheme="majorBidi"/>
          <w:szCs w:val="24"/>
        </w:rPr>
        <w:t>for several reasons, as outlined in a 2009 Government Accountability Office (GAO) review.</w:t>
      </w:r>
      <w:r w:rsidRPr="002F64A6">
        <w:rPr>
          <w:rFonts w:asciiTheme="majorBidi" w:hAnsiTheme="majorBidi" w:cstheme="majorBidi"/>
          <w:szCs w:val="24"/>
          <w:vertAlign w:val="superscript"/>
        </w:rPr>
        <w:footnoteReference w:id="49"/>
      </w:r>
      <w:r w:rsidRPr="002F64A6">
        <w:rPr>
          <w:rFonts w:asciiTheme="majorBidi" w:hAnsiTheme="majorBidi" w:cstheme="majorBidi"/>
          <w:szCs w:val="24"/>
        </w:rPr>
        <w:t xml:space="preserve"> First, the Form 300 logs rely on self-reports by employers, employees, and company doctors. As GAO noted, employers are likely to underreport because they do not want to increase their workers</w:t>
      </w:r>
      <w:r w:rsidR="00DB23CF">
        <w:rPr>
          <w:rFonts w:asciiTheme="majorBidi" w:hAnsiTheme="majorBidi" w:cstheme="majorBidi"/>
          <w:szCs w:val="24"/>
        </w:rPr>
        <w:t>’</w:t>
      </w:r>
      <w:r w:rsidRPr="002F64A6">
        <w:rPr>
          <w:rFonts w:asciiTheme="majorBidi" w:hAnsiTheme="majorBidi" w:cstheme="majorBidi"/>
          <w:szCs w:val="24"/>
        </w:rPr>
        <w:t xml:space="preserve"> compensation costs or jeopardize their standing as safe workplaces for potential contracts.</w:t>
      </w:r>
      <w:r w:rsidRPr="002F64A6">
        <w:rPr>
          <w:rStyle w:val="FootnoteReference"/>
          <w:rFonts w:asciiTheme="majorBidi" w:hAnsiTheme="majorBidi" w:cstheme="majorBidi"/>
          <w:szCs w:val="24"/>
        </w:rPr>
        <w:footnoteReference w:id="50"/>
      </w:r>
      <w:r w:rsidRPr="002F64A6">
        <w:rPr>
          <w:rFonts w:asciiTheme="majorBidi" w:hAnsiTheme="majorBidi" w:cstheme="majorBidi"/>
          <w:szCs w:val="24"/>
        </w:rPr>
        <w:t xml:space="preserve"> </w:t>
      </w:r>
      <w:r w:rsidR="00DC7889">
        <w:rPr>
          <w:rFonts w:asciiTheme="majorBidi" w:hAnsiTheme="majorBidi" w:cstheme="majorBidi"/>
          <w:szCs w:val="24"/>
        </w:rPr>
        <w:t xml:space="preserve">In addition, </w:t>
      </w:r>
      <w:r w:rsidR="004F0C00">
        <w:rPr>
          <w:rFonts w:asciiTheme="majorBidi" w:hAnsiTheme="majorBidi" w:cstheme="majorBidi"/>
          <w:szCs w:val="24"/>
        </w:rPr>
        <w:t xml:space="preserve">some </w:t>
      </w:r>
      <w:r w:rsidR="00DC7889">
        <w:rPr>
          <w:rFonts w:asciiTheme="majorBidi" w:hAnsiTheme="majorBidi" w:cstheme="majorBidi"/>
          <w:szCs w:val="24"/>
        </w:rPr>
        <w:t xml:space="preserve">employers </w:t>
      </w:r>
      <w:r w:rsidR="004F0C00">
        <w:rPr>
          <w:rFonts w:asciiTheme="majorBidi" w:hAnsiTheme="majorBidi" w:cstheme="majorBidi"/>
          <w:szCs w:val="24"/>
        </w:rPr>
        <w:t>hire independent contractors to avoid reporting requirements.</w:t>
      </w:r>
      <w:r w:rsidR="004F0C00">
        <w:rPr>
          <w:rStyle w:val="FootnoteReference"/>
          <w:rFonts w:asciiTheme="majorBidi" w:hAnsiTheme="majorBidi" w:cstheme="majorBidi"/>
          <w:szCs w:val="24"/>
        </w:rPr>
        <w:footnoteReference w:id="51"/>
      </w:r>
    </w:p>
    <w:p w14:paraId="0FC1E085" w14:textId="6FD3AC22" w:rsidR="00DF6FAD" w:rsidRDefault="00ED710D" w:rsidP="00ED710D">
      <w:pPr>
        <w:rPr>
          <w:rFonts w:asciiTheme="majorBidi" w:hAnsiTheme="majorBidi" w:cstheme="majorBidi"/>
          <w:szCs w:val="24"/>
        </w:rPr>
      </w:pPr>
      <w:r w:rsidRPr="002F64A6">
        <w:rPr>
          <w:rFonts w:asciiTheme="majorBidi" w:hAnsiTheme="majorBidi" w:cstheme="majorBidi"/>
          <w:szCs w:val="24"/>
        </w:rPr>
        <w:t xml:space="preserve">For their part, </w:t>
      </w:r>
      <w:r w:rsidR="006D2076">
        <w:rPr>
          <w:rFonts w:asciiTheme="majorBidi" w:hAnsiTheme="majorBidi" w:cstheme="majorBidi"/>
          <w:szCs w:val="24"/>
        </w:rPr>
        <w:t xml:space="preserve">many </w:t>
      </w:r>
      <w:r w:rsidRPr="002F64A6">
        <w:rPr>
          <w:rFonts w:asciiTheme="majorBidi" w:hAnsiTheme="majorBidi" w:cstheme="majorBidi"/>
          <w:szCs w:val="24"/>
        </w:rPr>
        <w:t>employees do not report injuries due to fear of retaliation, including the potential to lose their jobs</w:t>
      </w:r>
      <w:r w:rsidR="00D641BF">
        <w:rPr>
          <w:rFonts w:asciiTheme="majorBidi" w:hAnsiTheme="majorBidi" w:cstheme="majorBidi"/>
          <w:szCs w:val="24"/>
        </w:rPr>
        <w:t>.</w:t>
      </w:r>
      <w:r w:rsidR="006D2076">
        <w:rPr>
          <w:rFonts w:asciiTheme="majorBidi" w:hAnsiTheme="majorBidi" w:cstheme="majorBidi"/>
          <w:szCs w:val="24"/>
        </w:rPr>
        <w:t xml:space="preserve"> </w:t>
      </w:r>
      <w:r w:rsidR="000C6A8B">
        <w:rPr>
          <w:rFonts w:asciiTheme="majorBidi" w:hAnsiTheme="majorBidi" w:cstheme="majorBidi"/>
          <w:szCs w:val="24"/>
        </w:rPr>
        <w:t>Sixty-seven</w:t>
      </w:r>
      <w:r w:rsidR="006D2076">
        <w:rPr>
          <w:rFonts w:asciiTheme="majorBidi" w:hAnsiTheme="majorBidi" w:cstheme="majorBidi"/>
          <w:szCs w:val="24"/>
        </w:rPr>
        <w:t xml:space="preserve"> percent of </w:t>
      </w:r>
      <w:r w:rsidR="00E82F3C">
        <w:rPr>
          <w:rFonts w:asciiTheme="majorBidi" w:hAnsiTheme="majorBidi" w:cstheme="majorBidi"/>
          <w:szCs w:val="24"/>
        </w:rPr>
        <w:t xml:space="preserve">occupational </w:t>
      </w:r>
      <w:r w:rsidR="006D2076">
        <w:rPr>
          <w:rFonts w:asciiTheme="majorBidi" w:hAnsiTheme="majorBidi" w:cstheme="majorBidi"/>
          <w:szCs w:val="24"/>
        </w:rPr>
        <w:t xml:space="preserve">health practitioners </w:t>
      </w:r>
      <w:r w:rsidR="000C6A8B">
        <w:rPr>
          <w:rFonts w:asciiTheme="majorBidi" w:hAnsiTheme="majorBidi" w:cstheme="majorBidi"/>
          <w:szCs w:val="24"/>
        </w:rPr>
        <w:t xml:space="preserve">surveyed by the GAO </w:t>
      </w:r>
      <w:r w:rsidR="006D2076">
        <w:rPr>
          <w:rFonts w:asciiTheme="majorBidi" w:hAnsiTheme="majorBidi" w:cstheme="majorBidi"/>
          <w:szCs w:val="24"/>
        </w:rPr>
        <w:t xml:space="preserve">reported observing worker fear of disciplinary action for reporting an injury or illness, and 46 percent </w:t>
      </w:r>
      <w:r w:rsidR="000C6A8B">
        <w:rPr>
          <w:rFonts w:asciiTheme="majorBidi" w:hAnsiTheme="majorBidi" w:cstheme="majorBidi"/>
          <w:szCs w:val="24"/>
        </w:rPr>
        <w:t xml:space="preserve">said </w:t>
      </w:r>
      <w:r w:rsidR="006D2076">
        <w:rPr>
          <w:rFonts w:asciiTheme="majorBidi" w:hAnsiTheme="majorBidi" w:cstheme="majorBidi"/>
          <w:szCs w:val="24"/>
        </w:rPr>
        <w:t>workers</w:t>
      </w:r>
      <w:r w:rsidR="00DB23CF">
        <w:rPr>
          <w:rFonts w:asciiTheme="majorBidi" w:hAnsiTheme="majorBidi" w:cstheme="majorBidi"/>
          <w:szCs w:val="24"/>
        </w:rPr>
        <w:t>’</w:t>
      </w:r>
      <w:r w:rsidR="006D2076">
        <w:rPr>
          <w:rFonts w:asciiTheme="majorBidi" w:hAnsiTheme="majorBidi" w:cstheme="majorBidi"/>
          <w:szCs w:val="24"/>
        </w:rPr>
        <w:t xml:space="preserve"> fear had at least a minor impact on injury and illness records.</w:t>
      </w:r>
      <w:r w:rsidRPr="002F64A6">
        <w:rPr>
          <w:rStyle w:val="FootnoteReference"/>
          <w:rFonts w:asciiTheme="majorBidi" w:hAnsiTheme="majorBidi" w:cstheme="majorBidi"/>
          <w:szCs w:val="24"/>
        </w:rPr>
        <w:footnoteReference w:id="52"/>
      </w:r>
      <w:r w:rsidRPr="002F64A6">
        <w:rPr>
          <w:rFonts w:asciiTheme="majorBidi" w:hAnsiTheme="majorBidi" w:cstheme="majorBidi"/>
          <w:szCs w:val="24"/>
        </w:rPr>
        <w:t xml:space="preserve"> </w:t>
      </w:r>
      <w:r w:rsidR="00DF6FAD">
        <w:rPr>
          <w:rFonts w:asciiTheme="majorBidi" w:hAnsiTheme="majorBidi" w:cstheme="majorBidi"/>
          <w:szCs w:val="24"/>
        </w:rPr>
        <w:t xml:space="preserve">In addition, </w:t>
      </w:r>
      <w:r w:rsidR="00A8106F">
        <w:rPr>
          <w:rFonts w:asciiTheme="majorBidi" w:hAnsiTheme="majorBidi" w:cstheme="majorBidi"/>
          <w:szCs w:val="24"/>
        </w:rPr>
        <w:t xml:space="preserve">many </w:t>
      </w:r>
      <w:r w:rsidR="00DF6FAD">
        <w:rPr>
          <w:rFonts w:asciiTheme="majorBidi" w:hAnsiTheme="majorBidi" w:cstheme="majorBidi"/>
          <w:szCs w:val="24"/>
        </w:rPr>
        <w:t xml:space="preserve">employers </w:t>
      </w:r>
      <w:r w:rsidR="00A8106F">
        <w:rPr>
          <w:rFonts w:asciiTheme="majorBidi" w:hAnsiTheme="majorBidi" w:cstheme="majorBidi"/>
          <w:szCs w:val="24"/>
        </w:rPr>
        <w:t xml:space="preserve">have adopted </w:t>
      </w:r>
      <w:r w:rsidR="00DF6FAD">
        <w:rPr>
          <w:rFonts w:asciiTheme="majorBidi" w:hAnsiTheme="majorBidi" w:cstheme="majorBidi"/>
          <w:szCs w:val="24"/>
        </w:rPr>
        <w:t>incentive programs that reward workers when there are few recordable injuries and illnesses</w:t>
      </w:r>
      <w:r w:rsidR="001954E7">
        <w:rPr>
          <w:rFonts w:asciiTheme="majorBidi" w:hAnsiTheme="majorBidi" w:cstheme="majorBidi"/>
          <w:szCs w:val="24"/>
        </w:rPr>
        <w:t xml:space="preserve"> in the workplace</w:t>
      </w:r>
      <w:r w:rsidR="00DF6FAD">
        <w:rPr>
          <w:rFonts w:asciiTheme="majorBidi" w:hAnsiTheme="majorBidi" w:cstheme="majorBidi"/>
          <w:szCs w:val="24"/>
        </w:rPr>
        <w:t>. In addition to encouraging safe practices, these programs discourage reporting. Over 75 percent of health practitioners said they believe</w:t>
      </w:r>
      <w:r w:rsidR="00F52913">
        <w:rPr>
          <w:rFonts w:asciiTheme="majorBidi" w:hAnsiTheme="majorBidi" w:cstheme="majorBidi"/>
          <w:szCs w:val="24"/>
        </w:rPr>
        <w:t>d</w:t>
      </w:r>
      <w:r w:rsidR="00DF6FAD">
        <w:rPr>
          <w:rFonts w:asciiTheme="majorBidi" w:hAnsiTheme="majorBidi" w:cstheme="majorBidi"/>
          <w:szCs w:val="24"/>
        </w:rPr>
        <w:t xml:space="preserve"> workers sometimes avoid reporting </w:t>
      </w:r>
      <w:r w:rsidR="00F52913">
        <w:rPr>
          <w:rFonts w:asciiTheme="majorBidi" w:hAnsiTheme="majorBidi" w:cstheme="majorBidi"/>
          <w:szCs w:val="24"/>
        </w:rPr>
        <w:t xml:space="preserve">injuries and illnesses </w:t>
      </w:r>
      <w:r w:rsidR="00DF6FAD">
        <w:rPr>
          <w:rFonts w:asciiTheme="majorBidi" w:hAnsiTheme="majorBidi" w:cstheme="majorBidi"/>
          <w:szCs w:val="24"/>
        </w:rPr>
        <w:t xml:space="preserve">because of </w:t>
      </w:r>
      <w:r w:rsidR="00DD3A5D">
        <w:rPr>
          <w:rFonts w:asciiTheme="majorBidi" w:hAnsiTheme="majorBidi" w:cstheme="majorBidi"/>
          <w:szCs w:val="24"/>
        </w:rPr>
        <w:t xml:space="preserve">incentive </w:t>
      </w:r>
      <w:r w:rsidR="00DF6FAD">
        <w:rPr>
          <w:rFonts w:asciiTheme="majorBidi" w:hAnsiTheme="majorBidi" w:cstheme="majorBidi"/>
          <w:szCs w:val="24"/>
        </w:rPr>
        <w:t>programs.</w:t>
      </w:r>
      <w:r w:rsidR="00DF6FAD">
        <w:rPr>
          <w:rStyle w:val="FootnoteReference"/>
          <w:rFonts w:asciiTheme="majorBidi" w:hAnsiTheme="majorBidi" w:cstheme="majorBidi"/>
          <w:szCs w:val="24"/>
        </w:rPr>
        <w:footnoteReference w:id="53"/>
      </w:r>
    </w:p>
    <w:p w14:paraId="239E899D" w14:textId="37200F8A" w:rsidR="00ED710D" w:rsidRPr="002F64A6" w:rsidRDefault="00D0311C" w:rsidP="00ED710D">
      <w:pPr>
        <w:rPr>
          <w:rFonts w:asciiTheme="majorBidi" w:hAnsiTheme="majorBidi" w:cstheme="majorBidi"/>
          <w:szCs w:val="24"/>
        </w:rPr>
      </w:pPr>
      <w:r>
        <w:rPr>
          <w:rFonts w:asciiTheme="majorBidi" w:hAnsiTheme="majorBidi" w:cstheme="majorBidi"/>
          <w:szCs w:val="24"/>
        </w:rPr>
        <w:t xml:space="preserve">The desire </w:t>
      </w:r>
      <w:r w:rsidR="00F57B26">
        <w:rPr>
          <w:rFonts w:asciiTheme="majorBidi" w:hAnsiTheme="majorBidi" w:cstheme="majorBidi"/>
          <w:szCs w:val="24"/>
        </w:rPr>
        <w:t xml:space="preserve">among employers and workers </w:t>
      </w:r>
      <w:r>
        <w:rPr>
          <w:rFonts w:asciiTheme="majorBidi" w:hAnsiTheme="majorBidi" w:cstheme="majorBidi"/>
          <w:szCs w:val="24"/>
        </w:rPr>
        <w:t xml:space="preserve">to avoid </w:t>
      </w:r>
      <w:r w:rsidR="001E5BF2">
        <w:rPr>
          <w:rFonts w:asciiTheme="majorBidi" w:hAnsiTheme="majorBidi" w:cstheme="majorBidi"/>
          <w:szCs w:val="24"/>
        </w:rPr>
        <w:t>recording injuries and illnesses</w:t>
      </w:r>
      <w:r>
        <w:rPr>
          <w:rFonts w:asciiTheme="majorBidi" w:hAnsiTheme="majorBidi" w:cstheme="majorBidi"/>
          <w:szCs w:val="24"/>
        </w:rPr>
        <w:t xml:space="preserve"> </w:t>
      </w:r>
      <w:r w:rsidR="001C5AF0">
        <w:rPr>
          <w:rFonts w:asciiTheme="majorBidi" w:hAnsiTheme="majorBidi" w:cstheme="majorBidi"/>
          <w:szCs w:val="24"/>
        </w:rPr>
        <w:t xml:space="preserve">also results in </w:t>
      </w:r>
      <w:r>
        <w:rPr>
          <w:rFonts w:asciiTheme="majorBidi" w:hAnsiTheme="majorBidi" w:cstheme="majorBidi"/>
          <w:szCs w:val="24"/>
        </w:rPr>
        <w:t>pressure on health practitioners to facilitate non-reporting. O</w:t>
      </w:r>
      <w:r w:rsidR="00ED710D" w:rsidRPr="002F64A6">
        <w:rPr>
          <w:rFonts w:asciiTheme="majorBidi" w:hAnsiTheme="majorBidi" w:cstheme="majorBidi"/>
          <w:szCs w:val="24"/>
        </w:rPr>
        <w:t xml:space="preserve">ver one-third of </w:t>
      </w:r>
      <w:r w:rsidR="00734538">
        <w:rPr>
          <w:rFonts w:asciiTheme="majorBidi" w:hAnsiTheme="majorBidi" w:cstheme="majorBidi"/>
          <w:szCs w:val="24"/>
        </w:rPr>
        <w:t xml:space="preserve">surveyed </w:t>
      </w:r>
      <w:r w:rsidR="00ED710D" w:rsidRPr="002F64A6">
        <w:rPr>
          <w:rFonts w:asciiTheme="majorBidi" w:hAnsiTheme="majorBidi" w:cstheme="majorBidi"/>
          <w:szCs w:val="24"/>
        </w:rPr>
        <w:t xml:space="preserve">practitioners said </w:t>
      </w:r>
      <w:r w:rsidR="007742DC">
        <w:rPr>
          <w:rFonts w:asciiTheme="majorBidi" w:hAnsiTheme="majorBidi" w:cstheme="majorBidi"/>
          <w:szCs w:val="24"/>
        </w:rPr>
        <w:t xml:space="preserve">that </w:t>
      </w:r>
      <w:r w:rsidR="00ED710D" w:rsidRPr="002F64A6">
        <w:rPr>
          <w:rFonts w:asciiTheme="majorBidi" w:hAnsiTheme="majorBidi" w:cstheme="majorBidi"/>
          <w:szCs w:val="24"/>
        </w:rPr>
        <w:t xml:space="preserve">they had been asked to provide </w:t>
      </w:r>
      <w:r w:rsidR="000D69C4">
        <w:t xml:space="preserve">limited treatment that would bring an injury or illness </w:t>
      </w:r>
      <w:r w:rsidR="00ED710D" w:rsidRPr="002F64A6">
        <w:rPr>
          <w:rFonts w:asciiTheme="majorBidi" w:hAnsiTheme="majorBidi" w:cstheme="majorBidi"/>
          <w:szCs w:val="24"/>
        </w:rPr>
        <w:t>below the threshold for recording, but</w:t>
      </w:r>
      <w:r w:rsidR="007A2E48">
        <w:rPr>
          <w:rFonts w:asciiTheme="majorBidi" w:hAnsiTheme="majorBidi" w:cstheme="majorBidi"/>
          <w:szCs w:val="24"/>
        </w:rPr>
        <w:t xml:space="preserve"> </w:t>
      </w:r>
      <w:r w:rsidR="00ED710D" w:rsidRPr="002F64A6">
        <w:rPr>
          <w:rFonts w:asciiTheme="majorBidi" w:hAnsiTheme="majorBidi" w:cstheme="majorBidi"/>
          <w:szCs w:val="24"/>
        </w:rPr>
        <w:t>was not sufficient to properly treat the injury or illness.</w:t>
      </w:r>
      <w:r w:rsidR="00395C46">
        <w:rPr>
          <w:rFonts w:asciiTheme="majorBidi" w:hAnsiTheme="majorBidi" w:cstheme="majorBidi"/>
          <w:szCs w:val="24"/>
        </w:rPr>
        <w:t xml:space="preserve"> Forty-four percent of providers said that this pressure had at least a minor impact on records, and 15 percent said it had a major impact.</w:t>
      </w:r>
      <w:r w:rsidR="00ED710D" w:rsidRPr="002F64A6">
        <w:rPr>
          <w:rFonts w:asciiTheme="majorBidi" w:hAnsiTheme="majorBidi" w:cstheme="majorBidi"/>
          <w:szCs w:val="24"/>
          <w:vertAlign w:val="superscript"/>
        </w:rPr>
        <w:footnoteReference w:id="54"/>
      </w:r>
    </w:p>
    <w:p w14:paraId="130DE48C" w14:textId="7DFE9526" w:rsidR="00ED710D" w:rsidRDefault="00ED710D" w:rsidP="008C7533">
      <w:pPr>
        <w:rPr>
          <w:rFonts w:asciiTheme="majorBidi" w:hAnsiTheme="majorBidi" w:cstheme="majorBidi"/>
          <w:szCs w:val="24"/>
        </w:rPr>
      </w:pPr>
      <w:r w:rsidRPr="002F64A6">
        <w:rPr>
          <w:rFonts w:asciiTheme="majorBidi" w:hAnsiTheme="majorBidi" w:cstheme="majorBidi"/>
          <w:szCs w:val="24"/>
        </w:rPr>
        <w:t xml:space="preserve">Heat stress injuries are </w:t>
      </w:r>
      <w:r w:rsidR="00215295">
        <w:rPr>
          <w:rFonts w:asciiTheme="majorBidi" w:hAnsiTheme="majorBidi" w:cstheme="majorBidi"/>
          <w:szCs w:val="24"/>
        </w:rPr>
        <w:t xml:space="preserve">more </w:t>
      </w:r>
      <w:r w:rsidRPr="002F64A6">
        <w:rPr>
          <w:rFonts w:asciiTheme="majorBidi" w:hAnsiTheme="majorBidi" w:cstheme="majorBidi"/>
          <w:szCs w:val="24"/>
        </w:rPr>
        <w:t xml:space="preserve">likely to </w:t>
      </w:r>
      <w:r w:rsidR="00215295">
        <w:rPr>
          <w:rFonts w:asciiTheme="majorBidi" w:hAnsiTheme="majorBidi" w:cstheme="majorBidi"/>
          <w:szCs w:val="24"/>
        </w:rPr>
        <w:t xml:space="preserve">be </w:t>
      </w:r>
      <w:r w:rsidRPr="002F64A6">
        <w:rPr>
          <w:rFonts w:asciiTheme="majorBidi" w:hAnsiTheme="majorBidi" w:cstheme="majorBidi"/>
          <w:szCs w:val="24"/>
        </w:rPr>
        <w:t>under-report</w:t>
      </w:r>
      <w:r w:rsidR="00215295">
        <w:rPr>
          <w:rFonts w:asciiTheme="majorBidi" w:hAnsiTheme="majorBidi" w:cstheme="majorBidi"/>
          <w:szCs w:val="24"/>
        </w:rPr>
        <w:t xml:space="preserve">ed </w:t>
      </w:r>
      <w:r w:rsidRPr="002F64A6">
        <w:rPr>
          <w:rFonts w:asciiTheme="majorBidi" w:hAnsiTheme="majorBidi" w:cstheme="majorBidi"/>
          <w:szCs w:val="24"/>
        </w:rPr>
        <w:t xml:space="preserve">than injuries generally. </w:t>
      </w:r>
      <w:r w:rsidR="00052B09">
        <w:rPr>
          <w:rFonts w:asciiTheme="majorBidi" w:hAnsiTheme="majorBidi" w:cstheme="majorBidi"/>
          <w:szCs w:val="24"/>
        </w:rPr>
        <w:t>First, t</w:t>
      </w:r>
      <w:r w:rsidRPr="002F64A6">
        <w:rPr>
          <w:rFonts w:asciiTheme="majorBidi" w:hAnsiTheme="majorBidi" w:cstheme="majorBidi"/>
          <w:szCs w:val="24"/>
        </w:rPr>
        <w:t>he industries at highest risk of heat stress injuries and deaths a</w:t>
      </w:r>
      <w:r w:rsidR="00B77DD2">
        <w:rPr>
          <w:rFonts w:asciiTheme="majorBidi" w:hAnsiTheme="majorBidi" w:cstheme="majorBidi"/>
          <w:szCs w:val="24"/>
        </w:rPr>
        <w:t xml:space="preserve">re agriculture and construction. Both sectors </w:t>
      </w:r>
      <w:r w:rsidRPr="002F64A6">
        <w:rPr>
          <w:rFonts w:asciiTheme="majorBidi" w:hAnsiTheme="majorBidi" w:cstheme="majorBidi"/>
          <w:szCs w:val="24"/>
        </w:rPr>
        <w:t xml:space="preserve">rely heavily on undocumented and otherwise vulnerable workers, who are more likely to </w:t>
      </w:r>
      <w:r w:rsidR="005D6050">
        <w:rPr>
          <w:rFonts w:asciiTheme="majorBidi" w:hAnsiTheme="majorBidi" w:cstheme="majorBidi"/>
          <w:szCs w:val="24"/>
        </w:rPr>
        <w:t xml:space="preserve">avoid </w:t>
      </w:r>
      <w:r w:rsidRPr="002F64A6">
        <w:rPr>
          <w:rFonts w:asciiTheme="majorBidi" w:hAnsiTheme="majorBidi" w:cstheme="majorBidi"/>
          <w:szCs w:val="24"/>
        </w:rPr>
        <w:t>report</w:t>
      </w:r>
      <w:r w:rsidR="005D6050">
        <w:rPr>
          <w:rFonts w:asciiTheme="majorBidi" w:hAnsiTheme="majorBidi" w:cstheme="majorBidi"/>
          <w:szCs w:val="24"/>
        </w:rPr>
        <w:t>ing</w:t>
      </w:r>
      <w:r w:rsidRPr="002F64A6">
        <w:rPr>
          <w:rFonts w:asciiTheme="majorBidi" w:hAnsiTheme="majorBidi" w:cstheme="majorBidi"/>
          <w:szCs w:val="24"/>
        </w:rPr>
        <w:t xml:space="preserve"> injuries </w:t>
      </w:r>
      <w:r w:rsidR="00D908B8">
        <w:rPr>
          <w:rFonts w:asciiTheme="majorBidi" w:hAnsiTheme="majorBidi" w:cstheme="majorBidi"/>
          <w:szCs w:val="24"/>
        </w:rPr>
        <w:t xml:space="preserve">themselves </w:t>
      </w:r>
      <w:r w:rsidRPr="002F64A6">
        <w:rPr>
          <w:rFonts w:asciiTheme="majorBidi" w:hAnsiTheme="majorBidi" w:cstheme="majorBidi"/>
          <w:szCs w:val="24"/>
        </w:rPr>
        <w:t>or have their injuries or deaths reported by their employers.</w:t>
      </w:r>
      <w:r w:rsidRPr="002F64A6">
        <w:rPr>
          <w:rStyle w:val="FootnoteReference"/>
          <w:rFonts w:asciiTheme="majorBidi" w:hAnsiTheme="majorBidi" w:cstheme="majorBidi"/>
          <w:szCs w:val="24"/>
        </w:rPr>
        <w:footnoteReference w:id="55"/>
      </w:r>
      <w:r w:rsidRPr="002F64A6">
        <w:rPr>
          <w:rFonts w:asciiTheme="majorBidi" w:hAnsiTheme="majorBidi" w:cstheme="majorBidi"/>
          <w:szCs w:val="24"/>
        </w:rPr>
        <w:t xml:space="preserve"> Accurate </w:t>
      </w:r>
      <w:r w:rsidR="00B873A9">
        <w:rPr>
          <w:rFonts w:asciiTheme="majorBidi" w:hAnsiTheme="majorBidi" w:cstheme="majorBidi"/>
          <w:szCs w:val="24"/>
        </w:rPr>
        <w:t>r</w:t>
      </w:r>
      <w:r w:rsidRPr="002F64A6">
        <w:rPr>
          <w:rFonts w:asciiTheme="majorBidi" w:hAnsiTheme="majorBidi" w:cstheme="majorBidi"/>
          <w:szCs w:val="24"/>
        </w:rPr>
        <w:t xml:space="preserve">eporting </w:t>
      </w:r>
      <w:r w:rsidR="00AB6C2B">
        <w:rPr>
          <w:rFonts w:asciiTheme="majorBidi" w:hAnsiTheme="majorBidi" w:cstheme="majorBidi"/>
          <w:szCs w:val="24"/>
        </w:rPr>
        <w:t>among farm wo</w:t>
      </w:r>
      <w:r w:rsidR="003C79D9">
        <w:rPr>
          <w:rFonts w:asciiTheme="majorBidi" w:hAnsiTheme="majorBidi" w:cstheme="majorBidi"/>
          <w:szCs w:val="24"/>
        </w:rPr>
        <w:t>r</w:t>
      </w:r>
      <w:r w:rsidR="00AB6C2B">
        <w:rPr>
          <w:rFonts w:asciiTheme="majorBidi" w:hAnsiTheme="majorBidi" w:cstheme="majorBidi"/>
          <w:szCs w:val="24"/>
        </w:rPr>
        <w:t>kers</w:t>
      </w:r>
      <w:r w:rsidR="00795FCF">
        <w:rPr>
          <w:rFonts w:asciiTheme="majorBidi" w:hAnsiTheme="majorBidi" w:cstheme="majorBidi"/>
          <w:szCs w:val="24"/>
        </w:rPr>
        <w:t xml:space="preserve"> </w:t>
      </w:r>
      <w:r w:rsidRPr="002F64A6">
        <w:rPr>
          <w:rFonts w:asciiTheme="majorBidi" w:hAnsiTheme="majorBidi" w:cstheme="majorBidi"/>
          <w:szCs w:val="24"/>
        </w:rPr>
        <w:t>is hindered by unique features of the agricultural workforce and workplace, including the migrant and seasonal nature of the workforce; poor English skills and educational attainment of workers; and economic and social factors that prevent workers from speaking out about workplace conditions.</w:t>
      </w:r>
      <w:r w:rsidRPr="002F64A6">
        <w:rPr>
          <w:rFonts w:asciiTheme="majorBidi" w:hAnsiTheme="majorBidi" w:cstheme="majorBidi"/>
          <w:szCs w:val="24"/>
          <w:vertAlign w:val="superscript"/>
        </w:rPr>
        <w:footnoteReference w:id="56"/>
      </w:r>
      <w:r w:rsidRPr="002F64A6">
        <w:rPr>
          <w:rFonts w:asciiTheme="majorBidi" w:hAnsiTheme="majorBidi" w:cstheme="majorBidi"/>
          <w:szCs w:val="24"/>
        </w:rPr>
        <w:t xml:space="preserve"> </w:t>
      </w:r>
      <w:r w:rsidR="00382C40" w:rsidRPr="002F64A6">
        <w:rPr>
          <w:rFonts w:asciiTheme="majorBidi" w:hAnsiTheme="majorBidi" w:cstheme="majorBidi"/>
          <w:szCs w:val="24"/>
        </w:rPr>
        <w:t xml:space="preserve">Many agricultural workers </w:t>
      </w:r>
      <w:r w:rsidR="00382C40" w:rsidRPr="002F64A6">
        <w:rPr>
          <w:rFonts w:asciiTheme="majorBidi" w:hAnsiTheme="majorBidi" w:cstheme="majorBidi"/>
          <w:szCs w:val="24"/>
        </w:rPr>
        <w:lastRenderedPageBreak/>
        <w:t>with heat-related illness short of severe exhaustion are likely to self-treat, do not report illness, and do not (or are not able to) take time off to recuperate.</w:t>
      </w:r>
      <w:r w:rsidR="00382C40" w:rsidRPr="002F64A6">
        <w:rPr>
          <w:rFonts w:asciiTheme="majorBidi" w:hAnsiTheme="majorBidi" w:cstheme="majorBidi"/>
          <w:szCs w:val="24"/>
          <w:vertAlign w:val="superscript"/>
        </w:rPr>
        <w:footnoteReference w:id="57"/>
      </w:r>
      <w:r w:rsidR="00382C40">
        <w:rPr>
          <w:rFonts w:asciiTheme="majorBidi" w:hAnsiTheme="majorBidi" w:cstheme="majorBidi"/>
          <w:szCs w:val="24"/>
        </w:rPr>
        <w:t xml:space="preserve"> </w:t>
      </w:r>
      <w:r w:rsidR="00BD627B">
        <w:rPr>
          <w:rFonts w:asciiTheme="majorBidi" w:hAnsiTheme="majorBidi" w:cstheme="majorBidi"/>
          <w:szCs w:val="24"/>
        </w:rPr>
        <w:t>A recent study has demonstrated that non-U</w:t>
      </w:r>
      <w:r w:rsidR="00D80304">
        <w:rPr>
          <w:rFonts w:asciiTheme="majorBidi" w:hAnsiTheme="majorBidi" w:cstheme="majorBidi"/>
          <w:szCs w:val="24"/>
        </w:rPr>
        <w:t>.</w:t>
      </w:r>
      <w:r w:rsidR="00BD627B">
        <w:rPr>
          <w:rFonts w:asciiTheme="majorBidi" w:hAnsiTheme="majorBidi" w:cstheme="majorBidi"/>
          <w:szCs w:val="24"/>
        </w:rPr>
        <w:t>S</w:t>
      </w:r>
      <w:r w:rsidR="00D80304">
        <w:rPr>
          <w:rFonts w:asciiTheme="majorBidi" w:hAnsiTheme="majorBidi" w:cstheme="majorBidi"/>
          <w:szCs w:val="24"/>
        </w:rPr>
        <w:t>.</w:t>
      </w:r>
      <w:r w:rsidR="00BD627B">
        <w:rPr>
          <w:rFonts w:asciiTheme="majorBidi" w:hAnsiTheme="majorBidi" w:cstheme="majorBidi"/>
          <w:szCs w:val="24"/>
        </w:rPr>
        <w:t xml:space="preserve"> citizens have a risk of heat-related mortality 3.4 times that of U.S. citizens, and Hispanic and younger non-citizens are at even greater risk</w:t>
      </w:r>
      <w:r w:rsidR="008C7533" w:rsidRPr="008C7533">
        <w:rPr>
          <w:rFonts w:asciiTheme="majorBidi" w:hAnsiTheme="majorBidi" w:cstheme="majorBidi"/>
          <w:szCs w:val="24"/>
        </w:rPr>
        <w:t>.</w:t>
      </w:r>
      <w:r w:rsidR="004E2C88">
        <w:rPr>
          <w:rStyle w:val="FootnoteReference"/>
          <w:rFonts w:asciiTheme="majorBidi" w:hAnsiTheme="majorBidi" w:cstheme="majorBidi"/>
          <w:szCs w:val="24"/>
        </w:rPr>
        <w:footnoteReference w:id="58"/>
      </w:r>
      <w:r w:rsidR="008C7533" w:rsidRPr="008C7533">
        <w:rPr>
          <w:rFonts w:asciiTheme="majorBidi" w:hAnsiTheme="majorBidi" w:cstheme="majorBidi"/>
          <w:szCs w:val="24"/>
        </w:rPr>
        <w:t xml:space="preserve"> </w:t>
      </w:r>
      <w:r w:rsidRPr="002F64A6">
        <w:rPr>
          <w:rFonts w:asciiTheme="majorBidi" w:hAnsiTheme="majorBidi" w:cstheme="majorBidi"/>
          <w:szCs w:val="24"/>
        </w:rPr>
        <w:t>Many farmworkers are poor, can ill afford to stop working to treat or recover from injuries, fear losing their jobs if they take time off, lack awareness of employment rights, and may perceive that reporting injuries would be construed by employers as complaints and thus result in reprisal. Many are immigrants, often lacking proper work permits and fearful of deportation if they raise concerns about</w:t>
      </w:r>
      <w:r w:rsidR="0052231C">
        <w:rPr>
          <w:rFonts w:asciiTheme="majorBidi" w:hAnsiTheme="majorBidi" w:cstheme="majorBidi"/>
          <w:szCs w:val="24"/>
        </w:rPr>
        <w:t xml:space="preserve"> heat stress</w:t>
      </w:r>
      <w:r w:rsidRPr="002F64A6">
        <w:rPr>
          <w:rFonts w:asciiTheme="majorBidi" w:hAnsiTheme="majorBidi" w:cstheme="majorBidi"/>
          <w:szCs w:val="24"/>
        </w:rPr>
        <w:t xml:space="preserve"> or request the most basic protections from</w:t>
      </w:r>
      <w:r w:rsidR="0052231C">
        <w:rPr>
          <w:rFonts w:asciiTheme="majorBidi" w:hAnsiTheme="majorBidi" w:cstheme="majorBidi"/>
          <w:szCs w:val="24"/>
        </w:rPr>
        <w:t xml:space="preserve"> it</w:t>
      </w:r>
      <w:r w:rsidR="00CB3C40">
        <w:rPr>
          <w:rFonts w:asciiTheme="majorBidi" w:hAnsiTheme="majorBidi" w:cstheme="majorBidi"/>
          <w:szCs w:val="24"/>
        </w:rPr>
        <w:t>.</w:t>
      </w:r>
    </w:p>
    <w:p w14:paraId="13E6A631" w14:textId="2AACCC0A" w:rsidR="00B873A9" w:rsidRPr="002F64A6" w:rsidRDefault="00A53586" w:rsidP="00ED710D">
      <w:pPr>
        <w:rPr>
          <w:rFonts w:asciiTheme="majorBidi" w:hAnsiTheme="majorBidi" w:cstheme="majorBidi"/>
          <w:szCs w:val="24"/>
        </w:rPr>
      </w:pPr>
      <w:r>
        <w:rPr>
          <w:rFonts w:asciiTheme="majorBidi" w:hAnsiTheme="majorBidi" w:cstheme="majorBidi"/>
          <w:szCs w:val="24"/>
        </w:rPr>
        <w:t xml:space="preserve">Two additional factors </w:t>
      </w:r>
      <w:r w:rsidR="004971C7">
        <w:rPr>
          <w:rFonts w:asciiTheme="majorBidi" w:hAnsiTheme="majorBidi" w:cstheme="majorBidi"/>
          <w:szCs w:val="24"/>
        </w:rPr>
        <w:t>lea</w:t>
      </w:r>
      <w:r>
        <w:rPr>
          <w:rFonts w:asciiTheme="majorBidi" w:hAnsiTheme="majorBidi" w:cstheme="majorBidi"/>
          <w:szCs w:val="24"/>
        </w:rPr>
        <w:t>d</w:t>
      </w:r>
      <w:r w:rsidR="004971C7">
        <w:rPr>
          <w:rFonts w:asciiTheme="majorBidi" w:hAnsiTheme="majorBidi" w:cstheme="majorBidi"/>
          <w:szCs w:val="24"/>
        </w:rPr>
        <w:t xml:space="preserve"> not only to </w:t>
      </w:r>
      <w:r w:rsidR="00B873A9">
        <w:rPr>
          <w:rFonts w:asciiTheme="majorBidi" w:hAnsiTheme="majorBidi" w:cstheme="majorBidi"/>
          <w:szCs w:val="24"/>
        </w:rPr>
        <w:t>underreporting of heat illness</w:t>
      </w:r>
      <w:r w:rsidR="004971C7">
        <w:rPr>
          <w:rFonts w:asciiTheme="majorBidi" w:hAnsiTheme="majorBidi" w:cstheme="majorBidi"/>
          <w:szCs w:val="24"/>
        </w:rPr>
        <w:t xml:space="preserve">, but </w:t>
      </w:r>
      <w:r w:rsidR="001D1A33">
        <w:rPr>
          <w:rFonts w:asciiTheme="majorBidi" w:hAnsiTheme="majorBidi" w:cstheme="majorBidi"/>
          <w:szCs w:val="24"/>
        </w:rPr>
        <w:t xml:space="preserve">to </w:t>
      </w:r>
      <w:r w:rsidR="00B873A9">
        <w:rPr>
          <w:rFonts w:asciiTheme="majorBidi" w:hAnsiTheme="majorBidi" w:cstheme="majorBidi"/>
          <w:szCs w:val="24"/>
        </w:rPr>
        <w:t>undercounting of heat deaths</w:t>
      </w:r>
      <w:r w:rsidR="0089496B">
        <w:rPr>
          <w:rFonts w:asciiTheme="majorBidi" w:hAnsiTheme="majorBidi" w:cstheme="majorBidi"/>
          <w:szCs w:val="24"/>
        </w:rPr>
        <w:t xml:space="preserve">, which does not rely on employer </w:t>
      </w:r>
      <w:r>
        <w:rPr>
          <w:rFonts w:asciiTheme="majorBidi" w:hAnsiTheme="majorBidi" w:cstheme="majorBidi"/>
          <w:szCs w:val="24"/>
        </w:rPr>
        <w:t>logs</w:t>
      </w:r>
      <w:r w:rsidR="004971C7">
        <w:rPr>
          <w:rFonts w:asciiTheme="majorBidi" w:hAnsiTheme="majorBidi" w:cstheme="majorBidi"/>
          <w:szCs w:val="24"/>
        </w:rPr>
        <w:t>.</w:t>
      </w:r>
      <w:r w:rsidR="004971C7">
        <w:rPr>
          <w:rStyle w:val="FootnoteReference"/>
          <w:rFonts w:asciiTheme="majorBidi" w:hAnsiTheme="majorBidi" w:cstheme="majorBidi"/>
          <w:szCs w:val="24"/>
        </w:rPr>
        <w:footnoteReference w:id="59"/>
      </w:r>
      <w:r>
        <w:rPr>
          <w:rFonts w:asciiTheme="majorBidi" w:hAnsiTheme="majorBidi" w:cstheme="majorBidi"/>
          <w:szCs w:val="24"/>
        </w:rPr>
        <w:t xml:space="preserve"> First, </w:t>
      </w:r>
      <w:r w:rsidR="00B873A9" w:rsidRPr="002F64A6">
        <w:rPr>
          <w:rFonts w:asciiTheme="majorBidi" w:hAnsiTheme="majorBidi" w:cstheme="majorBidi"/>
          <w:szCs w:val="24"/>
        </w:rPr>
        <w:t xml:space="preserve">heat stress is not always recognized as a cause of heat-induced </w:t>
      </w:r>
      <w:r w:rsidR="00B873A9">
        <w:rPr>
          <w:rFonts w:asciiTheme="majorBidi" w:hAnsiTheme="majorBidi" w:cstheme="majorBidi"/>
          <w:szCs w:val="24"/>
        </w:rPr>
        <w:t xml:space="preserve">illness or death because many of the symptoms, </w:t>
      </w:r>
      <w:r w:rsidR="00B873A9" w:rsidRPr="002F64A6">
        <w:rPr>
          <w:rFonts w:asciiTheme="majorBidi" w:hAnsiTheme="majorBidi" w:cstheme="majorBidi"/>
          <w:szCs w:val="24"/>
        </w:rPr>
        <w:t xml:space="preserve">such as rash, sweating, headache, and fatigue, </w:t>
      </w:r>
      <w:r w:rsidR="00B873A9">
        <w:rPr>
          <w:rFonts w:asciiTheme="majorBidi" w:hAnsiTheme="majorBidi" w:cstheme="majorBidi"/>
          <w:szCs w:val="24"/>
        </w:rPr>
        <w:t xml:space="preserve">are </w:t>
      </w:r>
      <w:r w:rsidR="00B873A9" w:rsidRPr="002F64A6">
        <w:rPr>
          <w:rFonts w:asciiTheme="majorBidi" w:hAnsiTheme="majorBidi" w:cstheme="majorBidi"/>
          <w:szCs w:val="24"/>
        </w:rPr>
        <w:t xml:space="preserve">non-specific </w:t>
      </w:r>
      <w:r w:rsidR="00B873A9">
        <w:rPr>
          <w:rFonts w:asciiTheme="majorBidi" w:hAnsiTheme="majorBidi" w:cstheme="majorBidi"/>
          <w:szCs w:val="24"/>
        </w:rPr>
        <w:t xml:space="preserve">and </w:t>
      </w:r>
      <w:r w:rsidR="00B873A9" w:rsidRPr="002F64A6">
        <w:rPr>
          <w:rFonts w:asciiTheme="majorBidi" w:hAnsiTheme="majorBidi" w:cstheme="majorBidi"/>
          <w:szCs w:val="24"/>
        </w:rPr>
        <w:t>overlap with more common diseases.</w:t>
      </w:r>
      <w:r w:rsidR="00B873A9">
        <w:rPr>
          <w:rFonts w:asciiTheme="majorBidi" w:hAnsiTheme="majorBidi" w:cstheme="majorBidi"/>
          <w:szCs w:val="24"/>
        </w:rPr>
        <w:t xml:space="preserve"> Indeed, one recent study of OSHA heat enforcement actions in 2012 and 2013 found that, in five of the 23 cases (21.7 percent) in which there was a fatality, medical examiners attributed the cause to a cardiac event without considering whether heat triggered or contributed to the event.</w:t>
      </w:r>
      <w:r w:rsidR="00B873A9">
        <w:rPr>
          <w:rStyle w:val="FootnoteReference"/>
          <w:rFonts w:asciiTheme="majorBidi" w:hAnsiTheme="majorBidi" w:cstheme="majorBidi"/>
          <w:szCs w:val="24"/>
        </w:rPr>
        <w:footnoteReference w:id="60"/>
      </w:r>
      <w:r w:rsidR="00B873A9">
        <w:rPr>
          <w:rFonts w:asciiTheme="majorBidi" w:hAnsiTheme="majorBidi" w:cstheme="majorBidi"/>
          <w:szCs w:val="24"/>
        </w:rPr>
        <w:t xml:space="preserve"> </w:t>
      </w:r>
      <w:r w:rsidR="00B873A9" w:rsidRPr="002F64A6">
        <w:rPr>
          <w:rFonts w:asciiTheme="majorBidi" w:hAnsiTheme="majorBidi" w:cstheme="majorBidi"/>
          <w:szCs w:val="24"/>
        </w:rPr>
        <w:t xml:space="preserve">This </w:t>
      </w:r>
      <w:r w:rsidR="00B873A9">
        <w:rPr>
          <w:rFonts w:asciiTheme="majorBidi" w:hAnsiTheme="majorBidi" w:cstheme="majorBidi"/>
          <w:szCs w:val="24"/>
        </w:rPr>
        <w:t xml:space="preserve">problem </w:t>
      </w:r>
      <w:r w:rsidR="00B873A9" w:rsidRPr="002F64A6">
        <w:rPr>
          <w:rFonts w:asciiTheme="majorBidi" w:hAnsiTheme="majorBidi" w:cstheme="majorBidi"/>
          <w:szCs w:val="24"/>
        </w:rPr>
        <w:t xml:space="preserve">is especially </w:t>
      </w:r>
      <w:r w:rsidR="00B873A9">
        <w:rPr>
          <w:rFonts w:asciiTheme="majorBidi" w:hAnsiTheme="majorBidi" w:cstheme="majorBidi"/>
          <w:szCs w:val="24"/>
        </w:rPr>
        <w:t xml:space="preserve">acute </w:t>
      </w:r>
      <w:r w:rsidR="00F22BB7">
        <w:rPr>
          <w:rFonts w:asciiTheme="majorBidi" w:hAnsiTheme="majorBidi" w:cstheme="majorBidi"/>
          <w:szCs w:val="24"/>
        </w:rPr>
        <w:t>in the agriculture sector</w:t>
      </w:r>
      <w:r w:rsidR="00B873A9" w:rsidRPr="002F64A6">
        <w:rPr>
          <w:rFonts w:asciiTheme="majorBidi" w:hAnsiTheme="majorBidi" w:cstheme="majorBidi"/>
          <w:szCs w:val="24"/>
        </w:rPr>
        <w:t>, where signs of heat stress can be confused with similar symptoms encountered with exposure to pesticides.</w:t>
      </w:r>
      <w:r w:rsidR="00B873A9" w:rsidRPr="002F64A6">
        <w:rPr>
          <w:rFonts w:asciiTheme="majorBidi" w:hAnsiTheme="majorBidi" w:cstheme="majorBidi"/>
          <w:szCs w:val="24"/>
          <w:vertAlign w:val="superscript"/>
        </w:rPr>
        <w:footnoteReference w:id="61"/>
      </w:r>
      <w:r w:rsidR="00B873A9" w:rsidRPr="002F64A6">
        <w:rPr>
          <w:rFonts w:asciiTheme="majorBidi" w:hAnsiTheme="majorBidi" w:cstheme="majorBidi"/>
          <w:szCs w:val="24"/>
        </w:rPr>
        <w:t xml:space="preserve"> </w:t>
      </w:r>
      <w:r w:rsidR="00A66782">
        <w:rPr>
          <w:rFonts w:asciiTheme="majorBidi" w:hAnsiTheme="majorBidi" w:cstheme="majorBidi"/>
          <w:szCs w:val="24"/>
        </w:rPr>
        <w:t>Second, h</w:t>
      </w:r>
      <w:r w:rsidR="00B873A9">
        <w:rPr>
          <w:rFonts w:asciiTheme="majorBidi" w:hAnsiTheme="majorBidi" w:cstheme="majorBidi"/>
          <w:szCs w:val="24"/>
        </w:rPr>
        <w:t>eat stress also diminishes performance and makes other accidents and injuries more likely,</w:t>
      </w:r>
      <w:r w:rsidR="00B873A9">
        <w:rPr>
          <w:rStyle w:val="FootnoteReference"/>
          <w:rFonts w:asciiTheme="majorBidi" w:hAnsiTheme="majorBidi" w:cstheme="majorBidi"/>
          <w:szCs w:val="24"/>
        </w:rPr>
        <w:footnoteReference w:id="62"/>
      </w:r>
      <w:r w:rsidR="00B873A9">
        <w:rPr>
          <w:rFonts w:asciiTheme="majorBidi" w:hAnsiTheme="majorBidi" w:cstheme="majorBidi"/>
          <w:szCs w:val="24"/>
        </w:rPr>
        <w:t xml:space="preserve"> </w:t>
      </w:r>
      <w:r w:rsidR="004D51B0">
        <w:rPr>
          <w:rFonts w:asciiTheme="majorBidi" w:hAnsiTheme="majorBidi" w:cstheme="majorBidi"/>
          <w:szCs w:val="24"/>
        </w:rPr>
        <w:t xml:space="preserve">giving rise to </w:t>
      </w:r>
      <w:r w:rsidR="00B873A9">
        <w:rPr>
          <w:rFonts w:asciiTheme="majorBidi" w:hAnsiTheme="majorBidi" w:cstheme="majorBidi"/>
          <w:szCs w:val="24"/>
        </w:rPr>
        <w:t xml:space="preserve">the possibility that </w:t>
      </w:r>
      <w:r w:rsidR="004D51B0">
        <w:rPr>
          <w:rFonts w:asciiTheme="majorBidi" w:hAnsiTheme="majorBidi" w:cstheme="majorBidi"/>
          <w:szCs w:val="24"/>
        </w:rPr>
        <w:t xml:space="preserve">heat stress </w:t>
      </w:r>
      <w:r w:rsidR="001C7686">
        <w:rPr>
          <w:rFonts w:asciiTheme="majorBidi" w:hAnsiTheme="majorBidi" w:cstheme="majorBidi"/>
          <w:szCs w:val="24"/>
        </w:rPr>
        <w:t xml:space="preserve">is a significant factor in </w:t>
      </w:r>
      <w:r w:rsidR="00B873A9">
        <w:rPr>
          <w:rFonts w:asciiTheme="majorBidi" w:hAnsiTheme="majorBidi" w:cstheme="majorBidi"/>
          <w:szCs w:val="24"/>
        </w:rPr>
        <w:t>an untold number of fatalities or serious injuries that are not recorded as having anything to do with heat.</w:t>
      </w:r>
    </w:p>
    <w:p w14:paraId="17058CC1" w14:textId="23223F21" w:rsidR="00ED710D" w:rsidRPr="002F64A6" w:rsidRDefault="000274DD" w:rsidP="00ED710D">
      <w:pPr>
        <w:rPr>
          <w:rFonts w:asciiTheme="majorBidi" w:hAnsiTheme="majorBidi" w:cstheme="majorBidi"/>
          <w:szCs w:val="24"/>
        </w:rPr>
      </w:pPr>
      <w:r>
        <w:rPr>
          <w:rFonts w:asciiTheme="majorBidi" w:hAnsiTheme="majorBidi" w:cstheme="majorBidi"/>
          <w:szCs w:val="24"/>
        </w:rPr>
        <w:t>Together, a</w:t>
      </w:r>
      <w:r w:rsidR="009E209A">
        <w:rPr>
          <w:rFonts w:asciiTheme="majorBidi" w:hAnsiTheme="majorBidi" w:cstheme="majorBidi"/>
          <w:szCs w:val="24"/>
        </w:rPr>
        <w:t xml:space="preserve">ll of these reasons for </w:t>
      </w:r>
      <w:r w:rsidR="00ED710D" w:rsidRPr="002F64A6">
        <w:rPr>
          <w:rFonts w:asciiTheme="majorBidi" w:hAnsiTheme="majorBidi" w:cstheme="majorBidi"/>
          <w:szCs w:val="24"/>
        </w:rPr>
        <w:t xml:space="preserve">underreporting </w:t>
      </w:r>
      <w:r w:rsidR="001E013F">
        <w:rPr>
          <w:rFonts w:asciiTheme="majorBidi" w:hAnsiTheme="majorBidi" w:cstheme="majorBidi"/>
          <w:szCs w:val="24"/>
        </w:rPr>
        <w:t>or</w:t>
      </w:r>
      <w:r w:rsidR="009E209A">
        <w:rPr>
          <w:rFonts w:asciiTheme="majorBidi" w:hAnsiTheme="majorBidi" w:cstheme="majorBidi"/>
          <w:szCs w:val="24"/>
        </w:rPr>
        <w:t xml:space="preserve"> undercounting virtually guarantee</w:t>
      </w:r>
      <w:r w:rsidR="00ED710D" w:rsidRPr="002F64A6">
        <w:rPr>
          <w:rFonts w:asciiTheme="majorBidi" w:hAnsiTheme="majorBidi" w:cstheme="majorBidi"/>
          <w:szCs w:val="24"/>
        </w:rPr>
        <w:t xml:space="preserve"> that the BLS</w:t>
      </w:r>
      <w:r w:rsidR="00DB23CF">
        <w:rPr>
          <w:rFonts w:asciiTheme="majorBidi" w:hAnsiTheme="majorBidi" w:cstheme="majorBidi"/>
          <w:szCs w:val="24"/>
        </w:rPr>
        <w:t>’</w:t>
      </w:r>
      <w:r w:rsidR="00ED710D" w:rsidRPr="002F64A6">
        <w:rPr>
          <w:rFonts w:asciiTheme="majorBidi" w:hAnsiTheme="majorBidi" w:cstheme="majorBidi"/>
          <w:szCs w:val="24"/>
        </w:rPr>
        <w:t>s injury data greatly under</w:t>
      </w:r>
      <w:r w:rsidR="000B209A">
        <w:rPr>
          <w:rFonts w:asciiTheme="majorBidi" w:hAnsiTheme="majorBidi" w:cstheme="majorBidi"/>
          <w:szCs w:val="24"/>
        </w:rPr>
        <w:t xml:space="preserve">state </w:t>
      </w:r>
      <w:r w:rsidR="00ED710D" w:rsidRPr="002F64A6">
        <w:rPr>
          <w:rFonts w:asciiTheme="majorBidi" w:hAnsiTheme="majorBidi" w:cstheme="majorBidi"/>
          <w:szCs w:val="24"/>
        </w:rPr>
        <w:t xml:space="preserve">the devastating effects of heat exposure </w:t>
      </w:r>
      <w:r w:rsidR="00460EAC">
        <w:rPr>
          <w:rFonts w:asciiTheme="majorBidi" w:hAnsiTheme="majorBidi" w:cstheme="majorBidi"/>
          <w:szCs w:val="24"/>
        </w:rPr>
        <w:t xml:space="preserve">on </w:t>
      </w:r>
      <w:r w:rsidR="00ED710D" w:rsidRPr="002F64A6">
        <w:rPr>
          <w:rFonts w:asciiTheme="majorBidi" w:hAnsiTheme="majorBidi" w:cstheme="majorBidi"/>
          <w:szCs w:val="24"/>
        </w:rPr>
        <w:t>workers.</w:t>
      </w:r>
    </w:p>
    <w:p w14:paraId="52E665B5" w14:textId="6DB8D5E9" w:rsidR="003560F5" w:rsidRPr="002F64A6" w:rsidRDefault="00DC567B" w:rsidP="00E910F2">
      <w:pPr>
        <w:rPr>
          <w:rFonts w:asciiTheme="majorBidi" w:hAnsiTheme="majorBidi" w:cstheme="majorBidi"/>
          <w:szCs w:val="24"/>
        </w:rPr>
      </w:pPr>
      <w:r w:rsidRPr="002F64A6">
        <w:rPr>
          <w:rFonts w:asciiTheme="majorBidi" w:hAnsiTheme="majorBidi" w:cstheme="majorBidi"/>
          <w:szCs w:val="24"/>
        </w:rPr>
        <w:t xml:space="preserve">Indeed, a few data points suggest that the BLS numbers may fall short by multiple orders of magnitude. </w:t>
      </w:r>
      <w:r w:rsidR="00433B3C" w:rsidRPr="002F64A6">
        <w:rPr>
          <w:rFonts w:asciiTheme="majorBidi" w:hAnsiTheme="majorBidi" w:cstheme="majorBidi"/>
          <w:szCs w:val="24"/>
        </w:rPr>
        <w:t>According to NIOSH, i</w:t>
      </w:r>
      <w:r w:rsidRPr="002F64A6">
        <w:rPr>
          <w:rFonts w:asciiTheme="majorBidi" w:hAnsiTheme="majorBidi" w:cstheme="majorBidi"/>
          <w:szCs w:val="24"/>
        </w:rPr>
        <w:t xml:space="preserve">t is generally estimated that 2 in 1,000 </w:t>
      </w:r>
      <w:r w:rsidR="00312843">
        <w:rPr>
          <w:rFonts w:asciiTheme="majorBidi" w:hAnsiTheme="majorBidi" w:cstheme="majorBidi"/>
          <w:szCs w:val="24"/>
        </w:rPr>
        <w:t xml:space="preserve">of all </w:t>
      </w:r>
      <w:r w:rsidRPr="002F64A6">
        <w:rPr>
          <w:rFonts w:asciiTheme="majorBidi" w:hAnsiTheme="majorBidi" w:cstheme="majorBidi"/>
          <w:szCs w:val="24"/>
        </w:rPr>
        <w:t xml:space="preserve">workers are at risk for heat stress, and that those in certain occupations (firefighting, agriculture, construction, forestry, mining, </w:t>
      </w:r>
      <w:r w:rsidR="00433B3C" w:rsidRPr="002F64A6">
        <w:rPr>
          <w:rFonts w:asciiTheme="majorBidi" w:hAnsiTheme="majorBidi" w:cstheme="majorBidi"/>
          <w:szCs w:val="24"/>
        </w:rPr>
        <w:t xml:space="preserve">and </w:t>
      </w:r>
      <w:r w:rsidRPr="002F64A6">
        <w:rPr>
          <w:rFonts w:asciiTheme="majorBidi" w:hAnsiTheme="majorBidi" w:cstheme="majorBidi"/>
          <w:szCs w:val="24"/>
        </w:rPr>
        <w:t>manufacturing) are at greater risk.</w:t>
      </w:r>
      <w:r w:rsidRPr="002F64A6">
        <w:rPr>
          <w:rStyle w:val="FootnoteReference"/>
        </w:rPr>
        <w:footnoteReference w:id="63"/>
      </w:r>
      <w:r w:rsidRPr="002F64A6">
        <w:rPr>
          <w:rFonts w:asciiTheme="majorBidi" w:hAnsiTheme="majorBidi" w:cstheme="majorBidi"/>
          <w:szCs w:val="24"/>
        </w:rPr>
        <w:t xml:space="preserve"> There are roughly 155.2 millio</w:t>
      </w:r>
      <w:r w:rsidR="008A512E">
        <w:rPr>
          <w:rFonts w:asciiTheme="majorBidi" w:hAnsiTheme="majorBidi" w:cstheme="majorBidi"/>
          <w:szCs w:val="24"/>
        </w:rPr>
        <w:t>n Americans employed at present</w:t>
      </w:r>
      <w:r w:rsidR="00277D3C">
        <w:rPr>
          <w:rFonts w:asciiTheme="majorBidi" w:hAnsiTheme="majorBidi" w:cstheme="majorBidi"/>
          <w:szCs w:val="24"/>
        </w:rPr>
        <w:t>;</w:t>
      </w:r>
      <w:r w:rsidRPr="002F64A6">
        <w:rPr>
          <w:rStyle w:val="FootnoteReference"/>
          <w:rFonts w:asciiTheme="majorBidi" w:hAnsiTheme="majorBidi" w:cstheme="majorBidi"/>
          <w:szCs w:val="24"/>
        </w:rPr>
        <w:footnoteReference w:id="64"/>
      </w:r>
      <w:r w:rsidRPr="002F64A6">
        <w:rPr>
          <w:rFonts w:asciiTheme="majorBidi" w:hAnsiTheme="majorBidi" w:cstheme="majorBidi"/>
          <w:szCs w:val="24"/>
        </w:rPr>
        <w:t xml:space="preserve"> </w:t>
      </w:r>
      <w:r w:rsidR="00277D3C">
        <w:rPr>
          <w:rFonts w:asciiTheme="majorBidi" w:hAnsiTheme="majorBidi" w:cstheme="majorBidi"/>
          <w:szCs w:val="24"/>
        </w:rPr>
        <w:t xml:space="preserve">therefore </w:t>
      </w:r>
      <w:r w:rsidRPr="002F64A6">
        <w:rPr>
          <w:rFonts w:asciiTheme="majorBidi" w:hAnsiTheme="majorBidi" w:cstheme="majorBidi"/>
          <w:szCs w:val="24"/>
        </w:rPr>
        <w:t xml:space="preserve">2 in 1,000 </w:t>
      </w:r>
      <w:r w:rsidR="008A512E">
        <w:rPr>
          <w:rFonts w:asciiTheme="majorBidi" w:hAnsiTheme="majorBidi" w:cstheme="majorBidi"/>
          <w:szCs w:val="24"/>
        </w:rPr>
        <w:t xml:space="preserve">translates to </w:t>
      </w:r>
      <w:r w:rsidRPr="002F64A6">
        <w:rPr>
          <w:rFonts w:asciiTheme="majorBidi" w:hAnsiTheme="majorBidi" w:cstheme="majorBidi"/>
          <w:szCs w:val="24"/>
        </w:rPr>
        <w:t xml:space="preserve">more than 300,000 American </w:t>
      </w:r>
      <w:r w:rsidRPr="002F64A6">
        <w:rPr>
          <w:rFonts w:asciiTheme="majorBidi" w:hAnsiTheme="majorBidi" w:cstheme="majorBidi"/>
          <w:szCs w:val="24"/>
        </w:rPr>
        <w:lastRenderedPageBreak/>
        <w:t>workers</w:t>
      </w:r>
      <w:r w:rsidR="008A512E">
        <w:rPr>
          <w:rFonts w:asciiTheme="majorBidi" w:hAnsiTheme="majorBidi" w:cstheme="majorBidi"/>
          <w:szCs w:val="24"/>
        </w:rPr>
        <w:t xml:space="preserve"> at risk</w:t>
      </w:r>
      <w:r w:rsidRPr="002F64A6">
        <w:rPr>
          <w:rFonts w:asciiTheme="majorBidi" w:hAnsiTheme="majorBidi" w:cstheme="majorBidi"/>
          <w:szCs w:val="24"/>
        </w:rPr>
        <w:t>. Of those, more than 260,000 reside in states with no heat stress standard</w:t>
      </w:r>
      <w:r w:rsidR="007B3393">
        <w:rPr>
          <w:rFonts w:asciiTheme="majorBidi" w:hAnsiTheme="majorBidi" w:cstheme="majorBidi"/>
          <w:szCs w:val="24"/>
        </w:rPr>
        <w:t xml:space="preserve"> at all</w:t>
      </w:r>
      <w:r w:rsidR="00081237">
        <w:rPr>
          <w:rFonts w:asciiTheme="majorBidi" w:hAnsiTheme="majorBidi" w:cstheme="majorBidi"/>
          <w:szCs w:val="24"/>
        </w:rPr>
        <w:t>,</w:t>
      </w:r>
      <w:r w:rsidRPr="002F64A6">
        <w:rPr>
          <w:rStyle w:val="FootnoteReference"/>
          <w:rFonts w:asciiTheme="majorBidi" w:hAnsiTheme="majorBidi" w:cstheme="majorBidi"/>
          <w:szCs w:val="24"/>
        </w:rPr>
        <w:footnoteReference w:id="65"/>
      </w:r>
      <w:r w:rsidR="00081237">
        <w:rPr>
          <w:rFonts w:asciiTheme="majorBidi" w:hAnsiTheme="majorBidi" w:cstheme="majorBidi"/>
          <w:szCs w:val="24"/>
        </w:rPr>
        <w:t xml:space="preserve"> and those in states with heat stress standards are not fully protected.</w:t>
      </w:r>
      <w:r w:rsidR="00081237">
        <w:rPr>
          <w:rStyle w:val="FootnoteReference"/>
          <w:rFonts w:asciiTheme="majorBidi" w:hAnsiTheme="majorBidi" w:cstheme="majorBidi"/>
          <w:szCs w:val="24"/>
        </w:rPr>
        <w:footnoteReference w:id="66"/>
      </w:r>
    </w:p>
    <w:p w14:paraId="11944674" w14:textId="0941D9B4" w:rsidR="007451B6" w:rsidRDefault="00A70BF1" w:rsidP="007451B6">
      <w:pPr>
        <w:rPr>
          <w:rFonts w:asciiTheme="majorBidi" w:hAnsiTheme="majorBidi" w:cstheme="majorBidi"/>
          <w:szCs w:val="24"/>
        </w:rPr>
      </w:pPr>
      <w:r>
        <w:rPr>
          <w:rFonts w:asciiTheme="majorBidi" w:hAnsiTheme="majorBidi" w:cstheme="majorBidi"/>
          <w:szCs w:val="24"/>
        </w:rPr>
        <w:t>A study of Florida</w:t>
      </w:r>
      <w:r w:rsidR="000C0801">
        <w:rPr>
          <w:rFonts w:asciiTheme="majorBidi" w:hAnsiTheme="majorBidi" w:cstheme="majorBidi"/>
          <w:szCs w:val="24"/>
        </w:rPr>
        <w:t xml:space="preserve"> emergency room visits </w:t>
      </w:r>
      <w:r w:rsidR="00092BFB">
        <w:rPr>
          <w:rFonts w:asciiTheme="majorBidi" w:hAnsiTheme="majorBidi" w:cstheme="majorBidi"/>
          <w:szCs w:val="24"/>
        </w:rPr>
        <w:t xml:space="preserve">also indicates </w:t>
      </w:r>
      <w:r w:rsidR="008428CB">
        <w:rPr>
          <w:rFonts w:asciiTheme="majorBidi" w:hAnsiTheme="majorBidi" w:cstheme="majorBidi"/>
          <w:szCs w:val="24"/>
        </w:rPr>
        <w:t xml:space="preserve">that </w:t>
      </w:r>
      <w:r w:rsidR="00510875">
        <w:rPr>
          <w:rFonts w:asciiTheme="majorBidi" w:hAnsiTheme="majorBidi" w:cstheme="majorBidi"/>
          <w:szCs w:val="24"/>
        </w:rPr>
        <w:t xml:space="preserve">occupational </w:t>
      </w:r>
      <w:r w:rsidR="008428CB">
        <w:rPr>
          <w:rFonts w:asciiTheme="majorBidi" w:hAnsiTheme="majorBidi" w:cstheme="majorBidi"/>
          <w:szCs w:val="24"/>
        </w:rPr>
        <w:t>heat-related illness is an extensive problem</w:t>
      </w:r>
      <w:r w:rsidR="00F0324B">
        <w:rPr>
          <w:rFonts w:asciiTheme="majorBidi" w:hAnsiTheme="majorBidi" w:cstheme="majorBidi"/>
          <w:szCs w:val="24"/>
        </w:rPr>
        <w:t>. The researchers</w:t>
      </w:r>
      <w:r w:rsidR="007451B6">
        <w:rPr>
          <w:rFonts w:asciiTheme="majorBidi" w:hAnsiTheme="majorBidi" w:cstheme="majorBidi"/>
          <w:szCs w:val="24"/>
        </w:rPr>
        <w:t xml:space="preserve"> </w:t>
      </w:r>
      <w:r w:rsidR="00F0324B">
        <w:rPr>
          <w:rFonts w:asciiTheme="majorBidi" w:hAnsiTheme="majorBidi" w:cstheme="majorBidi"/>
          <w:szCs w:val="24"/>
        </w:rPr>
        <w:t xml:space="preserve">found </w:t>
      </w:r>
      <w:r w:rsidR="007451B6">
        <w:rPr>
          <w:rFonts w:asciiTheme="majorBidi" w:hAnsiTheme="majorBidi" w:cstheme="majorBidi"/>
          <w:szCs w:val="24"/>
        </w:rPr>
        <w:t>2,1</w:t>
      </w:r>
      <w:r w:rsidR="00A33E63">
        <w:rPr>
          <w:rFonts w:asciiTheme="majorBidi" w:hAnsiTheme="majorBidi" w:cstheme="majorBidi"/>
          <w:szCs w:val="24"/>
        </w:rPr>
        <w:t xml:space="preserve">98 </w:t>
      </w:r>
      <w:r w:rsidR="007451B6">
        <w:rPr>
          <w:rFonts w:asciiTheme="majorBidi" w:hAnsiTheme="majorBidi" w:cstheme="majorBidi"/>
          <w:szCs w:val="24"/>
        </w:rPr>
        <w:t xml:space="preserve">cases </w:t>
      </w:r>
      <w:r w:rsidR="0050024C">
        <w:rPr>
          <w:rFonts w:asciiTheme="majorBidi" w:hAnsiTheme="majorBidi" w:cstheme="majorBidi"/>
          <w:szCs w:val="24"/>
        </w:rPr>
        <w:t xml:space="preserve">in </w:t>
      </w:r>
      <w:r w:rsidR="007451B6">
        <w:rPr>
          <w:rFonts w:asciiTheme="majorBidi" w:hAnsiTheme="majorBidi" w:cstheme="majorBidi"/>
          <w:szCs w:val="24"/>
        </w:rPr>
        <w:t>five years, from 2005 to 2009</w:t>
      </w:r>
      <w:r w:rsidR="00DA3372">
        <w:rPr>
          <w:rFonts w:asciiTheme="majorBidi" w:hAnsiTheme="majorBidi" w:cstheme="majorBidi"/>
          <w:szCs w:val="24"/>
        </w:rPr>
        <w:t xml:space="preserve">. They also noted </w:t>
      </w:r>
      <w:r w:rsidR="00F51256">
        <w:rPr>
          <w:rFonts w:asciiTheme="majorBidi" w:hAnsiTheme="majorBidi" w:cstheme="majorBidi"/>
          <w:szCs w:val="24"/>
        </w:rPr>
        <w:t xml:space="preserve">limitations of the study </w:t>
      </w:r>
      <w:r w:rsidR="0009776A">
        <w:rPr>
          <w:rFonts w:asciiTheme="majorBidi" w:hAnsiTheme="majorBidi" w:cstheme="majorBidi"/>
          <w:szCs w:val="24"/>
        </w:rPr>
        <w:t xml:space="preserve">and suggest that it might </w:t>
      </w:r>
      <w:r w:rsidR="004918F3">
        <w:rPr>
          <w:rFonts w:asciiTheme="majorBidi" w:hAnsiTheme="majorBidi" w:cstheme="majorBidi"/>
          <w:szCs w:val="24"/>
        </w:rPr>
        <w:t>“greatly underestimate</w:t>
      </w:r>
      <w:r w:rsidR="0009776A">
        <w:rPr>
          <w:rFonts w:asciiTheme="majorBidi" w:hAnsiTheme="majorBidi" w:cstheme="majorBidi"/>
          <w:szCs w:val="24"/>
        </w:rPr>
        <w:t>[]</w:t>
      </w:r>
      <w:r w:rsidR="004918F3">
        <w:rPr>
          <w:rFonts w:asciiTheme="majorBidi" w:hAnsiTheme="majorBidi" w:cstheme="majorBidi"/>
          <w:szCs w:val="24"/>
        </w:rPr>
        <w:t>”</w:t>
      </w:r>
      <w:r w:rsidR="0009776A">
        <w:rPr>
          <w:rFonts w:asciiTheme="majorBidi" w:hAnsiTheme="majorBidi" w:cstheme="majorBidi"/>
          <w:szCs w:val="24"/>
        </w:rPr>
        <w:t xml:space="preserve"> the rate of occupational heat-related illness.</w:t>
      </w:r>
      <w:r w:rsidR="004918F3">
        <w:rPr>
          <w:rStyle w:val="FootnoteReference"/>
          <w:rFonts w:asciiTheme="majorBidi" w:hAnsiTheme="majorBidi" w:cstheme="majorBidi"/>
          <w:szCs w:val="24"/>
        </w:rPr>
        <w:footnoteReference w:id="67"/>
      </w:r>
    </w:p>
    <w:p w14:paraId="1A90B706" w14:textId="619DE2F1" w:rsidR="00442A6E" w:rsidRPr="002F64A6" w:rsidRDefault="00DC567B" w:rsidP="00E910F2">
      <w:pPr>
        <w:rPr>
          <w:rFonts w:asciiTheme="majorBidi" w:hAnsiTheme="majorBidi" w:cstheme="majorBidi"/>
          <w:szCs w:val="24"/>
        </w:rPr>
      </w:pPr>
      <w:r w:rsidRPr="002F64A6">
        <w:rPr>
          <w:rFonts w:asciiTheme="majorBidi" w:hAnsiTheme="majorBidi" w:cstheme="majorBidi"/>
          <w:szCs w:val="24"/>
        </w:rPr>
        <w:t>A</w:t>
      </w:r>
      <w:r w:rsidR="00040ADD">
        <w:rPr>
          <w:rFonts w:asciiTheme="majorBidi" w:hAnsiTheme="majorBidi" w:cstheme="majorBidi"/>
          <w:szCs w:val="24"/>
        </w:rPr>
        <w:t xml:space="preserve"> final </w:t>
      </w:r>
      <w:r w:rsidRPr="002F64A6">
        <w:rPr>
          <w:rFonts w:asciiTheme="majorBidi" w:hAnsiTheme="majorBidi" w:cstheme="majorBidi"/>
          <w:szCs w:val="24"/>
        </w:rPr>
        <w:t xml:space="preserve">point for rough comparison is </w:t>
      </w:r>
      <w:r w:rsidR="00C066AF">
        <w:rPr>
          <w:rFonts w:asciiTheme="majorBidi" w:hAnsiTheme="majorBidi" w:cstheme="majorBidi"/>
          <w:szCs w:val="24"/>
        </w:rPr>
        <w:t xml:space="preserve">the </w:t>
      </w:r>
      <w:r w:rsidR="009D772A">
        <w:rPr>
          <w:rFonts w:asciiTheme="majorBidi" w:hAnsiTheme="majorBidi" w:cstheme="majorBidi"/>
          <w:szCs w:val="24"/>
        </w:rPr>
        <w:t xml:space="preserve">reported </w:t>
      </w:r>
      <w:r w:rsidR="00C066AF">
        <w:rPr>
          <w:rFonts w:asciiTheme="majorBidi" w:hAnsiTheme="majorBidi" w:cstheme="majorBidi"/>
          <w:szCs w:val="24"/>
        </w:rPr>
        <w:t xml:space="preserve">burden of </w:t>
      </w:r>
      <w:r w:rsidRPr="002F64A6">
        <w:rPr>
          <w:rFonts w:asciiTheme="majorBidi" w:hAnsiTheme="majorBidi" w:cstheme="majorBidi"/>
          <w:szCs w:val="24"/>
        </w:rPr>
        <w:t>heat stress in the U.S. military</w:t>
      </w:r>
      <w:r w:rsidR="00697A71" w:rsidRPr="002F64A6">
        <w:rPr>
          <w:rFonts w:asciiTheme="majorBidi" w:hAnsiTheme="majorBidi" w:cstheme="majorBidi"/>
          <w:szCs w:val="24"/>
        </w:rPr>
        <w:t xml:space="preserve">. </w:t>
      </w:r>
      <w:r w:rsidR="006C1F41" w:rsidRPr="002F64A6">
        <w:rPr>
          <w:rFonts w:asciiTheme="majorBidi" w:hAnsiTheme="majorBidi" w:cstheme="majorBidi"/>
          <w:szCs w:val="24"/>
        </w:rPr>
        <w:t xml:space="preserve">In 2017, </w:t>
      </w:r>
      <w:r w:rsidR="00F93989" w:rsidRPr="002F64A6">
        <w:rPr>
          <w:rFonts w:asciiTheme="majorBidi" w:hAnsiTheme="majorBidi" w:cstheme="majorBidi"/>
          <w:szCs w:val="24"/>
        </w:rPr>
        <w:t xml:space="preserve">there were </w:t>
      </w:r>
      <w:r w:rsidR="00442A6E" w:rsidRPr="002F64A6">
        <w:rPr>
          <w:rFonts w:asciiTheme="majorBidi" w:hAnsiTheme="majorBidi" w:cstheme="majorBidi"/>
          <w:szCs w:val="24"/>
        </w:rPr>
        <w:t>2,136 cases of heat stroke or heat exhaustion</w:t>
      </w:r>
      <w:r w:rsidR="00BF3288" w:rsidRPr="002F64A6">
        <w:rPr>
          <w:rFonts w:asciiTheme="majorBidi" w:hAnsiTheme="majorBidi" w:cstheme="majorBidi"/>
          <w:szCs w:val="24"/>
        </w:rPr>
        <w:t xml:space="preserve"> among active military service members</w:t>
      </w:r>
      <w:r w:rsidR="00442A6E" w:rsidRPr="002F64A6">
        <w:rPr>
          <w:rFonts w:asciiTheme="majorBidi" w:hAnsiTheme="majorBidi" w:cstheme="majorBidi"/>
          <w:szCs w:val="24"/>
        </w:rPr>
        <w:t xml:space="preserve">, </w:t>
      </w:r>
      <w:r w:rsidR="006D2A43" w:rsidRPr="002F64A6">
        <w:rPr>
          <w:rFonts w:asciiTheme="majorBidi" w:hAnsiTheme="majorBidi" w:cstheme="majorBidi"/>
          <w:szCs w:val="24"/>
        </w:rPr>
        <w:t xml:space="preserve">or </w:t>
      </w:r>
      <w:r w:rsidR="00BF3288" w:rsidRPr="002F64A6">
        <w:rPr>
          <w:rFonts w:asciiTheme="majorBidi" w:hAnsiTheme="majorBidi" w:cstheme="majorBidi"/>
          <w:szCs w:val="24"/>
        </w:rPr>
        <w:t xml:space="preserve">a rate of </w:t>
      </w:r>
      <w:r w:rsidR="00442A6E" w:rsidRPr="002F64A6">
        <w:rPr>
          <w:rFonts w:asciiTheme="majorBidi" w:hAnsiTheme="majorBidi" w:cstheme="majorBidi"/>
          <w:szCs w:val="24"/>
        </w:rPr>
        <w:t>1.79</w:t>
      </w:r>
      <w:r w:rsidR="00DF5877" w:rsidRPr="002F64A6">
        <w:rPr>
          <w:rFonts w:asciiTheme="majorBidi" w:hAnsiTheme="majorBidi" w:cstheme="majorBidi"/>
          <w:szCs w:val="24"/>
        </w:rPr>
        <w:t xml:space="preserve"> </w:t>
      </w:r>
      <w:r w:rsidR="00510740" w:rsidRPr="002F64A6">
        <w:rPr>
          <w:rFonts w:asciiTheme="majorBidi" w:hAnsiTheme="majorBidi" w:cstheme="majorBidi"/>
          <w:szCs w:val="24"/>
        </w:rPr>
        <w:t xml:space="preserve">per </w:t>
      </w:r>
      <w:r w:rsidR="00157948" w:rsidRPr="002F64A6">
        <w:rPr>
          <w:rFonts w:asciiTheme="majorBidi" w:hAnsiTheme="majorBidi" w:cstheme="majorBidi"/>
          <w:szCs w:val="24"/>
        </w:rPr>
        <w:t xml:space="preserve">1000 </w:t>
      </w:r>
      <w:r w:rsidR="00510740" w:rsidRPr="002F64A6">
        <w:rPr>
          <w:rFonts w:asciiTheme="majorBidi" w:hAnsiTheme="majorBidi" w:cstheme="majorBidi"/>
          <w:szCs w:val="24"/>
        </w:rPr>
        <w:t>person-year</w:t>
      </w:r>
      <w:r w:rsidR="00157948" w:rsidRPr="002F64A6">
        <w:rPr>
          <w:rFonts w:asciiTheme="majorBidi" w:hAnsiTheme="majorBidi" w:cstheme="majorBidi"/>
          <w:szCs w:val="24"/>
        </w:rPr>
        <w:t>s</w:t>
      </w:r>
      <w:r w:rsidR="00442A6E" w:rsidRPr="002F64A6">
        <w:rPr>
          <w:rFonts w:asciiTheme="majorBidi" w:hAnsiTheme="majorBidi" w:cstheme="majorBidi"/>
          <w:szCs w:val="24"/>
        </w:rPr>
        <w:t>.</w:t>
      </w:r>
      <w:r w:rsidR="00ED5BB9" w:rsidRPr="002F64A6">
        <w:rPr>
          <w:rStyle w:val="FootnoteReference"/>
          <w:rFonts w:asciiTheme="majorBidi" w:hAnsiTheme="majorBidi" w:cstheme="majorBidi"/>
          <w:szCs w:val="24"/>
        </w:rPr>
        <w:footnoteReference w:id="68"/>
      </w:r>
    </w:p>
    <w:p w14:paraId="04C3AA4A" w14:textId="1C2F43A8" w:rsidR="00A1232E" w:rsidRPr="002F64A6" w:rsidRDefault="00CC0479" w:rsidP="00A1232E">
      <w:pPr>
        <w:rPr>
          <w:rFonts w:asciiTheme="majorBidi" w:hAnsiTheme="majorBidi" w:cstheme="majorBidi"/>
          <w:szCs w:val="24"/>
        </w:rPr>
      </w:pPr>
      <w:bookmarkStart w:id="13" w:name="_Ref514765264"/>
      <w:r w:rsidRPr="002F64A6">
        <w:rPr>
          <w:rFonts w:asciiTheme="majorBidi" w:hAnsiTheme="majorBidi" w:cstheme="majorBidi"/>
          <w:szCs w:val="24"/>
        </w:rPr>
        <w:t xml:space="preserve">Critically, even the limited BLS data </w:t>
      </w:r>
      <w:r w:rsidR="00D622C0" w:rsidRPr="002F64A6">
        <w:rPr>
          <w:rFonts w:asciiTheme="majorBidi" w:hAnsiTheme="majorBidi" w:cstheme="majorBidi"/>
          <w:szCs w:val="24"/>
        </w:rPr>
        <w:t>suggest</w:t>
      </w:r>
      <w:r w:rsidRPr="002F64A6">
        <w:rPr>
          <w:rFonts w:asciiTheme="majorBidi" w:hAnsiTheme="majorBidi" w:cstheme="majorBidi"/>
          <w:szCs w:val="24"/>
        </w:rPr>
        <w:t xml:space="preserve"> that the rate of heat stress fatalities has been rising since 1992, </w:t>
      </w:r>
      <w:r w:rsidR="009E5E2C" w:rsidRPr="002F64A6">
        <w:rPr>
          <w:rFonts w:asciiTheme="majorBidi" w:hAnsiTheme="majorBidi" w:cstheme="majorBidi"/>
          <w:szCs w:val="24"/>
        </w:rPr>
        <w:t>the first year for which numbers are available</w:t>
      </w:r>
      <w:r w:rsidRPr="002F64A6">
        <w:rPr>
          <w:rFonts w:asciiTheme="majorBidi" w:hAnsiTheme="majorBidi" w:cstheme="majorBidi"/>
          <w:szCs w:val="24"/>
        </w:rPr>
        <w:t>. The rise appears to be correlated with the increase in average annual temperature, as shown in</w:t>
      </w:r>
      <w:r w:rsidR="00653D6E">
        <w:rPr>
          <w:rFonts w:asciiTheme="majorBidi" w:hAnsiTheme="majorBidi" w:cstheme="majorBidi"/>
          <w:szCs w:val="24"/>
        </w:rPr>
        <w:t xml:space="preserve"> </w:t>
      </w:r>
      <w:r w:rsidR="00653D6E">
        <w:rPr>
          <w:rFonts w:asciiTheme="majorBidi" w:hAnsiTheme="majorBidi" w:cstheme="majorBidi"/>
          <w:szCs w:val="24"/>
        </w:rPr>
        <w:fldChar w:fldCharType="begin"/>
      </w:r>
      <w:r w:rsidR="00653D6E">
        <w:rPr>
          <w:rFonts w:asciiTheme="majorBidi" w:hAnsiTheme="majorBidi" w:cstheme="majorBidi"/>
          <w:szCs w:val="24"/>
        </w:rPr>
        <w:instrText xml:space="preserve"> REF _Ref515971307 \h </w:instrText>
      </w:r>
      <w:r w:rsidR="00653D6E">
        <w:rPr>
          <w:rFonts w:asciiTheme="majorBidi" w:hAnsiTheme="majorBidi" w:cstheme="majorBidi"/>
          <w:szCs w:val="24"/>
        </w:rPr>
      </w:r>
      <w:r w:rsidR="00653D6E">
        <w:rPr>
          <w:rFonts w:asciiTheme="majorBidi" w:hAnsiTheme="majorBidi" w:cstheme="majorBidi"/>
          <w:szCs w:val="24"/>
        </w:rPr>
        <w:fldChar w:fldCharType="separate"/>
      </w:r>
      <w:r w:rsidR="00E35FAB" w:rsidRPr="002F64A6">
        <w:t xml:space="preserve">Figure </w:t>
      </w:r>
      <w:r w:rsidR="00E35FAB">
        <w:rPr>
          <w:noProof/>
        </w:rPr>
        <w:t>3</w:t>
      </w:r>
      <w:r w:rsidR="00653D6E">
        <w:rPr>
          <w:rFonts w:asciiTheme="majorBidi" w:hAnsiTheme="majorBidi" w:cstheme="majorBidi"/>
          <w:szCs w:val="24"/>
        </w:rPr>
        <w:fldChar w:fldCharType="end"/>
      </w:r>
      <w:r w:rsidR="00A1232E" w:rsidRPr="002F64A6">
        <w:rPr>
          <w:rFonts w:asciiTheme="majorBidi" w:hAnsiTheme="majorBidi" w:cstheme="majorBidi"/>
          <w:szCs w:val="24"/>
        </w:rPr>
        <w:t xml:space="preserve"> </w:t>
      </w:r>
      <w:r w:rsidR="007660C2" w:rsidRPr="002F64A6">
        <w:rPr>
          <w:rFonts w:asciiTheme="majorBidi" w:hAnsiTheme="majorBidi" w:cstheme="majorBidi"/>
          <w:szCs w:val="24"/>
        </w:rPr>
        <w:t>(</w:t>
      </w:r>
      <w:r w:rsidR="000B557A">
        <w:rPr>
          <w:rFonts w:asciiTheme="majorBidi" w:hAnsiTheme="majorBidi" w:cstheme="majorBidi"/>
          <w:szCs w:val="24"/>
        </w:rPr>
        <w:t>i</w:t>
      </w:r>
      <w:r w:rsidR="00A1232E" w:rsidRPr="002F64A6">
        <w:rPr>
          <w:rFonts w:asciiTheme="majorBidi" w:hAnsiTheme="majorBidi" w:cstheme="majorBidi"/>
          <w:szCs w:val="24"/>
        </w:rPr>
        <w:t xml:space="preserve">t is not possible to </w:t>
      </w:r>
      <w:r w:rsidR="00497EF2" w:rsidRPr="002F64A6">
        <w:rPr>
          <w:rFonts w:asciiTheme="majorBidi" w:hAnsiTheme="majorBidi" w:cstheme="majorBidi"/>
          <w:szCs w:val="24"/>
        </w:rPr>
        <w:t xml:space="preserve">consider the same question </w:t>
      </w:r>
      <w:r w:rsidR="007763F0" w:rsidRPr="002F64A6">
        <w:rPr>
          <w:rFonts w:asciiTheme="majorBidi" w:hAnsiTheme="majorBidi" w:cstheme="majorBidi"/>
          <w:szCs w:val="24"/>
        </w:rPr>
        <w:t xml:space="preserve">for </w:t>
      </w:r>
      <w:r w:rsidR="00A1232E" w:rsidRPr="002F64A6">
        <w:rPr>
          <w:rFonts w:asciiTheme="majorBidi" w:hAnsiTheme="majorBidi" w:cstheme="majorBidi"/>
          <w:szCs w:val="24"/>
        </w:rPr>
        <w:t xml:space="preserve">non-fatal injuries, as the BLS </w:t>
      </w:r>
      <w:r w:rsidR="00E7573A" w:rsidRPr="002F64A6">
        <w:rPr>
          <w:rFonts w:asciiTheme="majorBidi" w:hAnsiTheme="majorBidi" w:cstheme="majorBidi"/>
          <w:szCs w:val="24"/>
        </w:rPr>
        <w:t xml:space="preserve">lacks </w:t>
      </w:r>
      <w:r w:rsidR="00DA1C4C" w:rsidRPr="002F64A6">
        <w:rPr>
          <w:rFonts w:asciiTheme="majorBidi" w:hAnsiTheme="majorBidi" w:cstheme="majorBidi"/>
          <w:szCs w:val="24"/>
        </w:rPr>
        <w:t xml:space="preserve">injury </w:t>
      </w:r>
      <w:r w:rsidR="00716508" w:rsidRPr="002F64A6">
        <w:rPr>
          <w:rFonts w:asciiTheme="majorBidi" w:hAnsiTheme="majorBidi" w:cstheme="majorBidi"/>
          <w:szCs w:val="24"/>
        </w:rPr>
        <w:t xml:space="preserve">data </w:t>
      </w:r>
      <w:r w:rsidR="0077044A" w:rsidRPr="002F64A6">
        <w:rPr>
          <w:rFonts w:asciiTheme="majorBidi" w:hAnsiTheme="majorBidi" w:cstheme="majorBidi"/>
          <w:szCs w:val="24"/>
        </w:rPr>
        <w:t xml:space="preserve">for </w:t>
      </w:r>
      <w:r w:rsidR="00A1232E" w:rsidRPr="002F64A6">
        <w:rPr>
          <w:rFonts w:asciiTheme="majorBidi" w:hAnsiTheme="majorBidi" w:cstheme="majorBidi"/>
          <w:szCs w:val="24"/>
        </w:rPr>
        <w:t xml:space="preserve">state and local government </w:t>
      </w:r>
      <w:r w:rsidR="0077044A" w:rsidRPr="002F64A6">
        <w:rPr>
          <w:rFonts w:asciiTheme="majorBidi" w:hAnsiTheme="majorBidi" w:cstheme="majorBidi"/>
          <w:szCs w:val="24"/>
        </w:rPr>
        <w:t xml:space="preserve">workers before </w:t>
      </w:r>
      <w:r w:rsidR="000B557A">
        <w:rPr>
          <w:rFonts w:asciiTheme="majorBidi" w:hAnsiTheme="majorBidi" w:cstheme="majorBidi"/>
          <w:szCs w:val="24"/>
        </w:rPr>
        <w:t>2009</w:t>
      </w:r>
      <w:r w:rsidR="007660C2" w:rsidRPr="002F64A6">
        <w:rPr>
          <w:rFonts w:asciiTheme="majorBidi" w:hAnsiTheme="majorBidi" w:cstheme="majorBidi"/>
          <w:szCs w:val="24"/>
        </w:rPr>
        <w:t>)</w:t>
      </w:r>
      <w:r w:rsidR="000B557A">
        <w:rPr>
          <w:rFonts w:asciiTheme="majorBidi" w:hAnsiTheme="majorBidi" w:cstheme="majorBidi"/>
          <w:szCs w:val="24"/>
        </w:rPr>
        <w:t>.</w:t>
      </w:r>
    </w:p>
    <w:p w14:paraId="63AC3CD5" w14:textId="5AD4D7EF" w:rsidR="00C27A1D" w:rsidRPr="002F64A6" w:rsidRDefault="00C27A1D" w:rsidP="00233F0E">
      <w:pPr>
        <w:pStyle w:val="Caption"/>
      </w:pPr>
      <w:bookmarkStart w:id="14" w:name="_Ref515971307"/>
      <w:r w:rsidRPr="002F64A6">
        <w:t xml:space="preserve">Figure </w:t>
      </w:r>
      <w:r w:rsidR="00A46EC9">
        <w:fldChar w:fldCharType="begin"/>
      </w:r>
      <w:r w:rsidR="00A46EC9">
        <w:instrText xml:space="preserve"> SEQ Figure \* ARABIC </w:instrText>
      </w:r>
      <w:r w:rsidR="00A46EC9">
        <w:fldChar w:fldCharType="separate"/>
      </w:r>
      <w:r w:rsidR="00E35FAB">
        <w:rPr>
          <w:noProof/>
        </w:rPr>
        <w:t>3</w:t>
      </w:r>
      <w:r w:rsidR="00A46EC9">
        <w:rPr>
          <w:noProof/>
        </w:rPr>
        <w:fldChar w:fldCharType="end"/>
      </w:r>
      <w:bookmarkEnd w:id="13"/>
      <w:bookmarkEnd w:id="14"/>
      <w:r w:rsidRPr="002F64A6">
        <w:t xml:space="preserve">. Average </w:t>
      </w:r>
      <w:r w:rsidR="00964699">
        <w:t>a</w:t>
      </w:r>
      <w:r w:rsidRPr="002F64A6">
        <w:t xml:space="preserve">nnual </w:t>
      </w:r>
      <w:r w:rsidR="0093218A">
        <w:t xml:space="preserve">U.S. </w:t>
      </w:r>
      <w:r w:rsidR="00964699">
        <w:t>t</w:t>
      </w:r>
      <w:r w:rsidRPr="002F64A6">
        <w:t>emperature (°F) and</w:t>
      </w:r>
      <w:r w:rsidRPr="002F64A6">
        <w:br/>
      </w:r>
      <w:r w:rsidR="00964699">
        <w:t>r</w:t>
      </w:r>
      <w:r w:rsidR="00530D28" w:rsidRPr="002F64A6">
        <w:t xml:space="preserve">ate of </w:t>
      </w:r>
      <w:r w:rsidR="00964699">
        <w:t>r</w:t>
      </w:r>
      <w:r w:rsidR="00530D28" w:rsidRPr="002F64A6">
        <w:t xml:space="preserve">eported </w:t>
      </w:r>
      <w:r w:rsidR="00964699">
        <w:t>w</w:t>
      </w:r>
      <w:r w:rsidRPr="002F64A6">
        <w:t xml:space="preserve">orker </w:t>
      </w:r>
      <w:r w:rsidR="00964699">
        <w:t>f</w:t>
      </w:r>
      <w:r w:rsidRPr="002F64A6">
        <w:t xml:space="preserve">atalities from </w:t>
      </w:r>
      <w:r w:rsidR="00964699">
        <w:t>h</w:t>
      </w:r>
      <w:r w:rsidRPr="002F64A6">
        <w:t xml:space="preserve">eat </w:t>
      </w:r>
      <w:r w:rsidR="00964699">
        <w:t>s</w:t>
      </w:r>
      <w:r w:rsidRPr="002F64A6">
        <w:t>tress</w:t>
      </w:r>
    </w:p>
    <w:p w14:paraId="2EC00AED" w14:textId="2F150788" w:rsidR="00F02107" w:rsidRPr="002F64A6" w:rsidRDefault="00AB2648" w:rsidP="00233F0E">
      <w:pPr>
        <w:pStyle w:val="Caption"/>
      </w:pPr>
      <w:r>
        <w:rPr>
          <w:noProof/>
        </w:rPr>
        <w:drawing>
          <wp:inline distT="0" distB="0" distL="0" distR="0" wp14:anchorId="54CEC006" wp14:editId="2A4C02EF">
            <wp:extent cx="4982949" cy="3017520"/>
            <wp:effectExtent l="0" t="0" r="8255"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8AF2426" w14:textId="4396FBF4" w:rsidR="00981861" w:rsidRPr="002F64A6" w:rsidRDefault="00981861" w:rsidP="00AD6F3D">
      <w:pPr>
        <w:pStyle w:val="Asterisks"/>
        <w:ind w:left="1170" w:right="990"/>
      </w:pPr>
      <w:r w:rsidRPr="002F64A6">
        <w:t>*</w:t>
      </w:r>
      <w:r w:rsidR="00BF473A" w:rsidRPr="002F64A6">
        <w:t xml:space="preserve"> </w:t>
      </w:r>
      <w:r w:rsidRPr="002F64A6">
        <w:t xml:space="preserve">Fatality rate per </w:t>
      </w:r>
      <w:r w:rsidR="009E16F5" w:rsidRPr="002F64A6">
        <w:t>1</w:t>
      </w:r>
      <w:r w:rsidR="00793B72" w:rsidRPr="002F64A6">
        <w:t xml:space="preserve"> million </w:t>
      </w:r>
      <w:r w:rsidR="009E16F5" w:rsidRPr="002F64A6">
        <w:t xml:space="preserve">workers, derived by dividing reports of fatalities by total </w:t>
      </w:r>
      <w:r w:rsidR="00D65C99" w:rsidRPr="002F64A6">
        <w:t>U.S. employees in private sector and state and local governments</w:t>
      </w:r>
      <w:r w:rsidR="009E16F5" w:rsidRPr="002F64A6">
        <w:t>.</w:t>
      </w:r>
    </w:p>
    <w:p w14:paraId="7A54E9C9" w14:textId="3F220603" w:rsidR="0084717E" w:rsidRDefault="00807AAF" w:rsidP="00AD6F3D">
      <w:pPr>
        <w:pStyle w:val="Asterisks"/>
        <w:ind w:left="1170" w:right="990"/>
      </w:pPr>
      <w:r w:rsidRPr="002F64A6">
        <w:lastRenderedPageBreak/>
        <w:t>Source</w:t>
      </w:r>
      <w:r w:rsidR="00AD6F3D" w:rsidRPr="002F64A6">
        <w:t>s</w:t>
      </w:r>
      <w:r w:rsidRPr="002F64A6">
        <w:t xml:space="preserve">: </w:t>
      </w:r>
      <w:r w:rsidR="00AD6F3D" w:rsidRPr="002F64A6">
        <w:t>National Oceanic and Atmospheric Administration</w:t>
      </w:r>
      <w:r w:rsidR="00D77264">
        <w:t xml:space="preserve"> (temperature data)</w:t>
      </w:r>
      <w:r w:rsidR="00AD6F3D" w:rsidRPr="002F64A6">
        <w:t xml:space="preserve"> and</w:t>
      </w:r>
      <w:r w:rsidR="00F717B6" w:rsidRPr="002F64A6">
        <w:t xml:space="preserve"> BLS</w:t>
      </w:r>
      <w:r w:rsidR="00D77264">
        <w:t xml:space="preserve"> (fatality rate data)</w:t>
      </w:r>
      <w:r w:rsidR="004D2EDC" w:rsidRPr="002F64A6">
        <w:t>.</w:t>
      </w:r>
    </w:p>
    <w:p w14:paraId="04765FCE" w14:textId="2C1BFD40" w:rsidR="00C74B61" w:rsidRDefault="001F0FBD" w:rsidP="00C74B61">
      <w:pPr>
        <w:pStyle w:val="L2"/>
      </w:pPr>
      <w:bookmarkStart w:id="15" w:name="_Toc518979491"/>
      <w:r>
        <w:t>S</w:t>
      </w:r>
      <w:r w:rsidR="008C47EA">
        <w:t xml:space="preserve">tudies of OSHA enforcement and the agency’s </w:t>
      </w:r>
      <w:r>
        <w:t xml:space="preserve">successful </w:t>
      </w:r>
      <w:r w:rsidR="002564FA">
        <w:t>heat-stress p</w:t>
      </w:r>
      <w:r w:rsidR="004953F5">
        <w:t xml:space="preserve">olicy </w:t>
      </w:r>
      <w:r w:rsidR="00E65222">
        <w:t xml:space="preserve">for the </w:t>
      </w:r>
      <w:r w:rsidR="008C47EA">
        <w:t xml:space="preserve">Deepwater Horizon </w:t>
      </w:r>
      <w:r w:rsidR="00E65222">
        <w:t xml:space="preserve">cleanup </w:t>
      </w:r>
      <w:r>
        <w:t xml:space="preserve">demonstrate </w:t>
      </w:r>
      <w:r w:rsidR="00C74B61">
        <w:t>that a heat-stress standard based on NIOSH</w:t>
      </w:r>
      <w:r w:rsidR="00BB4AD2">
        <w:t>’s</w:t>
      </w:r>
      <w:r w:rsidR="00C74B61">
        <w:t xml:space="preserve"> recommendations will save numerous lives</w:t>
      </w:r>
      <w:bookmarkEnd w:id="15"/>
    </w:p>
    <w:p w14:paraId="338D1CC4" w14:textId="291F43F4" w:rsidR="00BF6802" w:rsidRDefault="00E63558" w:rsidP="00BF6802">
      <w:r>
        <w:t xml:space="preserve">The </w:t>
      </w:r>
      <w:r w:rsidR="009943EA">
        <w:t xml:space="preserve">available </w:t>
      </w:r>
      <w:r>
        <w:t>evidence indicates that a</w:t>
      </w:r>
      <w:r w:rsidR="006946ED">
        <w:t xml:space="preserve">n extraordinarily high percentage of occupational heat stress fatalities </w:t>
      </w:r>
      <w:r w:rsidR="00373A4C">
        <w:t xml:space="preserve">occur in workplaces that lack the </w:t>
      </w:r>
      <w:r w:rsidR="006946ED">
        <w:t>protections</w:t>
      </w:r>
      <w:r w:rsidR="00E53000">
        <w:t xml:space="preserve"> </w:t>
      </w:r>
      <w:r w:rsidR="00373A4C">
        <w:t xml:space="preserve">that </w:t>
      </w:r>
      <w:r w:rsidR="00E53000">
        <w:t>NIOSH recommends</w:t>
      </w:r>
      <w:r w:rsidR="006946ED">
        <w:t xml:space="preserve">. </w:t>
      </w:r>
      <w:r w:rsidR="006E16BC">
        <w:t xml:space="preserve">A recent study </w:t>
      </w:r>
      <w:r w:rsidR="004454DC">
        <w:t>examined OSHA</w:t>
      </w:r>
      <w:r w:rsidR="00DB23CF">
        <w:t>’</w:t>
      </w:r>
      <w:r w:rsidR="004454DC">
        <w:t xml:space="preserve">s 84 heat enforcement cases in 2012 and 2013 and found that </w:t>
      </w:r>
      <w:r w:rsidR="000B5080">
        <w:t>only one of the employers had a heat</w:t>
      </w:r>
      <w:r w:rsidR="0094735C">
        <w:t xml:space="preserve"> acclimatization program in place.</w:t>
      </w:r>
      <w:r w:rsidR="00B92F73">
        <w:t xml:space="preserve"> Only 42 percent </w:t>
      </w:r>
      <w:r w:rsidR="00D77AF7">
        <w:t xml:space="preserve">of the employers </w:t>
      </w:r>
      <w:r w:rsidR="00B92F73">
        <w:t xml:space="preserve">had any heat illness prevention program at all. </w:t>
      </w:r>
      <w:r w:rsidR="00446153">
        <w:t>Twenty-three percent did not provide employees water or limited access to it.</w:t>
      </w:r>
      <w:r w:rsidR="00556FC1">
        <w:t xml:space="preserve"> Only 16 percent used the daily heat index to identify the ris</w:t>
      </w:r>
      <w:r w:rsidR="00832552">
        <w:t>k of illness.</w:t>
      </w:r>
      <w:r w:rsidR="00832552">
        <w:rPr>
          <w:rStyle w:val="FootnoteReference"/>
        </w:rPr>
        <w:footnoteReference w:id="69"/>
      </w:r>
      <w:r w:rsidR="000A65BD">
        <w:t xml:space="preserve"> </w:t>
      </w:r>
      <w:r w:rsidR="00832552">
        <w:t>A</w:t>
      </w:r>
      <w:r w:rsidR="00556FC1">
        <w:t xml:space="preserve">nd </w:t>
      </w:r>
      <w:r w:rsidR="006266EE">
        <w:t>97 percent did not adjust work / rest schedules to allow for heat conditions or intensity of workload.</w:t>
      </w:r>
      <w:r w:rsidR="006266EE">
        <w:rPr>
          <w:rStyle w:val="FootnoteReference"/>
        </w:rPr>
        <w:footnoteReference w:id="70"/>
      </w:r>
      <w:r w:rsidR="00FD7516">
        <w:t xml:space="preserve"> See </w:t>
      </w:r>
      <w:r w:rsidR="005832BE">
        <w:fldChar w:fldCharType="begin"/>
      </w:r>
      <w:r w:rsidR="005832BE">
        <w:instrText xml:space="preserve"> REF _Ref515978368 \h </w:instrText>
      </w:r>
      <w:r w:rsidR="005832BE">
        <w:fldChar w:fldCharType="separate"/>
      </w:r>
      <w:r w:rsidR="00E35FAB">
        <w:t xml:space="preserve">Figure </w:t>
      </w:r>
      <w:r w:rsidR="00E35FAB">
        <w:rPr>
          <w:noProof/>
        </w:rPr>
        <w:t>4</w:t>
      </w:r>
      <w:r w:rsidR="005832BE">
        <w:fldChar w:fldCharType="end"/>
      </w:r>
      <w:r w:rsidR="005832BE">
        <w:t xml:space="preserve"> </w:t>
      </w:r>
      <w:r w:rsidR="00FD7516">
        <w:t>for the full range of findings</w:t>
      </w:r>
      <w:r w:rsidR="006B2248">
        <w:t xml:space="preserve"> from the study</w:t>
      </w:r>
      <w:r w:rsidR="00FD7516">
        <w:t>.</w:t>
      </w:r>
    </w:p>
    <w:p w14:paraId="14909AA0" w14:textId="2157E93A" w:rsidR="00683706" w:rsidRDefault="00683706" w:rsidP="000D2FDB">
      <w:pPr>
        <w:pStyle w:val="Caption"/>
        <w:ind w:left="1890" w:right="1890"/>
      </w:pPr>
      <w:bookmarkStart w:id="16" w:name="_Ref515978368"/>
      <w:r>
        <w:lastRenderedPageBreak/>
        <w:t xml:space="preserve">Figure </w:t>
      </w:r>
      <w:r w:rsidR="00A46EC9">
        <w:fldChar w:fldCharType="begin"/>
      </w:r>
      <w:r w:rsidR="00A46EC9">
        <w:instrText xml:space="preserve"> SEQ Figure \* ARABIC </w:instrText>
      </w:r>
      <w:r w:rsidR="00A46EC9">
        <w:fldChar w:fldCharType="separate"/>
      </w:r>
      <w:r w:rsidR="00E35FAB">
        <w:rPr>
          <w:noProof/>
        </w:rPr>
        <w:t>4</w:t>
      </w:r>
      <w:r w:rsidR="00A46EC9">
        <w:rPr>
          <w:noProof/>
        </w:rPr>
        <w:fldChar w:fldCharType="end"/>
      </w:r>
      <w:bookmarkEnd w:id="16"/>
      <w:r>
        <w:t xml:space="preserve">. </w:t>
      </w:r>
      <w:r w:rsidR="00134EC7">
        <w:t>U.S. e</w:t>
      </w:r>
      <w:r>
        <w:t xml:space="preserve">mployer heat illness prevention programs: percentage of missing </w:t>
      </w:r>
      <w:r w:rsidR="003A3241">
        <w:t xml:space="preserve">safety </w:t>
      </w:r>
      <w:r>
        <w:t xml:space="preserve">components in 84 </w:t>
      </w:r>
      <w:r w:rsidR="00074D8A">
        <w:t xml:space="preserve">OSHA enforcement </w:t>
      </w:r>
      <w:r>
        <w:t>cases</w:t>
      </w:r>
      <w:r w:rsidR="0037125F">
        <w:t xml:space="preserve"> (2012–2013)</w:t>
      </w:r>
    </w:p>
    <w:p w14:paraId="6E4ABE58" w14:textId="421C7193" w:rsidR="008917A6" w:rsidRDefault="00BE29CD" w:rsidP="00683706">
      <w:pPr>
        <w:jc w:val="center"/>
      </w:pPr>
      <w:r>
        <w:rPr>
          <w:noProof/>
        </w:rPr>
        <w:drawing>
          <wp:inline distT="0" distB="0" distL="0" distR="0" wp14:anchorId="26E29381" wp14:editId="36166336">
            <wp:extent cx="4572000" cy="4548188"/>
            <wp:effectExtent l="0" t="0" r="0" b="508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606B8FA" w14:textId="583DFB5A" w:rsidR="00683706" w:rsidRDefault="00683706" w:rsidP="0085728F">
      <w:pPr>
        <w:pStyle w:val="Asterisks"/>
        <w:ind w:left="1260" w:right="1080"/>
      </w:pPr>
      <w:r>
        <w:t xml:space="preserve">Source: </w:t>
      </w:r>
      <w:r w:rsidR="00714461" w:rsidRPr="00714461">
        <w:t xml:space="preserve">Arbury S, Lindsley M, Hodgson M. A critical review of OSHA heat enforcement cases: Lessons learned. </w:t>
      </w:r>
      <w:r w:rsidR="00714461" w:rsidRPr="00714461">
        <w:rPr>
          <w:i/>
        </w:rPr>
        <w:t>J Occup Environ Med</w:t>
      </w:r>
      <w:r w:rsidR="00714461" w:rsidRPr="00714461">
        <w:t>. 2016;58(4):359</w:t>
      </w:r>
      <w:r w:rsidR="001804B2">
        <w:t>–</w:t>
      </w:r>
      <w:r w:rsidR="00714461" w:rsidRPr="00714461">
        <w:t>363. p. 361</w:t>
      </w:r>
      <w:r w:rsidR="00DF6664">
        <w:t>, Figure 1.</w:t>
      </w:r>
    </w:p>
    <w:p w14:paraId="0D4A5ABF" w14:textId="081C69EB" w:rsidR="00105C59" w:rsidRDefault="00CE7258" w:rsidP="00105C59">
      <w:r>
        <w:t xml:space="preserve">Another study examined </w:t>
      </w:r>
      <w:r w:rsidR="00B11819">
        <w:t xml:space="preserve">the 38 </w:t>
      </w:r>
      <w:r w:rsidR="00286141">
        <w:t xml:space="preserve">heat-related illness enforcement cases </w:t>
      </w:r>
      <w:r w:rsidR="008A3AAB">
        <w:t xml:space="preserve">between 2011 and 2016 </w:t>
      </w:r>
      <w:r w:rsidR="00286141">
        <w:t>in which the Office of Occupational Medicine and Nursing was consulted.</w:t>
      </w:r>
      <w:r w:rsidR="00335F69">
        <w:t xml:space="preserve"> </w:t>
      </w:r>
      <w:r w:rsidR="00D10733">
        <w:t>I</w:t>
      </w:r>
      <w:r w:rsidR="00E714DB">
        <w:t>n the cases for which data were available</w:t>
      </w:r>
      <w:r w:rsidR="0039278D">
        <w:t>,</w:t>
      </w:r>
      <w:r w:rsidR="00335F69">
        <w:t xml:space="preserve"> </w:t>
      </w:r>
      <w:r w:rsidR="00D10733">
        <w:t xml:space="preserve">it found that </w:t>
      </w:r>
      <w:r w:rsidR="00E714DB">
        <w:t>none of the employers (0 of 31) had a heat acclimatization plan, none (0 of 34) enforced mandatory rest breaks above recommended heat exposure limits, and only 10 percent (3 of 30) had the ability to monitor environmental heat.</w:t>
      </w:r>
      <w:r w:rsidR="00E714DB">
        <w:rPr>
          <w:rStyle w:val="FootnoteReference"/>
        </w:rPr>
        <w:footnoteReference w:id="71"/>
      </w:r>
    </w:p>
    <w:p w14:paraId="32F9224B" w14:textId="77C8264B" w:rsidR="0062109E" w:rsidRDefault="00B73B88" w:rsidP="00EE6285">
      <w:r>
        <w:t xml:space="preserve">By contrast, </w:t>
      </w:r>
      <w:r w:rsidR="006946ED">
        <w:t xml:space="preserve">OSHA itself demonstrated that robust </w:t>
      </w:r>
      <w:r w:rsidR="00210D57">
        <w:t xml:space="preserve">heat </w:t>
      </w:r>
      <w:r w:rsidR="006946ED">
        <w:t>protections work</w:t>
      </w:r>
      <w:r w:rsidR="001327C3">
        <w:t>ed</w:t>
      </w:r>
      <w:r w:rsidR="00EE6285">
        <w:t xml:space="preserve"> </w:t>
      </w:r>
      <w:r w:rsidR="00210D57">
        <w:t xml:space="preserve">in the summer of 2010, </w:t>
      </w:r>
      <w:r w:rsidR="00EE6285">
        <w:t>during the response to the Deepwater Horizon oil spill in the Gulf of Mexico. H</w:t>
      </w:r>
      <w:r w:rsidR="0062109E">
        <w:t xml:space="preserve">eat stress </w:t>
      </w:r>
      <w:r w:rsidR="00D71E83">
        <w:t xml:space="preserve">was a </w:t>
      </w:r>
      <w:r w:rsidR="0062109E">
        <w:t xml:space="preserve">serious risk </w:t>
      </w:r>
      <w:r w:rsidR="00DA21EA">
        <w:t xml:space="preserve">to </w:t>
      </w:r>
      <w:r w:rsidR="00827584">
        <w:t xml:space="preserve">those </w:t>
      </w:r>
      <w:r w:rsidR="008F613D">
        <w:t>involved in response and clean</w:t>
      </w:r>
      <w:r w:rsidR="00E8316A">
        <w:t>-</w:t>
      </w:r>
      <w:r w:rsidR="008F613D">
        <w:t>up</w:t>
      </w:r>
      <w:r w:rsidR="00210D57">
        <w:t xml:space="preserve"> efforts</w:t>
      </w:r>
      <w:r>
        <w:t>. M</w:t>
      </w:r>
      <w:r w:rsidR="00DA21EA">
        <w:t xml:space="preserve">any </w:t>
      </w:r>
      <w:r w:rsidR="008F613D">
        <w:t xml:space="preserve">worked </w:t>
      </w:r>
      <w:r w:rsidR="008201E2">
        <w:t>12-</w:t>
      </w:r>
      <w:r w:rsidR="00DA21EA">
        <w:t>hour days in hot and humid weather.</w:t>
      </w:r>
      <w:r w:rsidR="0010663D">
        <w:t xml:space="preserve"> OSHA required</w:t>
      </w:r>
      <w:r w:rsidR="00A15F6A">
        <w:t xml:space="preserve"> the oil company, BP,</w:t>
      </w:r>
      <w:r w:rsidR="0010663D">
        <w:t xml:space="preserve"> </w:t>
      </w:r>
      <w:r w:rsidR="00BB1DC6">
        <w:t xml:space="preserve">to </w:t>
      </w:r>
      <w:r w:rsidR="007335D3">
        <w:t xml:space="preserve">implement </w:t>
      </w:r>
      <w:r w:rsidR="0010663D">
        <w:t xml:space="preserve">robust protections </w:t>
      </w:r>
      <w:r w:rsidR="00E37054">
        <w:t xml:space="preserve">against heat-related illness, including </w:t>
      </w:r>
      <w:r w:rsidR="0010663D">
        <w:t>“</w:t>
      </w:r>
      <w:r w:rsidR="0062109E">
        <w:t>work/rest requirements, shaded rest areas, hyd</w:t>
      </w:r>
      <w:r w:rsidR="0010663D">
        <w:t xml:space="preserve">ration </w:t>
      </w:r>
      <w:r w:rsidR="0010663D">
        <w:lastRenderedPageBreak/>
        <w:t xml:space="preserve">liquids, and onsite heat </w:t>
      </w:r>
      <w:r w:rsidR="0062109E">
        <w:t>monitoring.</w:t>
      </w:r>
      <w:r w:rsidR="0010663D">
        <w:t>”</w:t>
      </w:r>
      <w:r w:rsidR="0010663D">
        <w:rPr>
          <w:rStyle w:val="FootnoteReference"/>
        </w:rPr>
        <w:footnoteReference w:id="72"/>
      </w:r>
      <w:r w:rsidR="004F1E06">
        <w:t xml:space="preserve"> </w:t>
      </w:r>
      <w:r w:rsidR="00AE3AAA">
        <w:t xml:space="preserve">The rest requirements were </w:t>
      </w:r>
      <w:r w:rsidR="00B704DD">
        <w:t xml:space="preserve">particularly </w:t>
      </w:r>
      <w:r w:rsidR="00AE3AAA">
        <w:t xml:space="preserve">controversial, as some </w:t>
      </w:r>
      <w:r w:rsidR="001D7B8A">
        <w:t xml:space="preserve">observers </w:t>
      </w:r>
      <w:r w:rsidR="00AE3AAA">
        <w:t xml:space="preserve">were </w:t>
      </w:r>
      <w:r w:rsidR="001D7B8A">
        <w:t xml:space="preserve">unaccustomed to </w:t>
      </w:r>
      <w:r w:rsidR="00AE3AAA">
        <w:t xml:space="preserve">seeing </w:t>
      </w:r>
      <w:r w:rsidR="002C05C7">
        <w:t xml:space="preserve">laborers </w:t>
      </w:r>
      <w:r w:rsidR="00AE3AAA">
        <w:t>resting in the shade.</w:t>
      </w:r>
      <w:r w:rsidR="001D7B8A">
        <w:rPr>
          <w:rStyle w:val="FootnoteReference"/>
        </w:rPr>
        <w:footnoteReference w:id="73"/>
      </w:r>
      <w:r w:rsidR="00B704DD">
        <w:t xml:space="preserve"> But t</w:t>
      </w:r>
      <w:r w:rsidR="004F1E06">
        <w:t xml:space="preserve">he </w:t>
      </w:r>
      <w:r w:rsidR="00B704DD">
        <w:t>results were clear.</w:t>
      </w:r>
      <w:r w:rsidR="00AE3AAA">
        <w:t xml:space="preserve"> Across a workforce of more than 42,000 response and cleanup workers, </w:t>
      </w:r>
      <w:r w:rsidR="00116F41">
        <w:t xml:space="preserve">operating </w:t>
      </w:r>
      <w:r w:rsidR="004F4834">
        <w:t xml:space="preserve">in plainly dangerous heat stress conditions, </w:t>
      </w:r>
      <w:r w:rsidR="00AE3AAA">
        <w:t xml:space="preserve">not a single serious </w:t>
      </w:r>
      <w:r w:rsidR="004F4834">
        <w:t xml:space="preserve">heat-related </w:t>
      </w:r>
      <w:r w:rsidR="00AE3AAA">
        <w:t>illness or fatality</w:t>
      </w:r>
      <w:r w:rsidR="006D214E">
        <w:t xml:space="preserve"> was recorded</w:t>
      </w:r>
      <w:r w:rsidR="006D2463">
        <w:t>. A review of the response explains:</w:t>
      </w:r>
    </w:p>
    <w:p w14:paraId="10390CD8" w14:textId="382D5DB1" w:rsidR="00DC6FB2" w:rsidRDefault="00DC6FB2" w:rsidP="00DC6FB2">
      <w:pPr>
        <w:pStyle w:val="Blockquote"/>
      </w:pPr>
      <w:r>
        <w:t>Even though on many days the temperature reached above 100° F (37.8° C) no workers involved in the clean-up and response developed serious heat illness. Heat did, however, pose a significant hazard: as of September 2, when OSHA began transitioning out of the spill response, there were 978 heat stress incidents reported. The heat protection program likely prevented serious heat illnesses and possible deaths among workers.</w:t>
      </w:r>
      <w:r>
        <w:rPr>
          <w:rStyle w:val="FootnoteReference"/>
        </w:rPr>
        <w:footnoteReference w:id="74"/>
      </w:r>
    </w:p>
    <w:p w14:paraId="544815D7" w14:textId="69591DC3" w:rsidR="00CC78CF" w:rsidRPr="002F64A6" w:rsidRDefault="003321C8" w:rsidP="00CF739C">
      <w:pPr>
        <w:pStyle w:val="L2"/>
      </w:pPr>
      <w:bookmarkStart w:id="17" w:name="_Toc518979492"/>
      <w:r>
        <w:t xml:space="preserve">The contrast between OSHA’s and </w:t>
      </w:r>
      <w:r w:rsidR="00CC78CF" w:rsidRPr="002F64A6">
        <w:t>California</w:t>
      </w:r>
      <w:r w:rsidR="00CC78CF">
        <w:t>’</w:t>
      </w:r>
      <w:r w:rsidR="00CC78CF" w:rsidRPr="002F64A6">
        <w:t xml:space="preserve">s enforcement </w:t>
      </w:r>
      <w:r w:rsidR="00CF739C">
        <w:t>record</w:t>
      </w:r>
      <w:r>
        <w:t>s</w:t>
      </w:r>
      <w:r w:rsidR="00CF739C">
        <w:t xml:space="preserve"> further shows </w:t>
      </w:r>
      <w:r w:rsidR="00CC78CF" w:rsidRPr="002F64A6">
        <w:t>the importance of a heat stress standard</w:t>
      </w:r>
      <w:bookmarkEnd w:id="17"/>
    </w:p>
    <w:p w14:paraId="6C7AB9C3" w14:textId="2F083E9C" w:rsidR="00CC78CF" w:rsidRPr="002F64A6" w:rsidRDefault="00CC78CF" w:rsidP="00CC78CF">
      <w:pPr>
        <w:rPr>
          <w:rFonts w:asciiTheme="majorBidi" w:hAnsiTheme="majorBidi" w:cstheme="majorBidi"/>
          <w:szCs w:val="24"/>
        </w:rPr>
      </w:pPr>
      <w:r w:rsidRPr="002F64A6">
        <w:rPr>
          <w:rFonts w:asciiTheme="majorBidi" w:hAnsiTheme="majorBidi" w:cstheme="majorBidi"/>
          <w:szCs w:val="24"/>
        </w:rPr>
        <w:t xml:space="preserve">California implemented its </w:t>
      </w:r>
      <w:r w:rsidR="008429E6">
        <w:rPr>
          <w:rFonts w:asciiTheme="majorBidi" w:hAnsiTheme="majorBidi" w:cstheme="majorBidi"/>
          <w:szCs w:val="24"/>
        </w:rPr>
        <w:t xml:space="preserve">outdoor </w:t>
      </w:r>
      <w:r w:rsidR="00780C2C">
        <w:rPr>
          <w:rFonts w:asciiTheme="majorBidi" w:hAnsiTheme="majorBidi" w:cstheme="majorBidi"/>
          <w:szCs w:val="24"/>
        </w:rPr>
        <w:t xml:space="preserve">heat </w:t>
      </w:r>
      <w:r w:rsidRPr="002F64A6">
        <w:rPr>
          <w:rFonts w:asciiTheme="majorBidi" w:hAnsiTheme="majorBidi" w:cstheme="majorBidi"/>
          <w:szCs w:val="24"/>
        </w:rPr>
        <w:t>standard as an emergency measure in 2005 in response to a spike in heat-related worker deaths,</w:t>
      </w:r>
      <w:r w:rsidRPr="002F64A6">
        <w:rPr>
          <w:rStyle w:val="FootnoteReference"/>
          <w:rFonts w:asciiTheme="majorBidi" w:hAnsiTheme="majorBidi" w:cstheme="majorBidi"/>
          <w:szCs w:val="24"/>
        </w:rPr>
        <w:footnoteReference w:id="75"/>
      </w:r>
      <w:r w:rsidRPr="002F64A6">
        <w:rPr>
          <w:rFonts w:asciiTheme="majorBidi" w:hAnsiTheme="majorBidi" w:cstheme="majorBidi"/>
          <w:szCs w:val="24"/>
        </w:rPr>
        <w:t xml:space="preserve"> </w:t>
      </w:r>
      <w:r w:rsidR="000C6070">
        <w:rPr>
          <w:rFonts w:asciiTheme="majorBidi" w:hAnsiTheme="majorBidi" w:cstheme="majorBidi"/>
          <w:szCs w:val="24"/>
        </w:rPr>
        <w:t xml:space="preserve">then </w:t>
      </w:r>
      <w:r w:rsidRPr="002F64A6">
        <w:rPr>
          <w:rFonts w:asciiTheme="majorBidi" w:hAnsiTheme="majorBidi" w:cstheme="majorBidi"/>
          <w:szCs w:val="24"/>
        </w:rPr>
        <w:t>made the measure permanent in 2006.</w:t>
      </w:r>
      <w:r w:rsidRPr="002F64A6">
        <w:rPr>
          <w:rFonts w:asciiTheme="majorBidi" w:hAnsiTheme="majorBidi" w:cstheme="majorBidi"/>
          <w:szCs w:val="24"/>
          <w:vertAlign w:val="superscript"/>
        </w:rPr>
        <w:footnoteReference w:id="76"/>
      </w:r>
      <w:r w:rsidRPr="002F64A6">
        <w:rPr>
          <w:rFonts w:asciiTheme="majorBidi" w:hAnsiTheme="majorBidi" w:cstheme="majorBidi"/>
          <w:szCs w:val="24"/>
        </w:rPr>
        <w:t xml:space="preserve"> The main provisions of the standard are summarized in </w:t>
      </w:r>
      <w:r w:rsidRPr="002F64A6">
        <w:rPr>
          <w:rFonts w:asciiTheme="majorBidi" w:hAnsiTheme="majorBidi" w:cstheme="majorBidi"/>
          <w:szCs w:val="24"/>
        </w:rPr>
        <w:fldChar w:fldCharType="begin"/>
      </w:r>
      <w:r w:rsidRPr="002F64A6">
        <w:rPr>
          <w:rFonts w:asciiTheme="majorBidi" w:hAnsiTheme="majorBidi" w:cstheme="majorBidi"/>
          <w:szCs w:val="24"/>
        </w:rPr>
        <w:instrText xml:space="preserve"> REF _Ref514923987 \h  \* MERGEFORMAT </w:instrText>
      </w:r>
      <w:r w:rsidRPr="002F64A6">
        <w:rPr>
          <w:rFonts w:asciiTheme="majorBidi" w:hAnsiTheme="majorBidi" w:cstheme="majorBidi"/>
          <w:szCs w:val="24"/>
        </w:rPr>
      </w:r>
      <w:r w:rsidRPr="002F64A6">
        <w:rPr>
          <w:rFonts w:asciiTheme="majorBidi" w:hAnsiTheme="majorBidi" w:cstheme="majorBidi"/>
          <w:szCs w:val="24"/>
        </w:rPr>
        <w:fldChar w:fldCharType="separate"/>
      </w:r>
      <w:r w:rsidR="00E35FAB" w:rsidRPr="002F64A6">
        <w:t xml:space="preserve">Table </w:t>
      </w:r>
      <w:r w:rsidR="00E35FAB">
        <w:rPr>
          <w:noProof/>
        </w:rPr>
        <w:t>3</w:t>
      </w:r>
      <w:r w:rsidRPr="002F64A6">
        <w:rPr>
          <w:rFonts w:asciiTheme="majorBidi" w:hAnsiTheme="majorBidi" w:cstheme="majorBidi"/>
          <w:szCs w:val="24"/>
        </w:rPr>
        <w:fldChar w:fldCharType="end"/>
      </w:r>
      <w:r w:rsidR="00E87151">
        <w:rPr>
          <w:rFonts w:asciiTheme="majorBidi" w:hAnsiTheme="majorBidi" w:cstheme="majorBidi"/>
          <w:szCs w:val="24"/>
        </w:rPr>
        <w:t xml:space="preserve">. They </w:t>
      </w:r>
      <w:r w:rsidRPr="002F64A6">
        <w:rPr>
          <w:rFonts w:asciiTheme="majorBidi" w:hAnsiTheme="majorBidi" w:cstheme="majorBidi"/>
          <w:szCs w:val="24"/>
        </w:rPr>
        <w:t>include requirements for employers to: (1) provide one quart of potable drinking water per worker per hour; (2) monitor, and provide shade for, all employees on particularly hot days; (3) provide rest breaks for employees upon request; and (4) train new employees and supervisors on heat-related illness and preventive measures.</w:t>
      </w:r>
      <w:r w:rsidRPr="002F64A6">
        <w:rPr>
          <w:rFonts w:asciiTheme="majorBidi" w:hAnsiTheme="majorBidi" w:cstheme="majorBidi"/>
          <w:szCs w:val="24"/>
          <w:vertAlign w:val="superscript"/>
        </w:rPr>
        <w:footnoteReference w:id="77"/>
      </w:r>
    </w:p>
    <w:p w14:paraId="3B3553D1" w14:textId="33B2C92E" w:rsidR="00CC78CF" w:rsidRPr="002F64A6" w:rsidRDefault="00CC78CF" w:rsidP="00CC78CF">
      <w:pPr>
        <w:rPr>
          <w:rFonts w:asciiTheme="majorBidi" w:hAnsiTheme="majorBidi" w:cstheme="majorBidi"/>
          <w:szCs w:val="24"/>
        </w:rPr>
      </w:pPr>
      <w:r w:rsidRPr="002F64A6">
        <w:rPr>
          <w:rFonts w:asciiTheme="majorBidi" w:hAnsiTheme="majorBidi" w:cstheme="majorBidi"/>
          <w:szCs w:val="24"/>
        </w:rPr>
        <w:t>In the first five years after implementation of California</w:t>
      </w:r>
      <w:r>
        <w:rPr>
          <w:rFonts w:asciiTheme="majorBidi" w:hAnsiTheme="majorBidi" w:cstheme="majorBidi"/>
          <w:szCs w:val="24"/>
        </w:rPr>
        <w:t>’</w:t>
      </w:r>
      <w:r w:rsidRPr="002F64A6">
        <w:rPr>
          <w:rFonts w:asciiTheme="majorBidi" w:hAnsiTheme="majorBidi" w:cstheme="majorBidi"/>
          <w:szCs w:val="24"/>
        </w:rPr>
        <w:t xml:space="preserve">s standard in 2005, thousands of inspections were conducted, </w:t>
      </w:r>
      <w:r w:rsidR="00B05C67">
        <w:rPr>
          <w:rFonts w:asciiTheme="majorBidi" w:hAnsiTheme="majorBidi" w:cstheme="majorBidi"/>
          <w:szCs w:val="24"/>
        </w:rPr>
        <w:t>finding hundreds of violations,</w:t>
      </w:r>
      <w:r w:rsidR="00FB0444">
        <w:rPr>
          <w:rFonts w:asciiTheme="majorBidi" w:hAnsiTheme="majorBidi" w:cstheme="majorBidi"/>
          <w:szCs w:val="24"/>
        </w:rPr>
        <w:t xml:space="preserve"> which resulted </w:t>
      </w:r>
      <w:r w:rsidR="00B05C67">
        <w:rPr>
          <w:rFonts w:asciiTheme="majorBidi" w:hAnsiTheme="majorBidi" w:cstheme="majorBidi"/>
          <w:szCs w:val="24"/>
        </w:rPr>
        <w:t xml:space="preserve">in </w:t>
      </w:r>
      <w:r w:rsidRPr="002F64A6">
        <w:rPr>
          <w:rFonts w:asciiTheme="majorBidi" w:hAnsiTheme="majorBidi" w:cstheme="majorBidi"/>
          <w:szCs w:val="24"/>
        </w:rPr>
        <w:t>millions of dollars in penalties (</w:t>
      </w:r>
      <w:r w:rsidRPr="002F64A6">
        <w:rPr>
          <w:rFonts w:asciiTheme="majorBidi" w:hAnsiTheme="majorBidi" w:cstheme="majorBidi"/>
          <w:szCs w:val="24"/>
        </w:rPr>
        <w:fldChar w:fldCharType="begin"/>
      </w:r>
      <w:r w:rsidRPr="002F64A6">
        <w:rPr>
          <w:rFonts w:asciiTheme="majorBidi" w:hAnsiTheme="majorBidi" w:cstheme="majorBidi"/>
          <w:szCs w:val="24"/>
        </w:rPr>
        <w:instrText xml:space="preserve"> REF _Ref514878649 \h  \* MERGEFORMAT </w:instrText>
      </w:r>
      <w:r w:rsidRPr="002F64A6">
        <w:rPr>
          <w:rFonts w:asciiTheme="majorBidi" w:hAnsiTheme="majorBidi" w:cstheme="majorBidi"/>
          <w:szCs w:val="24"/>
        </w:rPr>
      </w:r>
      <w:r w:rsidRPr="002F64A6">
        <w:rPr>
          <w:rFonts w:asciiTheme="majorBidi" w:hAnsiTheme="majorBidi" w:cstheme="majorBidi"/>
          <w:szCs w:val="24"/>
        </w:rPr>
        <w:fldChar w:fldCharType="separate"/>
      </w:r>
      <w:r w:rsidR="00E35FAB" w:rsidRPr="002F64A6">
        <w:t xml:space="preserve">Table </w:t>
      </w:r>
      <w:r w:rsidR="00E35FAB">
        <w:rPr>
          <w:noProof/>
        </w:rPr>
        <w:t>1</w:t>
      </w:r>
      <w:r w:rsidRPr="002F64A6">
        <w:rPr>
          <w:rFonts w:asciiTheme="majorBidi" w:hAnsiTheme="majorBidi" w:cstheme="majorBidi"/>
          <w:szCs w:val="24"/>
        </w:rPr>
        <w:fldChar w:fldCharType="end"/>
      </w:r>
      <w:r w:rsidRPr="002F64A6">
        <w:rPr>
          <w:rFonts w:asciiTheme="majorBidi" w:hAnsiTheme="majorBidi" w:cstheme="majorBidi"/>
          <w:szCs w:val="24"/>
        </w:rPr>
        <w:t>). California targets its inspections at what have traditionally been the highest-risk industries for outdoor heat-related injuries, the agriculture and construction sectors.</w:t>
      </w:r>
    </w:p>
    <w:p w14:paraId="07DD5B03" w14:textId="77777777" w:rsidR="00CC78CF" w:rsidRPr="002F64A6" w:rsidRDefault="00CC78CF" w:rsidP="00CC78CF">
      <w:pPr>
        <w:pStyle w:val="Caption"/>
      </w:pPr>
      <w:bookmarkStart w:id="18" w:name="_Ref514878649"/>
      <w:r w:rsidRPr="002F64A6">
        <w:lastRenderedPageBreak/>
        <w:t xml:space="preserve">Table </w:t>
      </w:r>
      <w:r w:rsidR="00A46EC9">
        <w:fldChar w:fldCharType="begin"/>
      </w:r>
      <w:r w:rsidR="00A46EC9">
        <w:instrText xml:space="preserve"> SEQ Table \* ARABIC </w:instrText>
      </w:r>
      <w:r w:rsidR="00A46EC9">
        <w:fldChar w:fldCharType="separate"/>
      </w:r>
      <w:r w:rsidR="00E35FAB">
        <w:rPr>
          <w:noProof/>
        </w:rPr>
        <w:t>1</w:t>
      </w:r>
      <w:r w:rsidR="00A46EC9">
        <w:rPr>
          <w:noProof/>
        </w:rPr>
        <w:fldChar w:fldCharType="end"/>
      </w:r>
      <w:bookmarkEnd w:id="18"/>
      <w:r w:rsidRPr="002F64A6">
        <w:t>. Cal/OSHA enforcement of its heat illness prevention</w:t>
      </w:r>
      <w:r w:rsidRPr="002F64A6">
        <w:br/>
        <w:t>standard (presented as obtained from Cal/OSHA)</w:t>
      </w:r>
      <w:r w:rsidRPr="002F64A6">
        <w:rPr>
          <w:vertAlign w:val="superscript"/>
        </w:rPr>
        <w:footnoteReference w:id="78"/>
      </w:r>
    </w:p>
    <w:tbl>
      <w:tblPr>
        <w:tblStyle w:val="LightShading-Accent5"/>
        <w:tblW w:w="4900" w:type="pct"/>
        <w:jc w:val="center"/>
        <w:tblLayout w:type="fixed"/>
        <w:tblLook w:val="04A0" w:firstRow="1" w:lastRow="0" w:firstColumn="1" w:lastColumn="0" w:noHBand="0" w:noVBand="1"/>
      </w:tblPr>
      <w:tblGrid>
        <w:gridCol w:w="1849"/>
        <w:gridCol w:w="1043"/>
        <w:gridCol w:w="1044"/>
        <w:gridCol w:w="1045"/>
        <w:gridCol w:w="1046"/>
        <w:gridCol w:w="1045"/>
        <w:gridCol w:w="1045"/>
        <w:gridCol w:w="1046"/>
      </w:tblGrid>
      <w:tr w:rsidR="00CC78CF" w:rsidRPr="00566736" w14:paraId="1C31FAAD" w14:textId="77777777" w:rsidTr="00B873A9">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837" w:type="dxa"/>
            <w:noWrap/>
            <w:hideMark/>
          </w:tcPr>
          <w:p w14:paraId="51F92CA6" w14:textId="77777777" w:rsidR="00CC78CF" w:rsidRPr="00566736" w:rsidRDefault="00CC78CF" w:rsidP="00B873A9">
            <w:pPr>
              <w:pStyle w:val="TableHeading"/>
            </w:pPr>
            <w:r w:rsidRPr="00566736">
              <w:t>Cal/OSHA Action</w:t>
            </w:r>
          </w:p>
        </w:tc>
        <w:tc>
          <w:tcPr>
            <w:tcW w:w="1036" w:type="dxa"/>
            <w:noWrap/>
            <w:hideMark/>
          </w:tcPr>
          <w:p w14:paraId="5F32BCBC" w14:textId="77777777" w:rsidR="00CC78CF" w:rsidRPr="00566736" w:rsidRDefault="00CC78CF" w:rsidP="00B873A9">
            <w:pPr>
              <w:pStyle w:val="TableHeading"/>
              <w:cnfStyle w:val="100000000000" w:firstRow="1" w:lastRow="0" w:firstColumn="0" w:lastColumn="0" w:oddVBand="0" w:evenVBand="0" w:oddHBand="0" w:evenHBand="0" w:firstRowFirstColumn="0" w:firstRowLastColumn="0" w:lastRowFirstColumn="0" w:lastRowLastColumn="0"/>
            </w:pPr>
            <w:r>
              <w:t>20</w:t>
            </w:r>
            <w:r w:rsidRPr="00566736">
              <w:t>05</w:t>
            </w:r>
          </w:p>
        </w:tc>
        <w:tc>
          <w:tcPr>
            <w:tcW w:w="1037" w:type="dxa"/>
            <w:noWrap/>
            <w:hideMark/>
          </w:tcPr>
          <w:p w14:paraId="387F6FBC" w14:textId="77777777" w:rsidR="00CC78CF" w:rsidRPr="00566736" w:rsidRDefault="00CC78CF" w:rsidP="00B873A9">
            <w:pPr>
              <w:pStyle w:val="TableHeading"/>
              <w:cnfStyle w:val="100000000000" w:firstRow="1" w:lastRow="0" w:firstColumn="0" w:lastColumn="0" w:oddVBand="0" w:evenVBand="0" w:oddHBand="0" w:evenHBand="0" w:firstRowFirstColumn="0" w:firstRowLastColumn="0" w:lastRowFirstColumn="0" w:lastRowLastColumn="0"/>
            </w:pPr>
            <w:r>
              <w:t>20</w:t>
            </w:r>
            <w:r w:rsidRPr="00566736">
              <w:t>06</w:t>
            </w:r>
          </w:p>
        </w:tc>
        <w:tc>
          <w:tcPr>
            <w:tcW w:w="1037" w:type="dxa"/>
            <w:noWrap/>
            <w:hideMark/>
          </w:tcPr>
          <w:p w14:paraId="0BEE474E" w14:textId="77777777" w:rsidR="00CC78CF" w:rsidRPr="00566736" w:rsidRDefault="00CC78CF" w:rsidP="00B873A9">
            <w:pPr>
              <w:pStyle w:val="TableHeading"/>
              <w:cnfStyle w:val="100000000000" w:firstRow="1" w:lastRow="0" w:firstColumn="0" w:lastColumn="0" w:oddVBand="0" w:evenVBand="0" w:oddHBand="0" w:evenHBand="0" w:firstRowFirstColumn="0" w:firstRowLastColumn="0" w:lastRowFirstColumn="0" w:lastRowLastColumn="0"/>
            </w:pPr>
            <w:r>
              <w:t>20</w:t>
            </w:r>
            <w:r w:rsidRPr="00566736">
              <w:t>07</w:t>
            </w:r>
          </w:p>
        </w:tc>
        <w:tc>
          <w:tcPr>
            <w:tcW w:w="1038" w:type="dxa"/>
            <w:noWrap/>
            <w:hideMark/>
          </w:tcPr>
          <w:p w14:paraId="4F32442A" w14:textId="77777777" w:rsidR="00CC78CF" w:rsidRPr="00566736" w:rsidRDefault="00CC78CF" w:rsidP="00B873A9">
            <w:pPr>
              <w:pStyle w:val="TableHeading"/>
              <w:cnfStyle w:val="100000000000" w:firstRow="1" w:lastRow="0" w:firstColumn="0" w:lastColumn="0" w:oddVBand="0" w:evenVBand="0" w:oddHBand="0" w:evenHBand="0" w:firstRowFirstColumn="0" w:firstRowLastColumn="0" w:lastRowFirstColumn="0" w:lastRowLastColumn="0"/>
            </w:pPr>
            <w:r>
              <w:t>20</w:t>
            </w:r>
            <w:r w:rsidRPr="00566736">
              <w:t>08</w:t>
            </w:r>
          </w:p>
        </w:tc>
        <w:tc>
          <w:tcPr>
            <w:tcW w:w="1037" w:type="dxa"/>
            <w:noWrap/>
            <w:hideMark/>
          </w:tcPr>
          <w:p w14:paraId="566DEE60" w14:textId="77777777" w:rsidR="00CC78CF" w:rsidRPr="00566736" w:rsidRDefault="00CC78CF" w:rsidP="00B873A9">
            <w:pPr>
              <w:pStyle w:val="TableHeading"/>
              <w:cnfStyle w:val="100000000000" w:firstRow="1" w:lastRow="0" w:firstColumn="0" w:lastColumn="0" w:oddVBand="0" w:evenVBand="0" w:oddHBand="0" w:evenHBand="0" w:firstRowFirstColumn="0" w:firstRowLastColumn="0" w:lastRowFirstColumn="0" w:lastRowLastColumn="0"/>
            </w:pPr>
            <w:r>
              <w:t>20</w:t>
            </w:r>
            <w:r w:rsidRPr="00566736">
              <w:t>09</w:t>
            </w:r>
          </w:p>
        </w:tc>
        <w:tc>
          <w:tcPr>
            <w:tcW w:w="1037" w:type="dxa"/>
            <w:noWrap/>
            <w:hideMark/>
          </w:tcPr>
          <w:p w14:paraId="525EC106" w14:textId="77777777" w:rsidR="00CC78CF" w:rsidRPr="00566736" w:rsidRDefault="00CC78CF" w:rsidP="00B873A9">
            <w:pPr>
              <w:pStyle w:val="TableHeading"/>
              <w:cnfStyle w:val="100000000000" w:firstRow="1" w:lastRow="0" w:firstColumn="0" w:lastColumn="0" w:oddVBand="0" w:evenVBand="0" w:oddHBand="0" w:evenHBand="0" w:firstRowFirstColumn="0" w:firstRowLastColumn="0" w:lastRowFirstColumn="0" w:lastRowLastColumn="0"/>
            </w:pPr>
            <w:r>
              <w:t>20</w:t>
            </w:r>
            <w:r w:rsidRPr="00566736">
              <w:t>10</w:t>
            </w:r>
          </w:p>
        </w:tc>
        <w:tc>
          <w:tcPr>
            <w:tcW w:w="1038" w:type="dxa"/>
            <w:noWrap/>
            <w:hideMark/>
          </w:tcPr>
          <w:p w14:paraId="181FEF74" w14:textId="77777777" w:rsidR="00CC78CF" w:rsidRPr="00566736" w:rsidRDefault="00CC78CF" w:rsidP="00B873A9">
            <w:pPr>
              <w:pStyle w:val="TableHeading"/>
              <w:cnfStyle w:val="100000000000" w:firstRow="1" w:lastRow="0" w:firstColumn="0" w:lastColumn="0" w:oddVBand="0" w:evenVBand="0" w:oddHBand="0" w:evenHBand="0" w:firstRowFirstColumn="0" w:firstRowLastColumn="0" w:lastRowFirstColumn="0" w:lastRowLastColumn="0"/>
            </w:pPr>
            <w:r>
              <w:t>20</w:t>
            </w:r>
            <w:r w:rsidRPr="00566736">
              <w:t>11</w:t>
            </w:r>
          </w:p>
        </w:tc>
      </w:tr>
      <w:tr w:rsidR="00CC78CF" w:rsidRPr="00566736" w14:paraId="7BDC18CE" w14:textId="77777777" w:rsidTr="00B873A9">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837" w:type="dxa"/>
            <w:noWrap/>
            <w:hideMark/>
          </w:tcPr>
          <w:p w14:paraId="446A87E7" w14:textId="77777777" w:rsidR="00CC78CF" w:rsidRPr="00566736" w:rsidRDefault="00CC78CF" w:rsidP="00B873A9">
            <w:pPr>
              <w:pStyle w:val="TableLeft"/>
              <w:rPr>
                <w:sz w:val="18"/>
                <w:szCs w:val="18"/>
              </w:rPr>
            </w:pPr>
            <w:r w:rsidRPr="00566736">
              <w:rPr>
                <w:sz w:val="18"/>
                <w:szCs w:val="18"/>
              </w:rPr>
              <w:t>Inspections coded S18 Heat</w:t>
            </w:r>
            <w:r>
              <w:rPr>
                <w:b/>
                <w:bCs/>
                <w:sz w:val="18"/>
                <w:szCs w:val="18"/>
              </w:rPr>
              <w:t>*</w:t>
            </w:r>
          </w:p>
        </w:tc>
        <w:tc>
          <w:tcPr>
            <w:tcW w:w="1036" w:type="dxa"/>
            <w:noWrap/>
            <w:hideMark/>
          </w:tcPr>
          <w:p w14:paraId="45EC8694" w14:textId="77777777" w:rsidR="00CC78CF" w:rsidRPr="00566736" w:rsidRDefault="00CC78CF" w:rsidP="00B873A9">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000000"/>
                <w:sz w:val="18"/>
                <w:szCs w:val="18"/>
              </w:rPr>
            </w:pPr>
            <w:r w:rsidRPr="00566736">
              <w:rPr>
                <w:rFonts w:ascii="Calibri" w:eastAsia="Times New Roman" w:hAnsi="Calibri" w:cs="Arial"/>
                <w:color w:val="000000"/>
                <w:sz w:val="18"/>
                <w:szCs w:val="18"/>
              </w:rPr>
              <w:t>39</w:t>
            </w:r>
          </w:p>
        </w:tc>
        <w:tc>
          <w:tcPr>
            <w:tcW w:w="1037" w:type="dxa"/>
            <w:noWrap/>
            <w:hideMark/>
          </w:tcPr>
          <w:p w14:paraId="1DF3B78E" w14:textId="77777777" w:rsidR="00CC78CF" w:rsidRPr="00566736" w:rsidRDefault="00CC78CF" w:rsidP="00B873A9">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000000"/>
                <w:sz w:val="18"/>
                <w:szCs w:val="18"/>
              </w:rPr>
            </w:pPr>
            <w:r w:rsidRPr="00566736">
              <w:rPr>
                <w:rFonts w:ascii="Calibri" w:eastAsia="Times New Roman" w:hAnsi="Calibri" w:cs="Arial"/>
                <w:color w:val="000000"/>
                <w:sz w:val="18"/>
                <w:szCs w:val="18"/>
              </w:rPr>
              <w:t>234</w:t>
            </w:r>
          </w:p>
        </w:tc>
        <w:tc>
          <w:tcPr>
            <w:tcW w:w="1037" w:type="dxa"/>
            <w:noWrap/>
            <w:hideMark/>
          </w:tcPr>
          <w:p w14:paraId="29D5899F" w14:textId="77777777" w:rsidR="00CC78CF" w:rsidRPr="00566736" w:rsidRDefault="00CC78CF" w:rsidP="00B873A9">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000000"/>
                <w:sz w:val="18"/>
                <w:szCs w:val="18"/>
              </w:rPr>
            </w:pPr>
            <w:r w:rsidRPr="00566736">
              <w:rPr>
                <w:rFonts w:ascii="Calibri" w:eastAsia="Times New Roman" w:hAnsi="Calibri" w:cs="Arial"/>
                <w:color w:val="000000"/>
                <w:sz w:val="18"/>
                <w:szCs w:val="18"/>
              </w:rPr>
              <w:t>1</w:t>
            </w:r>
            <w:r>
              <w:rPr>
                <w:rFonts w:ascii="Calibri" w:eastAsia="Times New Roman" w:hAnsi="Calibri" w:cs="Arial"/>
                <w:color w:val="000000"/>
                <w:sz w:val="18"/>
                <w:szCs w:val="18"/>
              </w:rPr>
              <w:t>,</w:t>
            </w:r>
            <w:r w:rsidRPr="00566736">
              <w:rPr>
                <w:rFonts w:ascii="Calibri" w:eastAsia="Times New Roman" w:hAnsi="Calibri" w:cs="Arial"/>
                <w:color w:val="000000"/>
                <w:sz w:val="18"/>
                <w:szCs w:val="18"/>
              </w:rPr>
              <w:t>018</w:t>
            </w:r>
          </w:p>
        </w:tc>
        <w:tc>
          <w:tcPr>
            <w:tcW w:w="1038" w:type="dxa"/>
            <w:noWrap/>
            <w:hideMark/>
          </w:tcPr>
          <w:p w14:paraId="000D53BC" w14:textId="77777777" w:rsidR="00CC78CF" w:rsidRPr="00566736" w:rsidRDefault="00CC78CF" w:rsidP="00B873A9">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000000"/>
                <w:sz w:val="18"/>
                <w:szCs w:val="18"/>
              </w:rPr>
            </w:pPr>
            <w:r w:rsidRPr="00566736">
              <w:rPr>
                <w:rFonts w:ascii="Calibri" w:eastAsia="Times New Roman" w:hAnsi="Calibri" w:cs="Arial"/>
                <w:color w:val="000000"/>
                <w:sz w:val="18"/>
                <w:szCs w:val="18"/>
              </w:rPr>
              <w:t>2</w:t>
            </w:r>
            <w:r>
              <w:rPr>
                <w:rFonts w:ascii="Calibri" w:eastAsia="Times New Roman" w:hAnsi="Calibri" w:cs="Arial"/>
                <w:color w:val="000000"/>
                <w:sz w:val="18"/>
                <w:szCs w:val="18"/>
              </w:rPr>
              <w:t>,</w:t>
            </w:r>
            <w:r w:rsidRPr="00566736">
              <w:rPr>
                <w:rFonts w:ascii="Calibri" w:eastAsia="Times New Roman" w:hAnsi="Calibri" w:cs="Arial"/>
                <w:color w:val="000000"/>
                <w:sz w:val="18"/>
                <w:szCs w:val="18"/>
              </w:rPr>
              <w:t>586</w:t>
            </w:r>
          </w:p>
        </w:tc>
        <w:tc>
          <w:tcPr>
            <w:tcW w:w="1037" w:type="dxa"/>
            <w:noWrap/>
            <w:hideMark/>
          </w:tcPr>
          <w:p w14:paraId="1A5204E7" w14:textId="77777777" w:rsidR="00CC78CF" w:rsidRPr="00566736" w:rsidRDefault="00CC78CF" w:rsidP="00B873A9">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000000"/>
                <w:sz w:val="18"/>
                <w:szCs w:val="18"/>
              </w:rPr>
            </w:pPr>
            <w:r w:rsidRPr="00566736">
              <w:rPr>
                <w:rFonts w:ascii="Calibri" w:eastAsia="Times New Roman" w:hAnsi="Calibri" w:cs="Arial"/>
                <w:color w:val="000000"/>
                <w:sz w:val="18"/>
                <w:szCs w:val="18"/>
              </w:rPr>
              <w:t>3</w:t>
            </w:r>
            <w:r>
              <w:rPr>
                <w:rFonts w:ascii="Calibri" w:eastAsia="Times New Roman" w:hAnsi="Calibri" w:cs="Arial"/>
                <w:color w:val="000000"/>
                <w:sz w:val="18"/>
                <w:szCs w:val="18"/>
              </w:rPr>
              <w:t>,</w:t>
            </w:r>
            <w:r w:rsidRPr="00566736">
              <w:rPr>
                <w:rFonts w:ascii="Calibri" w:eastAsia="Times New Roman" w:hAnsi="Calibri" w:cs="Arial"/>
                <w:color w:val="000000"/>
                <w:sz w:val="18"/>
                <w:szCs w:val="18"/>
              </w:rPr>
              <w:t>574</w:t>
            </w:r>
          </w:p>
        </w:tc>
        <w:tc>
          <w:tcPr>
            <w:tcW w:w="1037" w:type="dxa"/>
            <w:noWrap/>
            <w:hideMark/>
          </w:tcPr>
          <w:p w14:paraId="5792CED6" w14:textId="77777777" w:rsidR="00CC78CF" w:rsidRPr="00566736" w:rsidRDefault="00CC78CF" w:rsidP="00B873A9">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000000"/>
                <w:sz w:val="18"/>
                <w:szCs w:val="18"/>
              </w:rPr>
            </w:pPr>
            <w:r w:rsidRPr="00566736">
              <w:rPr>
                <w:rFonts w:ascii="Calibri" w:eastAsia="Times New Roman" w:hAnsi="Calibri" w:cs="Arial"/>
                <w:color w:val="000000"/>
                <w:sz w:val="18"/>
                <w:szCs w:val="18"/>
              </w:rPr>
              <w:t>3</w:t>
            </w:r>
            <w:r>
              <w:rPr>
                <w:rFonts w:ascii="Calibri" w:eastAsia="Times New Roman" w:hAnsi="Calibri" w:cs="Arial"/>
                <w:color w:val="000000"/>
                <w:sz w:val="18"/>
                <w:szCs w:val="18"/>
              </w:rPr>
              <w:t>,</w:t>
            </w:r>
            <w:r w:rsidRPr="00566736">
              <w:rPr>
                <w:rFonts w:ascii="Calibri" w:eastAsia="Times New Roman" w:hAnsi="Calibri" w:cs="Arial"/>
                <w:color w:val="000000"/>
                <w:sz w:val="18"/>
                <w:szCs w:val="18"/>
              </w:rPr>
              <w:t>183</w:t>
            </w:r>
          </w:p>
        </w:tc>
        <w:tc>
          <w:tcPr>
            <w:tcW w:w="1038" w:type="dxa"/>
            <w:noWrap/>
            <w:hideMark/>
          </w:tcPr>
          <w:p w14:paraId="3615C2BA" w14:textId="77777777" w:rsidR="00CC78CF" w:rsidRPr="00566736" w:rsidRDefault="00CC78CF" w:rsidP="00B873A9">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000000"/>
                <w:sz w:val="18"/>
                <w:szCs w:val="18"/>
              </w:rPr>
            </w:pPr>
            <w:r w:rsidRPr="00566736">
              <w:rPr>
                <w:rFonts w:ascii="Calibri" w:eastAsia="Times New Roman" w:hAnsi="Calibri" w:cs="Arial"/>
                <w:color w:val="000000"/>
                <w:sz w:val="18"/>
                <w:szCs w:val="18"/>
              </w:rPr>
              <w:t>1</w:t>
            </w:r>
            <w:r>
              <w:rPr>
                <w:rFonts w:ascii="Calibri" w:eastAsia="Times New Roman" w:hAnsi="Calibri" w:cs="Arial"/>
                <w:color w:val="000000"/>
                <w:sz w:val="18"/>
                <w:szCs w:val="18"/>
              </w:rPr>
              <w:t>,</w:t>
            </w:r>
            <w:r w:rsidRPr="00566736">
              <w:rPr>
                <w:rFonts w:ascii="Calibri" w:eastAsia="Times New Roman" w:hAnsi="Calibri" w:cs="Arial"/>
                <w:color w:val="000000"/>
                <w:sz w:val="18"/>
                <w:szCs w:val="18"/>
              </w:rPr>
              <w:t>265</w:t>
            </w:r>
          </w:p>
        </w:tc>
      </w:tr>
      <w:tr w:rsidR="00CC78CF" w:rsidRPr="00566736" w14:paraId="1234155A" w14:textId="77777777" w:rsidTr="00B873A9">
        <w:trPr>
          <w:cnfStyle w:val="000000010000" w:firstRow="0" w:lastRow="0" w:firstColumn="0" w:lastColumn="0" w:oddVBand="0" w:evenVBand="0" w:oddHBand="0" w:evenHBand="1"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837" w:type="dxa"/>
            <w:noWrap/>
            <w:hideMark/>
          </w:tcPr>
          <w:p w14:paraId="45B0A2BA" w14:textId="77777777" w:rsidR="00CC78CF" w:rsidRPr="00566736" w:rsidRDefault="00CC78CF" w:rsidP="00B873A9">
            <w:pPr>
              <w:pStyle w:val="TableLeft"/>
              <w:rPr>
                <w:color w:val="FF0000"/>
                <w:sz w:val="18"/>
                <w:szCs w:val="18"/>
              </w:rPr>
            </w:pPr>
            <w:r w:rsidRPr="00566736">
              <w:rPr>
                <w:sz w:val="18"/>
                <w:szCs w:val="18"/>
              </w:rPr>
              <w:t xml:space="preserve">Inspections w/ </w:t>
            </w:r>
            <w:r>
              <w:rPr>
                <w:sz w:val="18"/>
                <w:szCs w:val="18"/>
              </w:rPr>
              <w:t>§ </w:t>
            </w:r>
            <w:r w:rsidRPr="00566736">
              <w:rPr>
                <w:sz w:val="18"/>
                <w:szCs w:val="18"/>
              </w:rPr>
              <w:t>3395 violations</w:t>
            </w:r>
            <w:r>
              <w:rPr>
                <w:sz w:val="18"/>
                <w:szCs w:val="18"/>
              </w:rPr>
              <w:t>**</w:t>
            </w:r>
          </w:p>
        </w:tc>
        <w:tc>
          <w:tcPr>
            <w:tcW w:w="1036" w:type="dxa"/>
            <w:noWrap/>
            <w:hideMark/>
          </w:tcPr>
          <w:p w14:paraId="245F9835" w14:textId="77777777" w:rsidR="00CC78CF" w:rsidRPr="00566736" w:rsidRDefault="00CC78CF" w:rsidP="00B873A9">
            <w:pPr>
              <w:spacing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Arial"/>
                <w:color w:val="000000"/>
                <w:sz w:val="18"/>
                <w:szCs w:val="18"/>
              </w:rPr>
            </w:pPr>
            <w:r w:rsidRPr="00566736">
              <w:rPr>
                <w:rFonts w:ascii="Calibri" w:eastAsia="Times New Roman" w:hAnsi="Calibri" w:cs="Arial"/>
                <w:color w:val="000000"/>
                <w:sz w:val="18"/>
                <w:szCs w:val="18"/>
              </w:rPr>
              <w:t>9</w:t>
            </w:r>
          </w:p>
        </w:tc>
        <w:tc>
          <w:tcPr>
            <w:tcW w:w="1037" w:type="dxa"/>
            <w:noWrap/>
            <w:hideMark/>
          </w:tcPr>
          <w:p w14:paraId="025EEC8B" w14:textId="77777777" w:rsidR="00CC78CF" w:rsidRPr="00566736" w:rsidRDefault="00CC78CF" w:rsidP="00B873A9">
            <w:pPr>
              <w:spacing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Arial"/>
                <w:color w:val="000000"/>
                <w:sz w:val="18"/>
                <w:szCs w:val="18"/>
              </w:rPr>
            </w:pPr>
            <w:r w:rsidRPr="00566736">
              <w:rPr>
                <w:rFonts w:ascii="Calibri" w:eastAsia="Times New Roman" w:hAnsi="Calibri" w:cs="Arial"/>
                <w:color w:val="000000"/>
                <w:sz w:val="18"/>
                <w:szCs w:val="18"/>
              </w:rPr>
              <w:t>158</w:t>
            </w:r>
          </w:p>
        </w:tc>
        <w:tc>
          <w:tcPr>
            <w:tcW w:w="1037" w:type="dxa"/>
            <w:noWrap/>
            <w:hideMark/>
          </w:tcPr>
          <w:p w14:paraId="0EA54852" w14:textId="77777777" w:rsidR="00CC78CF" w:rsidRPr="00566736" w:rsidRDefault="00CC78CF" w:rsidP="00B873A9">
            <w:pPr>
              <w:spacing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Arial"/>
                <w:color w:val="000000"/>
                <w:sz w:val="18"/>
                <w:szCs w:val="18"/>
              </w:rPr>
            </w:pPr>
            <w:r w:rsidRPr="00566736">
              <w:rPr>
                <w:rFonts w:ascii="Calibri" w:eastAsia="Times New Roman" w:hAnsi="Calibri" w:cs="Arial"/>
                <w:color w:val="000000"/>
                <w:sz w:val="18"/>
                <w:szCs w:val="18"/>
              </w:rPr>
              <w:t>490</w:t>
            </w:r>
          </w:p>
        </w:tc>
        <w:tc>
          <w:tcPr>
            <w:tcW w:w="1038" w:type="dxa"/>
            <w:noWrap/>
            <w:hideMark/>
          </w:tcPr>
          <w:p w14:paraId="75D431A1" w14:textId="77777777" w:rsidR="00CC78CF" w:rsidRPr="00566736" w:rsidRDefault="00CC78CF" w:rsidP="00B873A9">
            <w:pPr>
              <w:spacing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Arial"/>
                <w:color w:val="000000"/>
                <w:sz w:val="18"/>
                <w:szCs w:val="18"/>
              </w:rPr>
            </w:pPr>
            <w:r w:rsidRPr="00566736">
              <w:rPr>
                <w:rFonts w:ascii="Calibri" w:eastAsia="Times New Roman" w:hAnsi="Calibri" w:cs="Arial"/>
                <w:color w:val="000000"/>
                <w:sz w:val="18"/>
                <w:szCs w:val="18"/>
              </w:rPr>
              <w:t>899</w:t>
            </w:r>
          </w:p>
        </w:tc>
        <w:tc>
          <w:tcPr>
            <w:tcW w:w="1037" w:type="dxa"/>
            <w:noWrap/>
            <w:hideMark/>
          </w:tcPr>
          <w:p w14:paraId="6880D509" w14:textId="77777777" w:rsidR="00CC78CF" w:rsidRPr="00566736" w:rsidRDefault="00CC78CF" w:rsidP="00B873A9">
            <w:pPr>
              <w:spacing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Arial"/>
                <w:color w:val="000000"/>
                <w:sz w:val="18"/>
                <w:szCs w:val="18"/>
              </w:rPr>
            </w:pPr>
            <w:r w:rsidRPr="00566736">
              <w:rPr>
                <w:rFonts w:ascii="Calibri" w:eastAsia="Times New Roman" w:hAnsi="Calibri" w:cs="Arial"/>
                <w:color w:val="000000"/>
                <w:sz w:val="18"/>
                <w:szCs w:val="18"/>
              </w:rPr>
              <w:t>935</w:t>
            </w:r>
          </w:p>
        </w:tc>
        <w:tc>
          <w:tcPr>
            <w:tcW w:w="1037" w:type="dxa"/>
            <w:noWrap/>
            <w:hideMark/>
          </w:tcPr>
          <w:p w14:paraId="3179BB86" w14:textId="77777777" w:rsidR="00CC78CF" w:rsidRPr="00566736" w:rsidRDefault="00CC78CF" w:rsidP="00B873A9">
            <w:pPr>
              <w:spacing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Arial"/>
                <w:color w:val="000000"/>
                <w:sz w:val="18"/>
                <w:szCs w:val="18"/>
              </w:rPr>
            </w:pPr>
            <w:r w:rsidRPr="00566736">
              <w:rPr>
                <w:rFonts w:ascii="Calibri" w:eastAsia="Times New Roman" w:hAnsi="Calibri" w:cs="Arial"/>
                <w:color w:val="000000"/>
                <w:sz w:val="18"/>
                <w:szCs w:val="18"/>
              </w:rPr>
              <w:t>788</w:t>
            </w:r>
          </w:p>
        </w:tc>
        <w:tc>
          <w:tcPr>
            <w:tcW w:w="1038" w:type="dxa"/>
            <w:noWrap/>
            <w:hideMark/>
          </w:tcPr>
          <w:p w14:paraId="261BC3D2" w14:textId="77777777" w:rsidR="00CC78CF" w:rsidRPr="00566736" w:rsidRDefault="00CC78CF" w:rsidP="00B873A9">
            <w:pPr>
              <w:spacing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Arial"/>
                <w:color w:val="000000"/>
                <w:sz w:val="18"/>
                <w:szCs w:val="18"/>
              </w:rPr>
            </w:pPr>
            <w:r w:rsidRPr="00566736">
              <w:rPr>
                <w:rFonts w:ascii="Calibri" w:eastAsia="Times New Roman" w:hAnsi="Calibri" w:cs="Arial"/>
                <w:color w:val="000000"/>
                <w:sz w:val="18"/>
                <w:szCs w:val="18"/>
              </w:rPr>
              <w:t>195</w:t>
            </w:r>
          </w:p>
        </w:tc>
      </w:tr>
      <w:tr w:rsidR="00CC78CF" w:rsidRPr="00566736" w14:paraId="03E334A4" w14:textId="77777777" w:rsidTr="00B873A9">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837" w:type="dxa"/>
            <w:noWrap/>
            <w:hideMark/>
          </w:tcPr>
          <w:p w14:paraId="7323CACD" w14:textId="77777777" w:rsidR="00CC78CF" w:rsidRPr="00566736" w:rsidRDefault="00CC78CF" w:rsidP="00B873A9">
            <w:pPr>
              <w:pStyle w:val="TableLeft"/>
              <w:rPr>
                <w:color w:val="0000FF"/>
                <w:sz w:val="18"/>
                <w:szCs w:val="18"/>
              </w:rPr>
            </w:pPr>
            <w:r>
              <w:rPr>
                <w:sz w:val="18"/>
                <w:szCs w:val="18"/>
              </w:rPr>
              <w:t>Citations for v</w:t>
            </w:r>
            <w:r w:rsidRPr="00566736">
              <w:rPr>
                <w:sz w:val="18"/>
                <w:szCs w:val="18"/>
              </w:rPr>
              <w:t xml:space="preserve">iolations </w:t>
            </w:r>
            <w:r>
              <w:rPr>
                <w:sz w:val="18"/>
                <w:szCs w:val="18"/>
              </w:rPr>
              <w:t>of § 3395</w:t>
            </w:r>
          </w:p>
        </w:tc>
        <w:tc>
          <w:tcPr>
            <w:tcW w:w="1036" w:type="dxa"/>
            <w:noWrap/>
            <w:hideMark/>
          </w:tcPr>
          <w:p w14:paraId="3F2801A6" w14:textId="77777777" w:rsidR="00CC78CF" w:rsidRPr="00566736" w:rsidRDefault="00CC78CF" w:rsidP="00B873A9">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000000"/>
                <w:sz w:val="18"/>
                <w:szCs w:val="18"/>
              </w:rPr>
            </w:pPr>
            <w:r w:rsidRPr="00566736">
              <w:rPr>
                <w:rFonts w:ascii="Calibri" w:eastAsia="Times New Roman" w:hAnsi="Calibri" w:cs="Arial"/>
                <w:color w:val="000000"/>
                <w:sz w:val="18"/>
                <w:szCs w:val="18"/>
              </w:rPr>
              <w:t>2</w:t>
            </w:r>
          </w:p>
        </w:tc>
        <w:tc>
          <w:tcPr>
            <w:tcW w:w="1037" w:type="dxa"/>
            <w:noWrap/>
            <w:hideMark/>
          </w:tcPr>
          <w:p w14:paraId="7CD41BC9" w14:textId="77777777" w:rsidR="00CC78CF" w:rsidRPr="00566736" w:rsidRDefault="00CC78CF" w:rsidP="00B873A9">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000000"/>
                <w:sz w:val="18"/>
                <w:szCs w:val="18"/>
              </w:rPr>
            </w:pPr>
            <w:r w:rsidRPr="00566736">
              <w:rPr>
                <w:rFonts w:ascii="Calibri" w:eastAsia="Times New Roman" w:hAnsi="Calibri" w:cs="Arial"/>
                <w:color w:val="000000"/>
                <w:sz w:val="18"/>
                <w:szCs w:val="18"/>
              </w:rPr>
              <w:t>136</w:t>
            </w:r>
          </w:p>
        </w:tc>
        <w:tc>
          <w:tcPr>
            <w:tcW w:w="1037" w:type="dxa"/>
            <w:noWrap/>
            <w:hideMark/>
          </w:tcPr>
          <w:p w14:paraId="703AF018" w14:textId="77777777" w:rsidR="00CC78CF" w:rsidRPr="00566736" w:rsidRDefault="00CC78CF" w:rsidP="00B873A9">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000000"/>
                <w:sz w:val="18"/>
                <w:szCs w:val="18"/>
              </w:rPr>
            </w:pPr>
            <w:r w:rsidRPr="00566736">
              <w:rPr>
                <w:rFonts w:ascii="Calibri" w:eastAsia="Times New Roman" w:hAnsi="Calibri" w:cs="Arial"/>
                <w:color w:val="000000"/>
                <w:sz w:val="18"/>
                <w:szCs w:val="18"/>
              </w:rPr>
              <w:t>614</w:t>
            </w:r>
          </w:p>
        </w:tc>
        <w:tc>
          <w:tcPr>
            <w:tcW w:w="1038" w:type="dxa"/>
            <w:noWrap/>
            <w:hideMark/>
          </w:tcPr>
          <w:p w14:paraId="2019AF26" w14:textId="77777777" w:rsidR="00CC78CF" w:rsidRPr="00566736" w:rsidRDefault="00CC78CF" w:rsidP="00B873A9">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000000"/>
                <w:sz w:val="18"/>
                <w:szCs w:val="18"/>
              </w:rPr>
            </w:pPr>
            <w:r w:rsidRPr="00566736">
              <w:rPr>
                <w:rFonts w:ascii="Calibri" w:eastAsia="Times New Roman" w:hAnsi="Calibri" w:cs="Arial"/>
                <w:color w:val="000000"/>
                <w:sz w:val="18"/>
                <w:szCs w:val="18"/>
              </w:rPr>
              <w:t>1</w:t>
            </w:r>
            <w:r>
              <w:rPr>
                <w:rFonts w:ascii="Calibri" w:eastAsia="Times New Roman" w:hAnsi="Calibri" w:cs="Arial"/>
                <w:color w:val="000000"/>
                <w:sz w:val="18"/>
                <w:szCs w:val="18"/>
              </w:rPr>
              <w:t>,</w:t>
            </w:r>
            <w:r w:rsidRPr="00566736">
              <w:rPr>
                <w:rFonts w:ascii="Calibri" w:eastAsia="Times New Roman" w:hAnsi="Calibri" w:cs="Arial"/>
                <w:color w:val="000000"/>
                <w:sz w:val="18"/>
                <w:szCs w:val="18"/>
              </w:rPr>
              <w:t>121</w:t>
            </w:r>
          </w:p>
        </w:tc>
        <w:tc>
          <w:tcPr>
            <w:tcW w:w="1037" w:type="dxa"/>
            <w:noWrap/>
            <w:hideMark/>
          </w:tcPr>
          <w:p w14:paraId="146103F9" w14:textId="77777777" w:rsidR="00CC78CF" w:rsidRPr="00566736" w:rsidRDefault="00CC78CF" w:rsidP="00B873A9">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000000"/>
                <w:sz w:val="18"/>
                <w:szCs w:val="18"/>
              </w:rPr>
            </w:pPr>
            <w:r w:rsidRPr="00566736">
              <w:rPr>
                <w:rFonts w:ascii="Calibri" w:eastAsia="Times New Roman" w:hAnsi="Calibri" w:cs="Arial"/>
                <w:color w:val="000000"/>
                <w:sz w:val="18"/>
                <w:szCs w:val="18"/>
              </w:rPr>
              <w:t>1</w:t>
            </w:r>
            <w:r>
              <w:rPr>
                <w:rFonts w:ascii="Calibri" w:eastAsia="Times New Roman" w:hAnsi="Calibri" w:cs="Arial"/>
                <w:color w:val="000000"/>
                <w:sz w:val="18"/>
                <w:szCs w:val="18"/>
              </w:rPr>
              <w:t>,</w:t>
            </w:r>
            <w:r w:rsidRPr="00566736">
              <w:rPr>
                <w:rFonts w:ascii="Calibri" w:eastAsia="Times New Roman" w:hAnsi="Calibri" w:cs="Arial"/>
                <w:color w:val="000000"/>
                <w:sz w:val="18"/>
                <w:szCs w:val="18"/>
              </w:rPr>
              <w:t>163</w:t>
            </w:r>
          </w:p>
        </w:tc>
        <w:tc>
          <w:tcPr>
            <w:tcW w:w="1037" w:type="dxa"/>
            <w:noWrap/>
            <w:hideMark/>
          </w:tcPr>
          <w:p w14:paraId="68E21FA7" w14:textId="77777777" w:rsidR="00CC78CF" w:rsidRPr="00566736" w:rsidRDefault="00CC78CF" w:rsidP="00B873A9">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000000"/>
                <w:sz w:val="18"/>
                <w:szCs w:val="18"/>
              </w:rPr>
            </w:pPr>
            <w:r w:rsidRPr="00566736">
              <w:rPr>
                <w:rFonts w:ascii="Calibri" w:eastAsia="Times New Roman" w:hAnsi="Calibri" w:cs="Arial"/>
                <w:color w:val="000000"/>
                <w:sz w:val="18"/>
                <w:szCs w:val="18"/>
              </w:rPr>
              <w:t>957</w:t>
            </w:r>
          </w:p>
        </w:tc>
        <w:tc>
          <w:tcPr>
            <w:tcW w:w="1038" w:type="dxa"/>
            <w:noWrap/>
            <w:hideMark/>
          </w:tcPr>
          <w:p w14:paraId="45E52C59" w14:textId="77777777" w:rsidR="00CC78CF" w:rsidRPr="00566736" w:rsidRDefault="00CC78CF" w:rsidP="00B873A9">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000000"/>
                <w:sz w:val="18"/>
                <w:szCs w:val="18"/>
              </w:rPr>
            </w:pPr>
            <w:r w:rsidRPr="00566736">
              <w:rPr>
                <w:rFonts w:ascii="Calibri" w:eastAsia="Times New Roman" w:hAnsi="Calibri" w:cs="Arial"/>
                <w:color w:val="000000"/>
                <w:sz w:val="18"/>
                <w:szCs w:val="18"/>
              </w:rPr>
              <w:t>349</w:t>
            </w:r>
          </w:p>
        </w:tc>
      </w:tr>
      <w:tr w:rsidR="00CC78CF" w:rsidRPr="00566736" w14:paraId="1D3127C1" w14:textId="77777777" w:rsidTr="00B873A9">
        <w:trPr>
          <w:cnfStyle w:val="000000010000" w:firstRow="0" w:lastRow="0" w:firstColumn="0" w:lastColumn="0" w:oddVBand="0" w:evenVBand="0" w:oddHBand="0" w:evenHBand="1"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837" w:type="dxa"/>
            <w:noWrap/>
            <w:hideMark/>
          </w:tcPr>
          <w:p w14:paraId="3E67370B" w14:textId="77777777" w:rsidR="00CC78CF" w:rsidRPr="00566736" w:rsidRDefault="00CC78CF" w:rsidP="00B873A9">
            <w:pPr>
              <w:pStyle w:val="TableLeft"/>
              <w:rPr>
                <w:sz w:val="18"/>
                <w:szCs w:val="18"/>
              </w:rPr>
            </w:pPr>
            <w:r>
              <w:rPr>
                <w:sz w:val="18"/>
                <w:szCs w:val="18"/>
              </w:rPr>
              <w:t>Assessed initial penalties</w:t>
            </w:r>
          </w:p>
        </w:tc>
        <w:tc>
          <w:tcPr>
            <w:tcW w:w="1036" w:type="dxa"/>
            <w:noWrap/>
            <w:hideMark/>
          </w:tcPr>
          <w:p w14:paraId="18B77512" w14:textId="77777777" w:rsidR="00CC78CF" w:rsidRPr="00566736" w:rsidRDefault="00CC78CF" w:rsidP="00B873A9">
            <w:pPr>
              <w:spacing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Arial"/>
                <w:color w:val="000000"/>
                <w:sz w:val="18"/>
                <w:szCs w:val="18"/>
              </w:rPr>
            </w:pPr>
            <w:r w:rsidRPr="00566736">
              <w:rPr>
                <w:rFonts w:ascii="Calibri" w:eastAsia="Times New Roman" w:hAnsi="Calibri" w:cs="Arial"/>
                <w:color w:val="000000"/>
                <w:sz w:val="18"/>
                <w:szCs w:val="18"/>
              </w:rPr>
              <w:t xml:space="preserve">$7,085 </w:t>
            </w:r>
          </w:p>
        </w:tc>
        <w:tc>
          <w:tcPr>
            <w:tcW w:w="1037" w:type="dxa"/>
            <w:noWrap/>
            <w:hideMark/>
          </w:tcPr>
          <w:p w14:paraId="5112DF5F" w14:textId="77777777" w:rsidR="00CC78CF" w:rsidRPr="00566736" w:rsidRDefault="00CC78CF" w:rsidP="00B873A9">
            <w:pPr>
              <w:spacing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Arial"/>
                <w:color w:val="000000"/>
                <w:sz w:val="18"/>
                <w:szCs w:val="18"/>
              </w:rPr>
            </w:pPr>
            <w:r w:rsidRPr="00566736">
              <w:rPr>
                <w:rFonts w:ascii="Calibri" w:eastAsia="Times New Roman" w:hAnsi="Calibri" w:cs="Arial"/>
                <w:color w:val="000000"/>
                <w:sz w:val="18"/>
                <w:szCs w:val="18"/>
              </w:rPr>
              <w:t xml:space="preserve">$535,140 </w:t>
            </w:r>
          </w:p>
        </w:tc>
        <w:tc>
          <w:tcPr>
            <w:tcW w:w="1037" w:type="dxa"/>
            <w:noWrap/>
            <w:hideMark/>
          </w:tcPr>
          <w:p w14:paraId="5C102351" w14:textId="77777777" w:rsidR="00CC78CF" w:rsidRPr="00566736" w:rsidRDefault="00CC78CF" w:rsidP="00B873A9">
            <w:pPr>
              <w:spacing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Arial"/>
                <w:color w:val="000000"/>
                <w:sz w:val="18"/>
                <w:szCs w:val="18"/>
              </w:rPr>
            </w:pPr>
            <w:r w:rsidRPr="00566736">
              <w:rPr>
                <w:rFonts w:ascii="Calibri" w:eastAsia="Times New Roman" w:hAnsi="Calibri" w:cs="Arial"/>
                <w:color w:val="000000"/>
                <w:sz w:val="18"/>
                <w:szCs w:val="18"/>
              </w:rPr>
              <w:t xml:space="preserve">$822,990 </w:t>
            </w:r>
          </w:p>
        </w:tc>
        <w:tc>
          <w:tcPr>
            <w:tcW w:w="1038" w:type="dxa"/>
            <w:noWrap/>
            <w:hideMark/>
          </w:tcPr>
          <w:p w14:paraId="7227B22A" w14:textId="77777777" w:rsidR="00CC78CF" w:rsidRPr="00566736" w:rsidRDefault="00CC78CF" w:rsidP="00B873A9">
            <w:pPr>
              <w:spacing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Arial"/>
                <w:color w:val="000000"/>
                <w:sz w:val="18"/>
                <w:szCs w:val="18"/>
              </w:rPr>
            </w:pPr>
            <w:r w:rsidRPr="00566736">
              <w:rPr>
                <w:rFonts w:ascii="Calibri" w:eastAsia="Times New Roman" w:hAnsi="Calibri" w:cs="Arial"/>
                <w:color w:val="000000"/>
                <w:sz w:val="18"/>
                <w:szCs w:val="18"/>
              </w:rPr>
              <w:t xml:space="preserve">$1,775,071 </w:t>
            </w:r>
          </w:p>
        </w:tc>
        <w:tc>
          <w:tcPr>
            <w:tcW w:w="1037" w:type="dxa"/>
            <w:noWrap/>
            <w:hideMark/>
          </w:tcPr>
          <w:p w14:paraId="77EAE9FE" w14:textId="77777777" w:rsidR="00CC78CF" w:rsidRPr="00566736" w:rsidRDefault="00CC78CF" w:rsidP="00B873A9">
            <w:pPr>
              <w:spacing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Arial"/>
                <w:color w:val="000000"/>
                <w:sz w:val="18"/>
                <w:szCs w:val="18"/>
              </w:rPr>
            </w:pPr>
            <w:r w:rsidRPr="00566736">
              <w:rPr>
                <w:rFonts w:ascii="Calibri" w:eastAsia="Times New Roman" w:hAnsi="Calibri" w:cs="Arial"/>
                <w:color w:val="000000"/>
                <w:sz w:val="18"/>
                <w:szCs w:val="18"/>
              </w:rPr>
              <w:t xml:space="preserve">$1,041,527 </w:t>
            </w:r>
          </w:p>
        </w:tc>
        <w:tc>
          <w:tcPr>
            <w:tcW w:w="1037" w:type="dxa"/>
            <w:noWrap/>
            <w:hideMark/>
          </w:tcPr>
          <w:p w14:paraId="0A1FB554" w14:textId="77777777" w:rsidR="00CC78CF" w:rsidRPr="00566736" w:rsidRDefault="00CC78CF" w:rsidP="00B873A9">
            <w:pPr>
              <w:spacing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Arial"/>
                <w:color w:val="000000"/>
                <w:sz w:val="18"/>
                <w:szCs w:val="18"/>
              </w:rPr>
            </w:pPr>
            <w:r w:rsidRPr="00566736">
              <w:rPr>
                <w:rFonts w:ascii="Calibri" w:eastAsia="Times New Roman" w:hAnsi="Calibri" w:cs="Arial"/>
                <w:color w:val="000000"/>
                <w:sz w:val="18"/>
                <w:szCs w:val="18"/>
              </w:rPr>
              <w:t xml:space="preserve">$578,995 </w:t>
            </w:r>
          </w:p>
        </w:tc>
        <w:tc>
          <w:tcPr>
            <w:tcW w:w="1038" w:type="dxa"/>
            <w:noWrap/>
            <w:hideMark/>
          </w:tcPr>
          <w:p w14:paraId="7D7C1B53" w14:textId="77777777" w:rsidR="00CC78CF" w:rsidRPr="00566736" w:rsidRDefault="00CC78CF" w:rsidP="00B873A9">
            <w:pPr>
              <w:spacing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Arial"/>
                <w:color w:val="000000"/>
                <w:sz w:val="18"/>
                <w:szCs w:val="18"/>
              </w:rPr>
            </w:pPr>
            <w:r w:rsidRPr="00566736">
              <w:rPr>
                <w:rFonts w:ascii="Calibri" w:eastAsia="Times New Roman" w:hAnsi="Calibri" w:cs="Arial"/>
                <w:color w:val="000000"/>
                <w:sz w:val="18"/>
                <w:szCs w:val="18"/>
              </w:rPr>
              <w:t xml:space="preserve">$152,890 </w:t>
            </w:r>
          </w:p>
        </w:tc>
      </w:tr>
      <w:tr w:rsidR="00CC78CF" w:rsidRPr="00566736" w14:paraId="601EEEA1" w14:textId="77777777" w:rsidTr="00B873A9">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837" w:type="dxa"/>
            <w:noWrap/>
            <w:hideMark/>
          </w:tcPr>
          <w:p w14:paraId="01CEE079" w14:textId="77777777" w:rsidR="00CC78CF" w:rsidRPr="00566736" w:rsidRDefault="00CC78CF" w:rsidP="00B873A9">
            <w:pPr>
              <w:pStyle w:val="TableLeft"/>
              <w:rPr>
                <w:sz w:val="18"/>
                <w:szCs w:val="18"/>
              </w:rPr>
            </w:pPr>
            <w:r w:rsidRPr="00566736">
              <w:rPr>
                <w:sz w:val="18"/>
                <w:szCs w:val="18"/>
              </w:rPr>
              <w:t>Heat outreach (enforcement</w:t>
            </w:r>
            <w:r>
              <w:rPr>
                <w:sz w:val="18"/>
                <w:szCs w:val="18"/>
              </w:rPr>
              <w:t xml:space="preserve">, </w:t>
            </w:r>
            <w:r w:rsidRPr="00566736">
              <w:rPr>
                <w:sz w:val="18"/>
                <w:szCs w:val="18"/>
              </w:rPr>
              <w:t>consultation)</w:t>
            </w:r>
            <w:r w:rsidRPr="00566736">
              <w:rPr>
                <w:b/>
                <w:bCs/>
                <w:sz w:val="18"/>
                <w:szCs w:val="18"/>
              </w:rPr>
              <w:t>***</w:t>
            </w:r>
          </w:p>
        </w:tc>
        <w:tc>
          <w:tcPr>
            <w:tcW w:w="1036" w:type="dxa"/>
            <w:noWrap/>
            <w:hideMark/>
          </w:tcPr>
          <w:p w14:paraId="78862EC3" w14:textId="77777777" w:rsidR="00CC78CF" w:rsidRPr="00566736" w:rsidRDefault="00CC78CF" w:rsidP="00B873A9">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000000"/>
                <w:sz w:val="18"/>
                <w:szCs w:val="18"/>
              </w:rPr>
            </w:pPr>
            <w:r w:rsidRPr="00566736">
              <w:rPr>
                <w:rFonts w:ascii="Calibri" w:eastAsia="Times New Roman" w:hAnsi="Calibri" w:cs="Arial"/>
                <w:color w:val="000000"/>
                <w:sz w:val="18"/>
                <w:szCs w:val="18"/>
              </w:rPr>
              <w:t>14</w:t>
            </w:r>
          </w:p>
        </w:tc>
        <w:tc>
          <w:tcPr>
            <w:tcW w:w="1037" w:type="dxa"/>
            <w:noWrap/>
            <w:hideMark/>
          </w:tcPr>
          <w:p w14:paraId="4EBCE082" w14:textId="77777777" w:rsidR="00CC78CF" w:rsidRPr="00566736" w:rsidRDefault="00CC78CF" w:rsidP="00B873A9">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000000"/>
                <w:sz w:val="18"/>
                <w:szCs w:val="18"/>
              </w:rPr>
            </w:pPr>
            <w:r w:rsidRPr="00566736">
              <w:rPr>
                <w:rFonts w:ascii="Calibri" w:eastAsia="Times New Roman" w:hAnsi="Calibri" w:cs="Arial"/>
                <w:color w:val="000000"/>
                <w:sz w:val="18"/>
                <w:szCs w:val="18"/>
              </w:rPr>
              <w:t>96</w:t>
            </w:r>
          </w:p>
        </w:tc>
        <w:tc>
          <w:tcPr>
            <w:tcW w:w="1037" w:type="dxa"/>
            <w:noWrap/>
            <w:hideMark/>
          </w:tcPr>
          <w:p w14:paraId="3EFDBAC3" w14:textId="77777777" w:rsidR="00CC78CF" w:rsidRPr="00566736" w:rsidRDefault="00CC78CF" w:rsidP="00B873A9">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000000"/>
                <w:sz w:val="18"/>
                <w:szCs w:val="18"/>
              </w:rPr>
            </w:pPr>
            <w:r w:rsidRPr="00566736">
              <w:rPr>
                <w:rFonts w:ascii="Calibri" w:eastAsia="Times New Roman" w:hAnsi="Calibri" w:cs="Arial"/>
                <w:color w:val="000000"/>
                <w:sz w:val="18"/>
                <w:szCs w:val="18"/>
              </w:rPr>
              <w:t>284</w:t>
            </w:r>
          </w:p>
        </w:tc>
        <w:tc>
          <w:tcPr>
            <w:tcW w:w="1038" w:type="dxa"/>
            <w:noWrap/>
            <w:hideMark/>
          </w:tcPr>
          <w:p w14:paraId="26F29505" w14:textId="77777777" w:rsidR="00CC78CF" w:rsidRPr="00566736" w:rsidRDefault="00CC78CF" w:rsidP="00B873A9">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000000"/>
                <w:sz w:val="18"/>
                <w:szCs w:val="18"/>
              </w:rPr>
            </w:pPr>
            <w:r w:rsidRPr="00566736">
              <w:rPr>
                <w:rFonts w:ascii="Calibri" w:eastAsia="Times New Roman" w:hAnsi="Calibri" w:cs="Arial"/>
                <w:color w:val="000000"/>
                <w:sz w:val="18"/>
                <w:szCs w:val="18"/>
              </w:rPr>
              <w:t>1</w:t>
            </w:r>
            <w:r>
              <w:rPr>
                <w:rFonts w:ascii="Calibri" w:eastAsia="Times New Roman" w:hAnsi="Calibri" w:cs="Arial"/>
                <w:color w:val="000000"/>
                <w:sz w:val="18"/>
                <w:szCs w:val="18"/>
              </w:rPr>
              <w:t>,</w:t>
            </w:r>
            <w:r w:rsidRPr="00566736">
              <w:rPr>
                <w:rFonts w:ascii="Calibri" w:eastAsia="Times New Roman" w:hAnsi="Calibri" w:cs="Arial"/>
                <w:color w:val="000000"/>
                <w:sz w:val="18"/>
                <w:szCs w:val="18"/>
              </w:rPr>
              <w:t>145</w:t>
            </w:r>
          </w:p>
        </w:tc>
        <w:tc>
          <w:tcPr>
            <w:tcW w:w="1037" w:type="dxa"/>
            <w:noWrap/>
            <w:hideMark/>
          </w:tcPr>
          <w:p w14:paraId="434BB3E9" w14:textId="77777777" w:rsidR="00CC78CF" w:rsidRPr="00566736" w:rsidRDefault="00CC78CF" w:rsidP="00B873A9">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000000"/>
                <w:sz w:val="18"/>
                <w:szCs w:val="18"/>
              </w:rPr>
            </w:pPr>
            <w:r w:rsidRPr="00566736">
              <w:rPr>
                <w:rFonts w:ascii="Calibri" w:eastAsia="Times New Roman" w:hAnsi="Calibri" w:cs="Arial"/>
                <w:color w:val="000000"/>
                <w:sz w:val="18"/>
                <w:szCs w:val="18"/>
              </w:rPr>
              <w:t>2</w:t>
            </w:r>
            <w:r>
              <w:rPr>
                <w:rFonts w:ascii="Calibri" w:eastAsia="Times New Roman" w:hAnsi="Calibri" w:cs="Arial"/>
                <w:color w:val="000000"/>
                <w:sz w:val="18"/>
                <w:szCs w:val="18"/>
              </w:rPr>
              <w:t>,</w:t>
            </w:r>
            <w:r w:rsidRPr="00566736">
              <w:rPr>
                <w:rFonts w:ascii="Calibri" w:eastAsia="Times New Roman" w:hAnsi="Calibri" w:cs="Arial"/>
                <w:color w:val="000000"/>
                <w:sz w:val="18"/>
                <w:szCs w:val="18"/>
              </w:rPr>
              <w:t>562</w:t>
            </w:r>
          </w:p>
        </w:tc>
        <w:tc>
          <w:tcPr>
            <w:tcW w:w="1037" w:type="dxa"/>
            <w:noWrap/>
            <w:hideMark/>
          </w:tcPr>
          <w:p w14:paraId="4A41DC58" w14:textId="77777777" w:rsidR="00CC78CF" w:rsidRPr="00566736" w:rsidRDefault="00CC78CF" w:rsidP="00B873A9">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000000"/>
                <w:sz w:val="18"/>
                <w:szCs w:val="18"/>
              </w:rPr>
            </w:pPr>
            <w:r w:rsidRPr="00566736">
              <w:rPr>
                <w:rFonts w:ascii="Calibri" w:eastAsia="Times New Roman" w:hAnsi="Calibri" w:cs="Arial"/>
                <w:color w:val="000000"/>
                <w:sz w:val="18"/>
                <w:szCs w:val="18"/>
              </w:rPr>
              <w:t>2</w:t>
            </w:r>
            <w:r>
              <w:rPr>
                <w:rFonts w:ascii="Calibri" w:eastAsia="Times New Roman" w:hAnsi="Calibri" w:cs="Arial"/>
                <w:color w:val="000000"/>
                <w:sz w:val="18"/>
                <w:szCs w:val="18"/>
              </w:rPr>
              <w:t>,</w:t>
            </w:r>
            <w:r w:rsidRPr="00566736">
              <w:rPr>
                <w:rFonts w:ascii="Calibri" w:eastAsia="Times New Roman" w:hAnsi="Calibri" w:cs="Arial"/>
                <w:color w:val="000000"/>
                <w:sz w:val="18"/>
                <w:szCs w:val="18"/>
              </w:rPr>
              <w:t>482</w:t>
            </w:r>
          </w:p>
        </w:tc>
        <w:tc>
          <w:tcPr>
            <w:tcW w:w="1038" w:type="dxa"/>
            <w:noWrap/>
            <w:hideMark/>
          </w:tcPr>
          <w:p w14:paraId="5BAEE89E" w14:textId="77777777" w:rsidR="00CC78CF" w:rsidRPr="00566736" w:rsidRDefault="00CC78CF" w:rsidP="00B873A9">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000000"/>
                <w:sz w:val="18"/>
                <w:szCs w:val="18"/>
              </w:rPr>
            </w:pPr>
            <w:r w:rsidRPr="00566736">
              <w:rPr>
                <w:rFonts w:ascii="Calibri" w:eastAsia="Times New Roman" w:hAnsi="Calibri" w:cs="Arial"/>
                <w:color w:val="000000"/>
                <w:sz w:val="18"/>
                <w:szCs w:val="18"/>
              </w:rPr>
              <w:t>1</w:t>
            </w:r>
            <w:r>
              <w:rPr>
                <w:rFonts w:ascii="Calibri" w:eastAsia="Times New Roman" w:hAnsi="Calibri" w:cs="Arial"/>
                <w:color w:val="000000"/>
                <w:sz w:val="18"/>
                <w:szCs w:val="18"/>
              </w:rPr>
              <w:t>,</w:t>
            </w:r>
            <w:r w:rsidRPr="00566736">
              <w:rPr>
                <w:rFonts w:ascii="Calibri" w:eastAsia="Times New Roman" w:hAnsi="Calibri" w:cs="Arial"/>
                <w:color w:val="000000"/>
                <w:sz w:val="18"/>
                <w:szCs w:val="18"/>
              </w:rPr>
              <w:t>065</w:t>
            </w:r>
          </w:p>
        </w:tc>
      </w:tr>
    </w:tbl>
    <w:p w14:paraId="1DB592A6" w14:textId="77777777" w:rsidR="00CC78CF" w:rsidRDefault="00CC78CF" w:rsidP="00CC78CF">
      <w:pPr>
        <w:pStyle w:val="Asterisks"/>
      </w:pPr>
      <w:r w:rsidRPr="002F64A6">
        <w:t xml:space="preserve">* Inspections </w:t>
      </w:r>
      <w:r>
        <w:t>“</w:t>
      </w:r>
      <w:r w:rsidRPr="002F64A6">
        <w:t>coded S 18 Heat</w:t>
      </w:r>
      <w:r>
        <w:t>”</w:t>
      </w:r>
      <w:r w:rsidRPr="002F64A6">
        <w:t xml:space="preserve"> refer to t</w:t>
      </w:r>
      <w:r>
        <w:t>he total number of inspections.</w:t>
      </w:r>
    </w:p>
    <w:p w14:paraId="59C79CF4" w14:textId="77777777" w:rsidR="00CC78CF" w:rsidRPr="002F64A6" w:rsidRDefault="00CC78CF" w:rsidP="00CC78CF">
      <w:pPr>
        <w:pStyle w:val="Asterisks"/>
      </w:pPr>
      <w:r>
        <w:t xml:space="preserve">** </w:t>
      </w:r>
      <w:r w:rsidRPr="002F64A6">
        <w:t xml:space="preserve">Inspections resulting in at least one violation of the heat standard (§ 3395). The number of </w:t>
      </w:r>
      <w:r>
        <w:t>§ </w:t>
      </w:r>
      <w:r w:rsidRPr="002F64A6">
        <w:t xml:space="preserve">3395 violations cited is generally higher than the number of inspections with 3395 violations, </w:t>
      </w:r>
      <w:r>
        <w:t>a single inspection may yield multiple citations. For some years, the number of citations is lower than inspections due to a time lag between inspections and citations</w:t>
      </w:r>
      <w:r w:rsidRPr="002F64A6">
        <w:t>.</w:t>
      </w:r>
    </w:p>
    <w:p w14:paraId="59DD34C0" w14:textId="77777777" w:rsidR="00CC78CF" w:rsidRPr="002F64A6" w:rsidRDefault="00CC78CF" w:rsidP="00CC78CF">
      <w:pPr>
        <w:pStyle w:val="Asterisks"/>
      </w:pPr>
      <w:r w:rsidRPr="002F64A6">
        <w:t>*** Cal/OSHA Consultation heat illness outreach activities for CY 2008–2011 include workshops, seminars, training related to on-sites, etc.</w:t>
      </w:r>
    </w:p>
    <w:p w14:paraId="163D8A1C" w14:textId="1D989750" w:rsidR="00CC78CF" w:rsidRPr="002F64A6" w:rsidRDefault="00CC78CF" w:rsidP="00CC78CF">
      <w:r w:rsidRPr="002F64A6">
        <w:t xml:space="preserve">Despite the absence of a federal heat standard, OSHA can cite companies for heat stress violations under its General Duty Clause (GDC). As seen in </w:t>
      </w:r>
      <w:r w:rsidRPr="002F64A6">
        <w:fldChar w:fldCharType="begin"/>
      </w:r>
      <w:r w:rsidRPr="002F64A6">
        <w:instrText xml:space="preserve"> REF _Ref514878675 \h  \* MERGEFORMAT </w:instrText>
      </w:r>
      <w:r w:rsidRPr="002F64A6">
        <w:fldChar w:fldCharType="separate"/>
      </w:r>
      <w:r w:rsidR="00E35FAB" w:rsidRPr="002F64A6">
        <w:t xml:space="preserve">Table </w:t>
      </w:r>
      <w:r w:rsidR="00E35FAB">
        <w:rPr>
          <w:noProof/>
        </w:rPr>
        <w:t>2</w:t>
      </w:r>
      <w:r w:rsidRPr="002F64A6">
        <w:fldChar w:fldCharType="end"/>
      </w:r>
      <w:r w:rsidRPr="002F64A6">
        <w:t>, in the first six calendar years after enactment of its outdoor heat standard (2006</w:t>
      </w:r>
      <w:r>
        <w:t>–</w:t>
      </w:r>
      <w:r w:rsidRPr="002F64A6">
        <w:t xml:space="preserve">2011), California conducted </w:t>
      </w:r>
      <w:r>
        <w:t xml:space="preserve">over </w:t>
      </w:r>
      <w:r w:rsidRPr="002F64A6">
        <w:t>133 times more inspections resulting in a citation for unsafe he</w:t>
      </w:r>
      <w:r w:rsidR="0010793B">
        <w:t xml:space="preserve">at exposure practices than OSHA </w:t>
      </w:r>
      <w:r w:rsidR="00EE5F88">
        <w:t xml:space="preserve">did nationwide </w:t>
      </w:r>
      <w:r w:rsidRPr="002F64A6">
        <w:t xml:space="preserve">during the same period. This alarming disparity clearly shows why a specific, enforceable heat standard is urgently needed on a federal level, rather than </w:t>
      </w:r>
      <w:r w:rsidRPr="002D7042">
        <w:t xml:space="preserve">relying on </w:t>
      </w:r>
      <w:r w:rsidRPr="002F64A6">
        <w:t xml:space="preserve">the relatively ineffective </w:t>
      </w:r>
      <w:r w:rsidRPr="002D7042">
        <w:t>OSHA GDC</w:t>
      </w:r>
      <w:r w:rsidRPr="002F64A6">
        <w:t>. Th</w:t>
      </w:r>
      <w:r w:rsidRPr="002D7042">
        <w:t>is</w:t>
      </w:r>
      <w:r w:rsidRPr="002F64A6">
        <w:t xml:space="preserve"> </w:t>
      </w:r>
      <w:r w:rsidRPr="002D7042">
        <w:t xml:space="preserve">disparity between the </w:t>
      </w:r>
      <w:r w:rsidRPr="002F64A6">
        <w:t>Cal</w:t>
      </w:r>
      <w:r w:rsidRPr="002D7042">
        <w:t>ifornia</w:t>
      </w:r>
      <w:r>
        <w:t>’</w:t>
      </w:r>
      <w:r w:rsidRPr="002D7042">
        <w:t>s state OSHA (Cal/OSHA) and the F</w:t>
      </w:r>
      <w:r w:rsidRPr="002F64A6">
        <w:t xml:space="preserve">ederal OSHA </w:t>
      </w:r>
      <w:r w:rsidRPr="002D7042">
        <w:t>is even more striking given</w:t>
      </w:r>
      <w:r w:rsidRPr="002F64A6">
        <w:t xml:space="preserve"> that California represents only one-eighth of the U.S</w:t>
      </w:r>
      <w:r w:rsidR="00A12D17">
        <w:t>.</w:t>
      </w:r>
      <w:r w:rsidRPr="002F64A6">
        <w:t xml:space="preserve"> population</w:t>
      </w:r>
      <w:r w:rsidR="00B03612">
        <w:t xml:space="preserve">, and therefore has a true inspection rate much </w:t>
      </w:r>
      <w:r w:rsidR="001B54A6">
        <w:t xml:space="preserve">more </w:t>
      </w:r>
      <w:r w:rsidR="00B03612">
        <w:t xml:space="preserve">than 133 times </w:t>
      </w:r>
      <w:r w:rsidR="00D13863">
        <w:t xml:space="preserve">that of </w:t>
      </w:r>
      <w:r w:rsidR="00B03612">
        <w:t>OSHA</w:t>
      </w:r>
      <w:r w:rsidRPr="002F64A6">
        <w:t>.</w:t>
      </w:r>
    </w:p>
    <w:p w14:paraId="51E81E46" w14:textId="63446EB8" w:rsidR="00CC78CF" w:rsidRPr="002F64A6" w:rsidRDefault="00CC78CF" w:rsidP="00CC78CF">
      <w:pPr>
        <w:pStyle w:val="Caption"/>
      </w:pPr>
      <w:bookmarkStart w:id="19" w:name="_Ref514878675"/>
      <w:r w:rsidRPr="002F64A6">
        <w:lastRenderedPageBreak/>
        <w:t xml:space="preserve">Table </w:t>
      </w:r>
      <w:r w:rsidR="00A46EC9">
        <w:fldChar w:fldCharType="begin"/>
      </w:r>
      <w:r w:rsidR="00A46EC9">
        <w:instrText xml:space="preserve"> SEQ Table \* ARABIC </w:instrText>
      </w:r>
      <w:r w:rsidR="00A46EC9">
        <w:fldChar w:fldCharType="separate"/>
      </w:r>
      <w:r w:rsidR="00E35FAB">
        <w:rPr>
          <w:noProof/>
        </w:rPr>
        <w:t>2</w:t>
      </w:r>
      <w:r w:rsidR="00A46EC9">
        <w:rPr>
          <w:noProof/>
        </w:rPr>
        <w:fldChar w:fldCharType="end"/>
      </w:r>
      <w:bookmarkEnd w:id="19"/>
      <w:r w:rsidRPr="002F64A6">
        <w:t>. Number of inspections resulting in at least one citation</w:t>
      </w:r>
      <w:r w:rsidRPr="002F64A6">
        <w:br/>
        <w:t>for unsafe heat exposure practices, 2006–2011</w:t>
      </w:r>
      <w:bookmarkStart w:id="20" w:name="_Ref518377041"/>
      <w:r w:rsidR="008F180B">
        <w:rPr>
          <w:rStyle w:val="FootnoteReference"/>
        </w:rPr>
        <w:footnoteReference w:id="79"/>
      </w:r>
      <w:bookmarkEnd w:id="20"/>
    </w:p>
    <w:tbl>
      <w:tblPr>
        <w:tblW w:w="7200" w:type="dxa"/>
        <w:jc w:val="center"/>
        <w:tblLayout w:type="fixed"/>
        <w:tblLook w:val="04A0" w:firstRow="1" w:lastRow="0" w:firstColumn="1" w:lastColumn="0" w:noHBand="0" w:noVBand="1"/>
      </w:tblPr>
      <w:tblGrid>
        <w:gridCol w:w="2400"/>
        <w:gridCol w:w="2400"/>
        <w:gridCol w:w="2400"/>
      </w:tblGrid>
      <w:tr w:rsidR="00CC78CF" w:rsidRPr="002F64A6" w14:paraId="035468A9" w14:textId="77777777" w:rsidTr="00B873A9">
        <w:trPr>
          <w:trHeight w:val="300"/>
          <w:jc w:val="center"/>
        </w:trPr>
        <w:tc>
          <w:tcPr>
            <w:tcW w:w="2400" w:type="dxa"/>
            <w:tcBorders>
              <w:top w:val="nil"/>
              <w:left w:val="nil"/>
              <w:bottom w:val="single" w:sz="12" w:space="0" w:color="FFFFFF"/>
              <w:right w:val="single" w:sz="4" w:space="0" w:color="FFFFFF"/>
            </w:tcBorders>
            <w:shd w:val="clear" w:color="4F81BD" w:fill="4F81BD"/>
            <w:vAlign w:val="bottom"/>
            <w:hideMark/>
          </w:tcPr>
          <w:p w14:paraId="50DE55EB" w14:textId="77777777" w:rsidR="00CC78CF" w:rsidRPr="002F64A6" w:rsidRDefault="00CC78CF" w:rsidP="00B873A9">
            <w:pPr>
              <w:pStyle w:val="TableHeading"/>
            </w:pPr>
            <w:r w:rsidRPr="002F64A6">
              <w:t>Calendar Year</w:t>
            </w:r>
          </w:p>
        </w:tc>
        <w:tc>
          <w:tcPr>
            <w:tcW w:w="2400" w:type="dxa"/>
            <w:tcBorders>
              <w:top w:val="nil"/>
              <w:left w:val="single" w:sz="4" w:space="0" w:color="FFFFFF"/>
              <w:bottom w:val="single" w:sz="12" w:space="0" w:color="FFFFFF"/>
              <w:right w:val="single" w:sz="4" w:space="0" w:color="FFFFFF"/>
            </w:tcBorders>
            <w:shd w:val="clear" w:color="4F81BD" w:fill="4F81BD"/>
            <w:vAlign w:val="bottom"/>
            <w:hideMark/>
          </w:tcPr>
          <w:p w14:paraId="7C930730" w14:textId="77777777" w:rsidR="00CC78CF" w:rsidRPr="002F64A6" w:rsidRDefault="00CC78CF" w:rsidP="00B873A9">
            <w:pPr>
              <w:pStyle w:val="TableHeading"/>
              <w:rPr>
                <w:vertAlign w:val="superscript"/>
              </w:rPr>
            </w:pPr>
            <w:r w:rsidRPr="002F64A6">
              <w:t>Cal/OSHA</w:t>
            </w:r>
            <w:r w:rsidRPr="002F64A6">
              <w:rPr>
                <w:vertAlign w:val="superscript"/>
              </w:rPr>
              <w:t>*</w:t>
            </w:r>
          </w:p>
        </w:tc>
        <w:tc>
          <w:tcPr>
            <w:tcW w:w="2400" w:type="dxa"/>
            <w:tcBorders>
              <w:top w:val="nil"/>
              <w:left w:val="single" w:sz="4" w:space="0" w:color="FFFFFF"/>
              <w:bottom w:val="single" w:sz="12" w:space="0" w:color="FFFFFF"/>
              <w:right w:val="nil"/>
            </w:tcBorders>
            <w:shd w:val="clear" w:color="4F81BD" w:fill="4F81BD"/>
            <w:vAlign w:val="bottom"/>
            <w:hideMark/>
          </w:tcPr>
          <w:p w14:paraId="2F87AF14" w14:textId="77777777" w:rsidR="00CC78CF" w:rsidRPr="002F64A6" w:rsidRDefault="00CC78CF" w:rsidP="00B873A9">
            <w:pPr>
              <w:pStyle w:val="TableHeading"/>
              <w:rPr>
                <w:vertAlign w:val="superscript"/>
              </w:rPr>
            </w:pPr>
            <w:r w:rsidRPr="002F64A6">
              <w:t>Federal OSHA</w:t>
            </w:r>
            <w:r w:rsidRPr="002F64A6">
              <w:rPr>
                <w:vertAlign w:val="superscript"/>
              </w:rPr>
              <w:t>**</w:t>
            </w:r>
          </w:p>
        </w:tc>
      </w:tr>
      <w:tr w:rsidR="00CC78CF" w:rsidRPr="002F64A6" w14:paraId="3B2B3311" w14:textId="77777777" w:rsidTr="00B873A9">
        <w:trPr>
          <w:trHeight w:val="300"/>
          <w:jc w:val="center"/>
        </w:trPr>
        <w:tc>
          <w:tcPr>
            <w:tcW w:w="2400" w:type="dxa"/>
            <w:tcBorders>
              <w:top w:val="single" w:sz="4" w:space="0" w:color="FFFFFF"/>
              <w:left w:val="nil"/>
              <w:bottom w:val="single" w:sz="4" w:space="0" w:color="FFFFFF"/>
              <w:right w:val="single" w:sz="4" w:space="0" w:color="FFFFFF"/>
            </w:tcBorders>
            <w:shd w:val="clear" w:color="DCE6F1" w:fill="DCE6F1"/>
            <w:noWrap/>
            <w:vAlign w:val="bottom"/>
            <w:hideMark/>
          </w:tcPr>
          <w:p w14:paraId="583FDF6E" w14:textId="77777777" w:rsidR="00CC78CF" w:rsidRPr="002F64A6" w:rsidRDefault="00CC78CF" w:rsidP="00B873A9">
            <w:pPr>
              <w:pStyle w:val="TableCenter"/>
            </w:pPr>
            <w:r w:rsidRPr="002F64A6">
              <w:t>2006</w:t>
            </w:r>
          </w:p>
        </w:tc>
        <w:tc>
          <w:tcPr>
            <w:tcW w:w="2400"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256B561B" w14:textId="77777777" w:rsidR="00CC78CF" w:rsidRPr="002F64A6" w:rsidRDefault="00CC78CF" w:rsidP="00B873A9">
            <w:pPr>
              <w:pStyle w:val="TableCenter"/>
            </w:pPr>
            <w:r w:rsidRPr="002F64A6">
              <w:t>158</w:t>
            </w:r>
          </w:p>
        </w:tc>
        <w:tc>
          <w:tcPr>
            <w:tcW w:w="2400" w:type="dxa"/>
            <w:tcBorders>
              <w:top w:val="single" w:sz="4" w:space="0" w:color="FFFFFF"/>
              <w:left w:val="single" w:sz="4" w:space="0" w:color="FFFFFF"/>
              <w:bottom w:val="single" w:sz="4" w:space="0" w:color="FFFFFF"/>
              <w:right w:val="nil"/>
            </w:tcBorders>
            <w:shd w:val="clear" w:color="DCE6F1" w:fill="DCE6F1"/>
            <w:noWrap/>
            <w:vAlign w:val="bottom"/>
            <w:hideMark/>
          </w:tcPr>
          <w:p w14:paraId="21D31DCE" w14:textId="77777777" w:rsidR="00CC78CF" w:rsidRPr="002F64A6" w:rsidRDefault="00CC78CF" w:rsidP="00B873A9">
            <w:pPr>
              <w:pStyle w:val="TableCenter"/>
            </w:pPr>
            <w:r w:rsidRPr="002F64A6">
              <w:t>3</w:t>
            </w:r>
          </w:p>
        </w:tc>
      </w:tr>
      <w:tr w:rsidR="00CC78CF" w:rsidRPr="002F64A6" w14:paraId="0DAD91FD" w14:textId="77777777" w:rsidTr="00B873A9">
        <w:trPr>
          <w:trHeight w:val="300"/>
          <w:jc w:val="center"/>
        </w:trPr>
        <w:tc>
          <w:tcPr>
            <w:tcW w:w="2400" w:type="dxa"/>
            <w:tcBorders>
              <w:top w:val="single" w:sz="4" w:space="0" w:color="FFFFFF"/>
              <w:left w:val="nil"/>
              <w:bottom w:val="single" w:sz="4" w:space="0" w:color="FFFFFF"/>
              <w:right w:val="single" w:sz="4" w:space="0" w:color="FFFFFF"/>
            </w:tcBorders>
            <w:shd w:val="clear" w:color="B8CCE4" w:fill="B8CCE4"/>
            <w:noWrap/>
            <w:vAlign w:val="bottom"/>
            <w:hideMark/>
          </w:tcPr>
          <w:p w14:paraId="0352D4BE" w14:textId="77777777" w:rsidR="00CC78CF" w:rsidRPr="002F64A6" w:rsidRDefault="00CC78CF" w:rsidP="00B873A9">
            <w:pPr>
              <w:pStyle w:val="TableCenter"/>
            </w:pPr>
            <w:r w:rsidRPr="002F64A6">
              <w:t>2007</w:t>
            </w:r>
          </w:p>
        </w:tc>
        <w:tc>
          <w:tcPr>
            <w:tcW w:w="2400"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14:paraId="1BB82E07" w14:textId="77777777" w:rsidR="00CC78CF" w:rsidRPr="002F64A6" w:rsidRDefault="00CC78CF" w:rsidP="00B873A9">
            <w:pPr>
              <w:pStyle w:val="TableCenter"/>
            </w:pPr>
            <w:r w:rsidRPr="002F64A6">
              <w:t>490</w:t>
            </w:r>
          </w:p>
        </w:tc>
        <w:tc>
          <w:tcPr>
            <w:tcW w:w="2400" w:type="dxa"/>
            <w:tcBorders>
              <w:top w:val="single" w:sz="4" w:space="0" w:color="FFFFFF"/>
              <w:left w:val="single" w:sz="4" w:space="0" w:color="FFFFFF"/>
              <w:bottom w:val="single" w:sz="4" w:space="0" w:color="FFFFFF"/>
              <w:right w:val="nil"/>
            </w:tcBorders>
            <w:shd w:val="clear" w:color="B8CCE4" w:fill="B8CCE4"/>
            <w:noWrap/>
            <w:vAlign w:val="bottom"/>
            <w:hideMark/>
          </w:tcPr>
          <w:p w14:paraId="03CA9472" w14:textId="77777777" w:rsidR="00CC78CF" w:rsidRPr="002F64A6" w:rsidRDefault="00CC78CF" w:rsidP="00B873A9">
            <w:pPr>
              <w:pStyle w:val="TableCenter"/>
            </w:pPr>
            <w:r w:rsidRPr="002F64A6">
              <w:t>3</w:t>
            </w:r>
          </w:p>
        </w:tc>
      </w:tr>
      <w:tr w:rsidR="00CC78CF" w:rsidRPr="002F64A6" w14:paraId="4FED45EE" w14:textId="77777777" w:rsidTr="00B873A9">
        <w:trPr>
          <w:trHeight w:val="300"/>
          <w:jc w:val="center"/>
        </w:trPr>
        <w:tc>
          <w:tcPr>
            <w:tcW w:w="2400" w:type="dxa"/>
            <w:tcBorders>
              <w:top w:val="single" w:sz="4" w:space="0" w:color="FFFFFF"/>
              <w:left w:val="nil"/>
              <w:bottom w:val="single" w:sz="4" w:space="0" w:color="FFFFFF"/>
              <w:right w:val="single" w:sz="4" w:space="0" w:color="FFFFFF"/>
            </w:tcBorders>
            <w:shd w:val="clear" w:color="DCE6F1" w:fill="DCE6F1"/>
            <w:noWrap/>
            <w:vAlign w:val="bottom"/>
            <w:hideMark/>
          </w:tcPr>
          <w:p w14:paraId="56C64FB4" w14:textId="77777777" w:rsidR="00CC78CF" w:rsidRPr="002F64A6" w:rsidRDefault="00CC78CF" w:rsidP="00B873A9">
            <w:pPr>
              <w:pStyle w:val="TableCenter"/>
            </w:pPr>
            <w:r w:rsidRPr="002F64A6">
              <w:t>2008</w:t>
            </w:r>
          </w:p>
        </w:tc>
        <w:tc>
          <w:tcPr>
            <w:tcW w:w="2400"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10ECA075" w14:textId="77777777" w:rsidR="00CC78CF" w:rsidRPr="002F64A6" w:rsidRDefault="00CC78CF" w:rsidP="00B873A9">
            <w:pPr>
              <w:pStyle w:val="TableCenter"/>
            </w:pPr>
            <w:r w:rsidRPr="002F64A6">
              <w:t>899</w:t>
            </w:r>
          </w:p>
        </w:tc>
        <w:tc>
          <w:tcPr>
            <w:tcW w:w="2400" w:type="dxa"/>
            <w:tcBorders>
              <w:top w:val="single" w:sz="4" w:space="0" w:color="FFFFFF"/>
              <w:left w:val="single" w:sz="4" w:space="0" w:color="FFFFFF"/>
              <w:bottom w:val="single" w:sz="4" w:space="0" w:color="FFFFFF"/>
              <w:right w:val="nil"/>
            </w:tcBorders>
            <w:shd w:val="clear" w:color="DCE6F1" w:fill="DCE6F1"/>
            <w:noWrap/>
            <w:vAlign w:val="bottom"/>
            <w:hideMark/>
          </w:tcPr>
          <w:p w14:paraId="60D469D7" w14:textId="77777777" w:rsidR="00CC78CF" w:rsidRPr="002F64A6" w:rsidRDefault="00CC78CF" w:rsidP="00B873A9">
            <w:pPr>
              <w:pStyle w:val="TableCenter"/>
            </w:pPr>
            <w:r w:rsidRPr="002F64A6">
              <w:t>2</w:t>
            </w:r>
          </w:p>
        </w:tc>
      </w:tr>
      <w:tr w:rsidR="00CC78CF" w:rsidRPr="002F64A6" w14:paraId="0701CA12" w14:textId="77777777" w:rsidTr="00B873A9">
        <w:trPr>
          <w:trHeight w:val="300"/>
          <w:jc w:val="center"/>
        </w:trPr>
        <w:tc>
          <w:tcPr>
            <w:tcW w:w="2400" w:type="dxa"/>
            <w:tcBorders>
              <w:top w:val="single" w:sz="4" w:space="0" w:color="FFFFFF"/>
              <w:left w:val="nil"/>
              <w:bottom w:val="single" w:sz="4" w:space="0" w:color="FFFFFF"/>
              <w:right w:val="single" w:sz="4" w:space="0" w:color="FFFFFF"/>
            </w:tcBorders>
            <w:shd w:val="clear" w:color="B8CCE4" w:fill="B8CCE4"/>
            <w:noWrap/>
            <w:vAlign w:val="bottom"/>
            <w:hideMark/>
          </w:tcPr>
          <w:p w14:paraId="5CA099B8" w14:textId="77777777" w:rsidR="00CC78CF" w:rsidRPr="002F64A6" w:rsidRDefault="00CC78CF" w:rsidP="00B873A9">
            <w:pPr>
              <w:pStyle w:val="TableCenter"/>
            </w:pPr>
            <w:r w:rsidRPr="002F64A6">
              <w:t>2009</w:t>
            </w:r>
          </w:p>
        </w:tc>
        <w:tc>
          <w:tcPr>
            <w:tcW w:w="2400"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14:paraId="18361504" w14:textId="77777777" w:rsidR="00CC78CF" w:rsidRPr="002F64A6" w:rsidRDefault="00CC78CF" w:rsidP="00B873A9">
            <w:pPr>
              <w:pStyle w:val="TableCenter"/>
            </w:pPr>
            <w:r w:rsidRPr="002F64A6">
              <w:t>935</w:t>
            </w:r>
          </w:p>
        </w:tc>
        <w:tc>
          <w:tcPr>
            <w:tcW w:w="2400" w:type="dxa"/>
            <w:tcBorders>
              <w:top w:val="single" w:sz="4" w:space="0" w:color="FFFFFF"/>
              <w:left w:val="single" w:sz="4" w:space="0" w:color="FFFFFF"/>
              <w:bottom w:val="single" w:sz="4" w:space="0" w:color="FFFFFF"/>
              <w:right w:val="nil"/>
            </w:tcBorders>
            <w:shd w:val="clear" w:color="B8CCE4" w:fill="B8CCE4"/>
            <w:noWrap/>
            <w:vAlign w:val="bottom"/>
            <w:hideMark/>
          </w:tcPr>
          <w:p w14:paraId="6DD106E1" w14:textId="77777777" w:rsidR="00CC78CF" w:rsidRPr="002F64A6" w:rsidRDefault="00CC78CF" w:rsidP="00B873A9">
            <w:pPr>
              <w:pStyle w:val="TableCenter"/>
            </w:pPr>
            <w:r w:rsidRPr="002F64A6">
              <w:t>2</w:t>
            </w:r>
          </w:p>
        </w:tc>
      </w:tr>
      <w:tr w:rsidR="00CC78CF" w:rsidRPr="002F64A6" w14:paraId="4C985A63" w14:textId="77777777" w:rsidTr="00B873A9">
        <w:trPr>
          <w:trHeight w:val="300"/>
          <w:jc w:val="center"/>
        </w:trPr>
        <w:tc>
          <w:tcPr>
            <w:tcW w:w="2400" w:type="dxa"/>
            <w:tcBorders>
              <w:top w:val="single" w:sz="4" w:space="0" w:color="FFFFFF"/>
              <w:left w:val="nil"/>
              <w:bottom w:val="single" w:sz="4" w:space="0" w:color="FFFFFF"/>
              <w:right w:val="single" w:sz="4" w:space="0" w:color="FFFFFF"/>
            </w:tcBorders>
            <w:shd w:val="clear" w:color="DCE6F1" w:fill="DCE6F1"/>
            <w:noWrap/>
            <w:vAlign w:val="bottom"/>
            <w:hideMark/>
          </w:tcPr>
          <w:p w14:paraId="6AB1D068" w14:textId="77777777" w:rsidR="00CC78CF" w:rsidRPr="002F64A6" w:rsidRDefault="00CC78CF" w:rsidP="00B873A9">
            <w:pPr>
              <w:pStyle w:val="TableCenter"/>
            </w:pPr>
            <w:r w:rsidRPr="002F64A6">
              <w:t>2010</w:t>
            </w:r>
          </w:p>
        </w:tc>
        <w:tc>
          <w:tcPr>
            <w:tcW w:w="2400"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429504A4" w14:textId="77777777" w:rsidR="00CC78CF" w:rsidRPr="002F64A6" w:rsidRDefault="00CC78CF" w:rsidP="00B873A9">
            <w:pPr>
              <w:pStyle w:val="TableCenter"/>
            </w:pPr>
            <w:r w:rsidRPr="002F64A6">
              <w:t>788</w:t>
            </w:r>
          </w:p>
        </w:tc>
        <w:tc>
          <w:tcPr>
            <w:tcW w:w="2400" w:type="dxa"/>
            <w:tcBorders>
              <w:top w:val="single" w:sz="4" w:space="0" w:color="FFFFFF"/>
              <w:left w:val="single" w:sz="4" w:space="0" w:color="FFFFFF"/>
              <w:bottom w:val="single" w:sz="4" w:space="0" w:color="FFFFFF"/>
              <w:right w:val="nil"/>
            </w:tcBorders>
            <w:shd w:val="clear" w:color="DCE6F1" w:fill="DCE6F1"/>
            <w:noWrap/>
            <w:vAlign w:val="bottom"/>
            <w:hideMark/>
          </w:tcPr>
          <w:p w14:paraId="69DFDFC4" w14:textId="77777777" w:rsidR="00CC78CF" w:rsidRPr="002F64A6" w:rsidRDefault="00CC78CF" w:rsidP="00B873A9">
            <w:pPr>
              <w:pStyle w:val="TableCenter"/>
            </w:pPr>
            <w:r w:rsidRPr="002F64A6">
              <w:t>11</w:t>
            </w:r>
          </w:p>
        </w:tc>
      </w:tr>
      <w:tr w:rsidR="00CC78CF" w:rsidRPr="002F64A6" w14:paraId="741A791E" w14:textId="77777777" w:rsidTr="00B873A9">
        <w:trPr>
          <w:trHeight w:val="300"/>
          <w:jc w:val="center"/>
        </w:trPr>
        <w:tc>
          <w:tcPr>
            <w:tcW w:w="2400" w:type="dxa"/>
            <w:tcBorders>
              <w:top w:val="single" w:sz="4" w:space="0" w:color="FFFFFF"/>
              <w:left w:val="nil"/>
              <w:bottom w:val="single" w:sz="4" w:space="0" w:color="FFFFFF"/>
              <w:right w:val="single" w:sz="4" w:space="0" w:color="FFFFFF"/>
            </w:tcBorders>
            <w:shd w:val="clear" w:color="B8CCE4" w:fill="B8CCE4"/>
            <w:noWrap/>
            <w:vAlign w:val="bottom"/>
            <w:hideMark/>
          </w:tcPr>
          <w:p w14:paraId="0BD06F4B" w14:textId="77777777" w:rsidR="00CC78CF" w:rsidRPr="002F64A6" w:rsidRDefault="00CC78CF" w:rsidP="00B873A9">
            <w:pPr>
              <w:pStyle w:val="TableCenter"/>
            </w:pPr>
            <w:r w:rsidRPr="002F64A6">
              <w:t>2011</w:t>
            </w:r>
          </w:p>
        </w:tc>
        <w:tc>
          <w:tcPr>
            <w:tcW w:w="2400"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14:paraId="564A563A" w14:textId="77777777" w:rsidR="00CC78CF" w:rsidRPr="002F64A6" w:rsidRDefault="00CC78CF" w:rsidP="00B873A9">
            <w:pPr>
              <w:pStyle w:val="TableCenter"/>
              <w:rPr>
                <w:vertAlign w:val="superscript"/>
              </w:rPr>
            </w:pPr>
            <w:r w:rsidRPr="002F64A6">
              <w:t>195</w:t>
            </w:r>
            <w:r w:rsidRPr="002F64A6">
              <w:rPr>
                <w:vertAlign w:val="superscript"/>
              </w:rPr>
              <w:t>***</w:t>
            </w:r>
          </w:p>
        </w:tc>
        <w:tc>
          <w:tcPr>
            <w:tcW w:w="2400" w:type="dxa"/>
            <w:tcBorders>
              <w:top w:val="single" w:sz="4" w:space="0" w:color="FFFFFF"/>
              <w:left w:val="single" w:sz="4" w:space="0" w:color="FFFFFF"/>
              <w:bottom w:val="single" w:sz="4" w:space="0" w:color="FFFFFF"/>
              <w:right w:val="nil"/>
            </w:tcBorders>
            <w:shd w:val="clear" w:color="B8CCE4" w:fill="B8CCE4"/>
            <w:noWrap/>
            <w:vAlign w:val="bottom"/>
            <w:hideMark/>
          </w:tcPr>
          <w:p w14:paraId="7CDAE1EF" w14:textId="77777777" w:rsidR="00CC78CF" w:rsidRPr="002F64A6" w:rsidRDefault="00CC78CF" w:rsidP="00B873A9">
            <w:pPr>
              <w:pStyle w:val="TableCenter"/>
            </w:pPr>
            <w:r>
              <w:t>6</w:t>
            </w:r>
          </w:p>
        </w:tc>
      </w:tr>
      <w:tr w:rsidR="00CC78CF" w:rsidRPr="002F64A6" w14:paraId="3A82C55B" w14:textId="77777777" w:rsidTr="00B873A9">
        <w:trPr>
          <w:trHeight w:val="300"/>
          <w:jc w:val="center"/>
        </w:trPr>
        <w:tc>
          <w:tcPr>
            <w:tcW w:w="2400" w:type="dxa"/>
            <w:tcBorders>
              <w:top w:val="single" w:sz="4" w:space="0" w:color="FFFFFF"/>
              <w:left w:val="nil"/>
              <w:bottom w:val="single" w:sz="4" w:space="0" w:color="FFFFFF"/>
              <w:right w:val="single" w:sz="4" w:space="0" w:color="FFFFFF"/>
            </w:tcBorders>
            <w:shd w:val="clear" w:color="DCE6F1" w:fill="DCE6F1"/>
            <w:noWrap/>
            <w:vAlign w:val="bottom"/>
            <w:hideMark/>
          </w:tcPr>
          <w:p w14:paraId="36A5784C" w14:textId="77777777" w:rsidR="00CC78CF" w:rsidRPr="002F64A6" w:rsidRDefault="00CC78CF" w:rsidP="00B873A9">
            <w:pPr>
              <w:pStyle w:val="TableCenter"/>
            </w:pPr>
            <w:r w:rsidRPr="002F64A6">
              <w:t>Total</w:t>
            </w:r>
          </w:p>
        </w:tc>
        <w:tc>
          <w:tcPr>
            <w:tcW w:w="2400"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0504D3F4" w14:textId="77777777" w:rsidR="00CC78CF" w:rsidRPr="002F64A6" w:rsidRDefault="00CC78CF" w:rsidP="00B873A9">
            <w:pPr>
              <w:pStyle w:val="TableCenter"/>
            </w:pPr>
            <w:r w:rsidRPr="002F64A6">
              <w:t>3,465</w:t>
            </w:r>
          </w:p>
        </w:tc>
        <w:tc>
          <w:tcPr>
            <w:tcW w:w="2400" w:type="dxa"/>
            <w:tcBorders>
              <w:top w:val="single" w:sz="4" w:space="0" w:color="FFFFFF"/>
              <w:left w:val="single" w:sz="4" w:space="0" w:color="FFFFFF"/>
              <w:bottom w:val="single" w:sz="4" w:space="0" w:color="FFFFFF"/>
              <w:right w:val="nil"/>
            </w:tcBorders>
            <w:shd w:val="clear" w:color="DCE6F1" w:fill="DCE6F1"/>
            <w:noWrap/>
            <w:vAlign w:val="bottom"/>
            <w:hideMark/>
          </w:tcPr>
          <w:p w14:paraId="2543F10A" w14:textId="77777777" w:rsidR="00CC78CF" w:rsidRPr="002F64A6" w:rsidRDefault="00CC78CF" w:rsidP="00B873A9">
            <w:pPr>
              <w:pStyle w:val="TableCenter"/>
            </w:pPr>
            <w:r w:rsidRPr="002F64A6">
              <w:t>2</w:t>
            </w:r>
            <w:r>
              <w:t>5</w:t>
            </w:r>
          </w:p>
        </w:tc>
      </w:tr>
      <w:tr w:rsidR="00CC78CF" w:rsidRPr="002F64A6" w14:paraId="01D94D64" w14:textId="77777777" w:rsidTr="00B873A9">
        <w:trPr>
          <w:trHeight w:val="300"/>
          <w:jc w:val="center"/>
        </w:trPr>
        <w:tc>
          <w:tcPr>
            <w:tcW w:w="2400" w:type="dxa"/>
            <w:tcBorders>
              <w:top w:val="single" w:sz="4" w:space="0" w:color="FFFFFF"/>
              <w:left w:val="nil"/>
              <w:right w:val="single" w:sz="4" w:space="0" w:color="FFFFFF"/>
            </w:tcBorders>
            <w:shd w:val="clear" w:color="B8CCE4" w:fill="B8CCE4"/>
            <w:noWrap/>
            <w:vAlign w:val="bottom"/>
            <w:hideMark/>
          </w:tcPr>
          <w:p w14:paraId="45D9FACA" w14:textId="77777777" w:rsidR="00CC78CF" w:rsidRPr="002F64A6" w:rsidRDefault="00CC78CF" w:rsidP="00B873A9">
            <w:pPr>
              <w:pStyle w:val="TableCenter"/>
            </w:pPr>
            <w:r w:rsidRPr="002F64A6">
              <w:t>Annual Average</w:t>
            </w:r>
          </w:p>
        </w:tc>
        <w:tc>
          <w:tcPr>
            <w:tcW w:w="2400" w:type="dxa"/>
            <w:tcBorders>
              <w:top w:val="single" w:sz="4" w:space="0" w:color="FFFFFF"/>
              <w:left w:val="single" w:sz="4" w:space="0" w:color="FFFFFF"/>
              <w:right w:val="single" w:sz="4" w:space="0" w:color="FFFFFF"/>
            </w:tcBorders>
            <w:shd w:val="clear" w:color="B8CCE4" w:fill="B8CCE4"/>
            <w:noWrap/>
            <w:vAlign w:val="bottom"/>
            <w:hideMark/>
          </w:tcPr>
          <w:p w14:paraId="56770334" w14:textId="77777777" w:rsidR="00CC78CF" w:rsidRPr="002F64A6" w:rsidRDefault="00CC78CF" w:rsidP="00B873A9">
            <w:pPr>
              <w:pStyle w:val="TableCenter"/>
            </w:pPr>
            <w:r w:rsidRPr="002F64A6">
              <w:t>577.5</w:t>
            </w:r>
          </w:p>
        </w:tc>
        <w:tc>
          <w:tcPr>
            <w:tcW w:w="2400" w:type="dxa"/>
            <w:tcBorders>
              <w:top w:val="single" w:sz="4" w:space="0" w:color="FFFFFF"/>
              <w:left w:val="single" w:sz="4" w:space="0" w:color="FFFFFF"/>
              <w:right w:val="nil"/>
            </w:tcBorders>
            <w:shd w:val="clear" w:color="B8CCE4" w:fill="B8CCE4"/>
            <w:noWrap/>
            <w:vAlign w:val="bottom"/>
            <w:hideMark/>
          </w:tcPr>
          <w:p w14:paraId="2EC2CA58" w14:textId="77777777" w:rsidR="00CC78CF" w:rsidRPr="002F64A6" w:rsidRDefault="00CC78CF" w:rsidP="00B873A9">
            <w:pPr>
              <w:pStyle w:val="TableCenter"/>
            </w:pPr>
            <w:r w:rsidRPr="002F64A6">
              <w:t>4.</w:t>
            </w:r>
            <w:r>
              <w:t>2</w:t>
            </w:r>
          </w:p>
        </w:tc>
      </w:tr>
      <w:tr w:rsidR="00CC78CF" w:rsidRPr="002F64A6" w14:paraId="66F2282A" w14:textId="77777777" w:rsidTr="00B873A9">
        <w:trPr>
          <w:trHeight w:val="300"/>
          <w:jc w:val="center"/>
        </w:trPr>
        <w:tc>
          <w:tcPr>
            <w:tcW w:w="7200" w:type="dxa"/>
            <w:gridSpan w:val="3"/>
            <w:tcBorders>
              <w:left w:val="nil"/>
              <w:bottom w:val="nil"/>
              <w:right w:val="single" w:sz="4" w:space="0" w:color="FFFFFF"/>
            </w:tcBorders>
            <w:shd w:val="clear" w:color="B8CCE4" w:fill="auto"/>
            <w:noWrap/>
            <w:vAlign w:val="bottom"/>
          </w:tcPr>
          <w:p w14:paraId="087AAA62" w14:textId="77777777" w:rsidR="00CC78CF" w:rsidRPr="002F64A6" w:rsidRDefault="00CC78CF" w:rsidP="00B873A9">
            <w:pPr>
              <w:pStyle w:val="Asterisks"/>
            </w:pPr>
            <w:r w:rsidRPr="002F64A6">
              <w:t>* Cal/OSHA inspections conducted under the authority of its outdoor heat exposure standard (Cal/OSHA Standard 3395). Standard 3395 enacted as an emergency measure in 2005 and made permanent in 2006.</w:t>
            </w:r>
          </w:p>
          <w:p w14:paraId="64E715CB" w14:textId="77777777" w:rsidR="00CC78CF" w:rsidRPr="002F64A6" w:rsidRDefault="00CC78CF" w:rsidP="00B873A9">
            <w:pPr>
              <w:pStyle w:val="Asterisks"/>
            </w:pPr>
            <w:r w:rsidRPr="002F64A6">
              <w:t xml:space="preserve">** Federal OSHA inspections conducted under the authority of the General Duty Clause and include both outdoor and indoor inspections. </w:t>
            </w:r>
          </w:p>
          <w:p w14:paraId="103BF351" w14:textId="3B284596" w:rsidR="00CC78CF" w:rsidRPr="002F64A6" w:rsidRDefault="00CC78CF" w:rsidP="00B873A9">
            <w:pPr>
              <w:pStyle w:val="Asterisks"/>
            </w:pPr>
            <w:r w:rsidRPr="002F64A6">
              <w:t>*** Cal/OSHA data through July 26, 2011.</w:t>
            </w:r>
          </w:p>
        </w:tc>
      </w:tr>
    </w:tbl>
    <w:p w14:paraId="7230714A" w14:textId="692E83EA" w:rsidR="00F774BB" w:rsidRDefault="00CC78CF" w:rsidP="00F774BB">
      <w:r w:rsidRPr="002F64A6">
        <w:t>In the absence of a federal heat stress standard, OSHA relies on the non-specific</w:t>
      </w:r>
      <w:r>
        <w:t xml:space="preserve"> GDC</w:t>
      </w:r>
      <w:r w:rsidRPr="002F64A6">
        <w:t xml:space="preserve"> to cite employers for failing to provide adequate safeguards against heat stress. In the most recent six-year period (2012 through 2017), OSHA conducted just 153 inspections resulting in at least one citation under the GDC for exposing workers to the risk of occupational heat stress.</w:t>
      </w:r>
      <w:r w:rsidRPr="002F64A6">
        <w:rPr>
          <w:vertAlign w:val="superscript"/>
        </w:rPr>
        <w:footnoteReference w:id="80"/>
      </w:r>
      <w:r w:rsidRPr="002F64A6">
        <w:t xml:space="preserve"> By comparison, Cal/OSHA completed 3,</w:t>
      </w:r>
      <w:r>
        <w:t>465</w:t>
      </w:r>
      <w:r w:rsidRPr="002F64A6">
        <w:t xml:space="preserve"> inspections resulting in at least one heat-stress-related citation in the first </w:t>
      </w:r>
      <w:r>
        <w:t>six</w:t>
      </w:r>
      <w:r w:rsidRPr="002F64A6">
        <w:t>-year period (2006 through 201</w:t>
      </w:r>
      <w:r>
        <w:t>1</w:t>
      </w:r>
      <w:r w:rsidRPr="002F64A6">
        <w:t>) following enactment of the state</w:t>
      </w:r>
      <w:r>
        <w:t>’</w:t>
      </w:r>
      <w:r w:rsidRPr="002F64A6">
        <w:t>s outdoor heat stress standard.</w:t>
      </w:r>
      <w:r w:rsidRPr="002F64A6">
        <w:rPr>
          <w:vertAlign w:val="superscript"/>
        </w:rPr>
        <w:footnoteReference w:id="81"/>
      </w:r>
      <w:r w:rsidR="00437654">
        <w:t xml:space="preserve"> Further evidence of the necessity </w:t>
      </w:r>
      <w:r w:rsidR="00B0663F">
        <w:t>of</w:t>
      </w:r>
      <w:r w:rsidR="00437654">
        <w:t xml:space="preserve"> a </w:t>
      </w:r>
      <w:r w:rsidR="00220018">
        <w:t xml:space="preserve">national </w:t>
      </w:r>
      <w:r w:rsidR="00437654">
        <w:t>heat standard</w:t>
      </w:r>
      <w:r w:rsidR="00220018">
        <w:t>,</w:t>
      </w:r>
      <w:r w:rsidR="00437654">
        <w:t xml:space="preserve"> comes from a study published last year entitled </w:t>
      </w:r>
      <w:r w:rsidR="001232D3" w:rsidRPr="001232D3">
        <w:t>Recruitment, Methods, and Descriptive Results of a Physiologic Assessment of Latino Farmworkers: The California Heat Illness Prevention Study</w:t>
      </w:r>
      <w:r w:rsidR="00437654">
        <w:t>.</w:t>
      </w:r>
      <w:r w:rsidR="00437654">
        <w:rPr>
          <w:rStyle w:val="FootnoteReference"/>
          <w:rFonts w:asciiTheme="majorBidi" w:hAnsiTheme="majorBidi" w:cstheme="majorBidi"/>
          <w:szCs w:val="24"/>
        </w:rPr>
        <w:footnoteReference w:id="82"/>
      </w:r>
      <w:r w:rsidR="001232D3">
        <w:t xml:space="preserve"> The researchers point out that “</w:t>
      </w:r>
      <w:r w:rsidR="001232D3" w:rsidRPr="001232D3">
        <w:t>The California Occupational Safety and</w:t>
      </w:r>
      <w:r w:rsidR="001232D3">
        <w:t xml:space="preserve"> </w:t>
      </w:r>
      <w:r w:rsidR="001232D3" w:rsidRPr="001232D3">
        <w:t>Health Administration (Cal-OSHA) has launched informational and</w:t>
      </w:r>
      <w:r w:rsidR="00220018">
        <w:t xml:space="preserve"> </w:t>
      </w:r>
      <w:r w:rsidR="001232D3" w:rsidRPr="001232D3">
        <w:t>regulatory programs to reduce HRI among farmworkers since</w:t>
      </w:r>
      <w:r w:rsidR="00220018">
        <w:t xml:space="preserve"> </w:t>
      </w:r>
      <w:r w:rsidR="001232D3" w:rsidRPr="001232D3">
        <w:t>2008 and conducts enforcement activities throughout the summer</w:t>
      </w:r>
      <w:r w:rsidR="00220018">
        <w:t>.”</w:t>
      </w:r>
    </w:p>
    <w:p w14:paraId="4AF57CF0" w14:textId="212B5431" w:rsidR="00ED710D" w:rsidRPr="002F64A6" w:rsidRDefault="00ED710D" w:rsidP="00E325F1">
      <w:pPr>
        <w:pStyle w:val="L1"/>
      </w:pPr>
      <w:bookmarkStart w:id="21" w:name="_Toc518979493"/>
      <w:r w:rsidRPr="002F64A6">
        <w:lastRenderedPageBreak/>
        <w:t xml:space="preserve">Current regulatory landscape: </w:t>
      </w:r>
      <w:r w:rsidR="004E5225" w:rsidRPr="002F64A6">
        <w:t>T</w:t>
      </w:r>
      <w:r w:rsidRPr="002F64A6">
        <w:t>hree states</w:t>
      </w:r>
      <w:r w:rsidR="004E5225" w:rsidRPr="002F64A6">
        <w:t xml:space="preserve">, the </w:t>
      </w:r>
      <w:r w:rsidR="006C2072" w:rsidRPr="002F64A6">
        <w:t xml:space="preserve">U.S. </w:t>
      </w:r>
      <w:r w:rsidR="004E5225" w:rsidRPr="002F64A6">
        <w:t>military,</w:t>
      </w:r>
      <w:r w:rsidRPr="002F64A6">
        <w:t xml:space="preserve"> and other countries have moved ahead with </w:t>
      </w:r>
      <w:r w:rsidR="009A7675" w:rsidRPr="002F64A6">
        <w:t xml:space="preserve">heat </w:t>
      </w:r>
      <w:r w:rsidR="00A624E4" w:rsidRPr="002F64A6">
        <w:t>protections</w:t>
      </w:r>
      <w:bookmarkEnd w:id="21"/>
    </w:p>
    <w:p w14:paraId="46C6DF33" w14:textId="25D59DB7" w:rsidR="00ED710D" w:rsidRPr="00BC646B" w:rsidRDefault="00ED710D" w:rsidP="00ED710D">
      <w:pPr>
        <w:rPr>
          <w:rFonts w:asciiTheme="majorBidi" w:hAnsiTheme="majorBidi" w:cstheme="majorBidi"/>
          <w:szCs w:val="24"/>
        </w:rPr>
      </w:pPr>
      <w:r w:rsidRPr="002F64A6">
        <w:rPr>
          <w:rFonts w:asciiTheme="majorBidi" w:hAnsiTheme="majorBidi" w:cstheme="majorBidi"/>
          <w:szCs w:val="24"/>
        </w:rPr>
        <w:t xml:space="preserve">Despite NIOSH having issued three separate </w:t>
      </w:r>
      <w:r w:rsidRPr="002F64A6">
        <w:rPr>
          <w:rFonts w:asciiTheme="majorBidi" w:hAnsiTheme="majorBidi" w:cstheme="majorBidi"/>
          <w:i/>
          <w:iCs/>
          <w:szCs w:val="24"/>
        </w:rPr>
        <w:t>Criteria for a Recommended Standard</w:t>
      </w:r>
      <w:r w:rsidRPr="002F64A6">
        <w:rPr>
          <w:rFonts w:asciiTheme="majorBidi" w:hAnsiTheme="majorBidi" w:cstheme="majorBidi"/>
          <w:szCs w:val="24"/>
        </w:rPr>
        <w:t xml:space="preserve"> documents for heat stress, in 1972,</w:t>
      </w:r>
      <w:r w:rsidRPr="002F64A6">
        <w:rPr>
          <w:rStyle w:val="FootnoteReference"/>
          <w:rFonts w:asciiTheme="majorBidi" w:hAnsiTheme="majorBidi" w:cstheme="majorBidi"/>
          <w:szCs w:val="24"/>
        </w:rPr>
        <w:footnoteReference w:id="83"/>
      </w:r>
      <w:r w:rsidRPr="002F64A6">
        <w:rPr>
          <w:rFonts w:asciiTheme="majorBidi" w:hAnsiTheme="majorBidi" w:cstheme="majorBidi"/>
          <w:szCs w:val="24"/>
        </w:rPr>
        <w:t xml:space="preserve"> 1986,</w:t>
      </w:r>
      <w:r w:rsidRPr="002F64A6">
        <w:rPr>
          <w:rStyle w:val="FootnoteReference"/>
          <w:rFonts w:asciiTheme="majorBidi" w:hAnsiTheme="majorBidi" w:cstheme="majorBidi"/>
          <w:szCs w:val="24"/>
        </w:rPr>
        <w:footnoteReference w:id="84"/>
      </w:r>
      <w:r w:rsidRPr="002F64A6">
        <w:rPr>
          <w:rFonts w:asciiTheme="majorBidi" w:hAnsiTheme="majorBidi" w:cstheme="majorBidi"/>
          <w:szCs w:val="24"/>
        </w:rPr>
        <w:t xml:space="preserve"> and 2016</w:t>
      </w:r>
      <w:r w:rsidR="00E425A6" w:rsidRPr="002F64A6">
        <w:rPr>
          <w:rFonts w:asciiTheme="majorBidi" w:hAnsiTheme="majorBidi" w:cstheme="majorBidi"/>
          <w:szCs w:val="24"/>
        </w:rPr>
        <w:t>,</w:t>
      </w:r>
      <w:r w:rsidRPr="002F64A6">
        <w:rPr>
          <w:rStyle w:val="FootnoteReference"/>
          <w:rFonts w:asciiTheme="majorBidi" w:hAnsiTheme="majorBidi" w:cstheme="majorBidi"/>
          <w:szCs w:val="24"/>
        </w:rPr>
        <w:footnoteReference w:id="85"/>
      </w:r>
      <w:r w:rsidRPr="002F64A6">
        <w:rPr>
          <w:rFonts w:asciiTheme="majorBidi" w:hAnsiTheme="majorBidi" w:cstheme="majorBidi"/>
          <w:szCs w:val="24"/>
        </w:rPr>
        <w:t xml:space="preserve"> OSHA has never promulgated a federal standard to protect workers from heat stress</w:t>
      </w:r>
      <w:r w:rsidR="009A7675" w:rsidRPr="002F64A6">
        <w:rPr>
          <w:rFonts w:asciiTheme="majorBidi" w:hAnsiTheme="majorBidi" w:cstheme="majorBidi"/>
          <w:szCs w:val="24"/>
        </w:rPr>
        <w:t>, as recommended by its sister agency</w:t>
      </w:r>
      <w:r w:rsidRPr="002F64A6">
        <w:rPr>
          <w:rFonts w:asciiTheme="majorBidi" w:hAnsiTheme="majorBidi" w:cstheme="majorBidi"/>
          <w:szCs w:val="24"/>
        </w:rPr>
        <w:t>.</w:t>
      </w:r>
      <w:r w:rsidR="00BC646B">
        <w:rPr>
          <w:rFonts w:asciiTheme="majorBidi" w:hAnsiTheme="majorBidi" w:cstheme="majorBidi"/>
          <w:szCs w:val="24"/>
        </w:rPr>
        <w:t xml:space="preserve"> </w:t>
      </w:r>
      <w:r w:rsidR="00BC646B">
        <w:rPr>
          <w:rFonts w:asciiTheme="majorBidi" w:hAnsiTheme="majorBidi" w:cstheme="majorBidi"/>
          <w:szCs w:val="24"/>
        </w:rPr>
        <w:t>But three states, the military, and numerous countries have developed standards to protect workers from dangerous heat.</w:t>
      </w:r>
    </w:p>
    <w:p w14:paraId="566D8377" w14:textId="1796A299" w:rsidR="00ED710D" w:rsidRPr="002F64A6" w:rsidRDefault="00ED710D" w:rsidP="00E325F1">
      <w:pPr>
        <w:pStyle w:val="L2"/>
      </w:pPr>
      <w:bookmarkStart w:id="22" w:name="_Toc518979494"/>
      <w:r w:rsidRPr="002F64A6">
        <w:t>State standards</w:t>
      </w:r>
      <w:bookmarkEnd w:id="22"/>
    </w:p>
    <w:p w14:paraId="231F4CC6" w14:textId="7A2D1CE5" w:rsidR="00ED710D" w:rsidRPr="002F64A6" w:rsidRDefault="00ED710D" w:rsidP="00ED710D">
      <w:pPr>
        <w:rPr>
          <w:rFonts w:asciiTheme="majorBidi" w:hAnsiTheme="majorBidi" w:cstheme="majorBidi"/>
          <w:szCs w:val="24"/>
        </w:rPr>
      </w:pPr>
      <w:r w:rsidRPr="002F64A6">
        <w:rPr>
          <w:rFonts w:asciiTheme="majorBidi" w:hAnsiTheme="majorBidi" w:cstheme="majorBidi"/>
          <w:szCs w:val="24"/>
        </w:rPr>
        <w:t>Three states</w:t>
      </w:r>
      <w:r w:rsidR="006141CD">
        <w:rPr>
          <w:rFonts w:asciiTheme="majorBidi" w:hAnsiTheme="majorBidi" w:cstheme="majorBidi"/>
          <w:szCs w:val="24"/>
        </w:rPr>
        <w:t>—</w:t>
      </w:r>
      <w:r w:rsidRPr="002F64A6">
        <w:rPr>
          <w:rFonts w:asciiTheme="majorBidi" w:hAnsiTheme="majorBidi" w:cstheme="majorBidi"/>
          <w:szCs w:val="24"/>
        </w:rPr>
        <w:t>California,</w:t>
      </w:r>
      <w:r w:rsidRPr="002F64A6">
        <w:rPr>
          <w:rStyle w:val="FootnoteReference"/>
          <w:rFonts w:asciiTheme="majorBidi" w:hAnsiTheme="majorBidi" w:cstheme="majorBidi"/>
          <w:szCs w:val="24"/>
        </w:rPr>
        <w:footnoteReference w:id="86"/>
      </w:r>
      <w:r w:rsidRPr="002F64A6">
        <w:rPr>
          <w:rFonts w:asciiTheme="majorBidi" w:hAnsiTheme="majorBidi" w:cstheme="majorBidi"/>
          <w:szCs w:val="24"/>
        </w:rPr>
        <w:t xml:space="preserve"> Minnesota,</w:t>
      </w:r>
      <w:r w:rsidRPr="002F64A6">
        <w:rPr>
          <w:rStyle w:val="FootnoteReference"/>
          <w:rFonts w:asciiTheme="majorBidi" w:hAnsiTheme="majorBidi" w:cstheme="majorBidi"/>
          <w:szCs w:val="24"/>
        </w:rPr>
        <w:footnoteReference w:id="87"/>
      </w:r>
      <w:r w:rsidRPr="002F64A6">
        <w:rPr>
          <w:rFonts w:asciiTheme="majorBidi" w:hAnsiTheme="majorBidi" w:cstheme="majorBidi"/>
          <w:szCs w:val="24"/>
        </w:rPr>
        <w:t xml:space="preserve"> and Washington</w:t>
      </w:r>
      <w:r w:rsidRPr="002F64A6">
        <w:rPr>
          <w:rStyle w:val="FootnoteReference"/>
          <w:rFonts w:asciiTheme="majorBidi" w:hAnsiTheme="majorBidi" w:cstheme="majorBidi"/>
          <w:szCs w:val="24"/>
        </w:rPr>
        <w:footnoteReference w:id="88"/>
      </w:r>
      <w:r w:rsidR="006141CD">
        <w:rPr>
          <w:rFonts w:asciiTheme="majorBidi" w:hAnsiTheme="majorBidi" w:cstheme="majorBidi"/>
          <w:szCs w:val="24"/>
        </w:rPr>
        <w:t>—</w:t>
      </w:r>
      <w:r w:rsidRPr="002F64A6">
        <w:rPr>
          <w:rFonts w:asciiTheme="majorBidi" w:hAnsiTheme="majorBidi" w:cstheme="majorBidi"/>
          <w:szCs w:val="24"/>
        </w:rPr>
        <w:t>have implemented standards protecting outdoor (CA and WA) or indoor (MN) workers f</w:t>
      </w:r>
      <w:r w:rsidR="00F70FF8">
        <w:rPr>
          <w:rFonts w:asciiTheme="majorBidi" w:hAnsiTheme="majorBidi" w:cstheme="majorBidi"/>
          <w:szCs w:val="24"/>
        </w:rPr>
        <w:t>rom heat stress. In addition, California</w:t>
      </w:r>
      <w:r w:rsidRPr="002F64A6">
        <w:rPr>
          <w:rFonts w:asciiTheme="majorBidi" w:hAnsiTheme="majorBidi" w:cstheme="majorBidi"/>
          <w:szCs w:val="24"/>
        </w:rPr>
        <w:t xml:space="preserve"> is scheduled to propose a heat stress standard for indoor workers in January 2019.</w:t>
      </w:r>
      <w:r w:rsidRPr="002F64A6">
        <w:rPr>
          <w:rStyle w:val="FootnoteReference"/>
          <w:rFonts w:asciiTheme="majorBidi" w:hAnsiTheme="majorBidi" w:cstheme="majorBidi"/>
          <w:szCs w:val="24"/>
        </w:rPr>
        <w:footnoteReference w:id="89"/>
      </w:r>
      <w:r w:rsidRPr="002F64A6">
        <w:rPr>
          <w:rFonts w:asciiTheme="majorBidi" w:hAnsiTheme="majorBidi" w:cstheme="majorBidi"/>
          <w:szCs w:val="24"/>
        </w:rPr>
        <w:t xml:space="preserve"> Although these state standards fall short of the NIOSH recommendations</w:t>
      </w:r>
      <w:r w:rsidR="008C1B77">
        <w:rPr>
          <w:rFonts w:asciiTheme="majorBidi" w:hAnsiTheme="majorBidi" w:cstheme="majorBidi"/>
          <w:szCs w:val="24"/>
        </w:rPr>
        <w:t xml:space="preserve"> (see </w:t>
      </w:r>
      <w:r w:rsidR="008C1B77">
        <w:rPr>
          <w:rFonts w:asciiTheme="majorBidi" w:hAnsiTheme="majorBidi" w:cstheme="majorBidi"/>
          <w:szCs w:val="24"/>
        </w:rPr>
        <w:fldChar w:fldCharType="begin"/>
      </w:r>
      <w:r w:rsidR="008C1B77">
        <w:rPr>
          <w:rFonts w:asciiTheme="majorBidi" w:hAnsiTheme="majorBidi" w:cstheme="majorBidi"/>
          <w:szCs w:val="24"/>
        </w:rPr>
        <w:instrText xml:space="preserve"> REF _Ref514923987 \h </w:instrText>
      </w:r>
      <w:r w:rsidR="008C1B77">
        <w:rPr>
          <w:rFonts w:asciiTheme="majorBidi" w:hAnsiTheme="majorBidi" w:cstheme="majorBidi"/>
          <w:szCs w:val="24"/>
        </w:rPr>
      </w:r>
      <w:r w:rsidR="008C1B77">
        <w:rPr>
          <w:rFonts w:asciiTheme="majorBidi" w:hAnsiTheme="majorBidi" w:cstheme="majorBidi"/>
          <w:szCs w:val="24"/>
        </w:rPr>
        <w:fldChar w:fldCharType="separate"/>
      </w:r>
      <w:r w:rsidR="00E35FAB" w:rsidRPr="002F64A6">
        <w:t xml:space="preserve">Table </w:t>
      </w:r>
      <w:r w:rsidR="00E35FAB">
        <w:rPr>
          <w:noProof/>
        </w:rPr>
        <w:t>3</w:t>
      </w:r>
      <w:r w:rsidR="008C1B77">
        <w:rPr>
          <w:rFonts w:asciiTheme="majorBidi" w:hAnsiTheme="majorBidi" w:cstheme="majorBidi"/>
          <w:szCs w:val="24"/>
        </w:rPr>
        <w:fldChar w:fldCharType="end"/>
      </w:r>
      <w:r w:rsidR="008C1B77">
        <w:rPr>
          <w:rFonts w:asciiTheme="majorBidi" w:hAnsiTheme="majorBidi" w:cstheme="majorBidi"/>
          <w:szCs w:val="24"/>
        </w:rPr>
        <w:t xml:space="preserve"> for a comparison)</w:t>
      </w:r>
      <w:r w:rsidRPr="002F64A6">
        <w:rPr>
          <w:rFonts w:asciiTheme="majorBidi" w:hAnsiTheme="majorBidi" w:cstheme="majorBidi"/>
          <w:szCs w:val="24"/>
        </w:rPr>
        <w:t>, they demonstrate the feasibility of heat stress regulations at the state and federal levels. California</w:t>
      </w:r>
      <w:r w:rsidR="00DB23CF">
        <w:rPr>
          <w:rFonts w:asciiTheme="majorBidi" w:hAnsiTheme="majorBidi" w:cstheme="majorBidi"/>
          <w:szCs w:val="24"/>
        </w:rPr>
        <w:t>’</w:t>
      </w:r>
      <w:r w:rsidRPr="002F64A6">
        <w:rPr>
          <w:rFonts w:asciiTheme="majorBidi" w:hAnsiTheme="majorBidi" w:cstheme="majorBidi"/>
          <w:szCs w:val="24"/>
        </w:rPr>
        <w:t>s heat stress standard</w:t>
      </w:r>
      <w:r w:rsidR="002E71ED" w:rsidRPr="002F64A6">
        <w:rPr>
          <w:rFonts w:asciiTheme="majorBidi" w:hAnsiTheme="majorBidi" w:cstheme="majorBidi"/>
          <w:szCs w:val="24"/>
        </w:rPr>
        <w:t>, although limited to</w:t>
      </w:r>
      <w:r w:rsidR="0086397E">
        <w:rPr>
          <w:rFonts w:asciiTheme="majorBidi" w:hAnsiTheme="majorBidi" w:cstheme="majorBidi"/>
          <w:szCs w:val="24"/>
        </w:rPr>
        <w:t xml:space="preserve"> </w:t>
      </w:r>
      <w:r w:rsidRPr="002F64A6">
        <w:rPr>
          <w:rFonts w:asciiTheme="majorBidi" w:hAnsiTheme="majorBidi" w:cstheme="majorBidi"/>
          <w:szCs w:val="24"/>
        </w:rPr>
        <w:t>outdoor workers</w:t>
      </w:r>
      <w:r w:rsidR="002E71ED" w:rsidRPr="002F64A6">
        <w:rPr>
          <w:rFonts w:asciiTheme="majorBidi" w:hAnsiTheme="majorBidi" w:cstheme="majorBidi"/>
          <w:szCs w:val="24"/>
        </w:rPr>
        <w:t>,</w:t>
      </w:r>
      <w:r w:rsidRPr="002F64A6">
        <w:rPr>
          <w:rFonts w:asciiTheme="majorBidi" w:hAnsiTheme="majorBidi" w:cstheme="majorBidi"/>
          <w:szCs w:val="24"/>
        </w:rPr>
        <w:t xml:space="preserve"> is the most comprehensive and detailed. A summary of the three state standards is found in</w:t>
      </w:r>
      <w:r w:rsidR="00913F30" w:rsidRPr="002F64A6">
        <w:rPr>
          <w:rFonts w:asciiTheme="majorBidi" w:hAnsiTheme="majorBidi" w:cstheme="majorBidi"/>
          <w:szCs w:val="24"/>
        </w:rPr>
        <w:t xml:space="preserve"> </w:t>
      </w:r>
      <w:r w:rsidR="00913F30" w:rsidRPr="002F64A6">
        <w:rPr>
          <w:rFonts w:asciiTheme="majorBidi" w:hAnsiTheme="majorBidi" w:cstheme="majorBidi"/>
          <w:b/>
          <w:bCs/>
          <w:color w:val="000000" w:themeColor="text1"/>
          <w:sz w:val="22"/>
          <w:szCs w:val="24"/>
        </w:rPr>
        <w:fldChar w:fldCharType="begin"/>
      </w:r>
      <w:r w:rsidR="00913F30" w:rsidRPr="002F64A6">
        <w:rPr>
          <w:rFonts w:asciiTheme="majorBidi" w:hAnsiTheme="majorBidi" w:cstheme="majorBidi"/>
          <w:szCs w:val="24"/>
        </w:rPr>
        <w:instrText xml:space="preserve"> REF _Ref514923987 \h </w:instrText>
      </w:r>
      <w:r w:rsidR="003772BF" w:rsidRPr="002F64A6">
        <w:rPr>
          <w:rFonts w:asciiTheme="majorBidi" w:hAnsiTheme="majorBidi" w:cstheme="majorBidi"/>
          <w:szCs w:val="24"/>
        </w:rPr>
        <w:instrText xml:space="preserve"> \* MERGEFORMAT </w:instrText>
      </w:r>
      <w:r w:rsidR="00913F30" w:rsidRPr="002F64A6">
        <w:rPr>
          <w:rFonts w:asciiTheme="majorBidi" w:hAnsiTheme="majorBidi" w:cstheme="majorBidi"/>
          <w:b/>
          <w:bCs/>
          <w:color w:val="000000" w:themeColor="text1"/>
          <w:sz w:val="22"/>
          <w:szCs w:val="24"/>
        </w:rPr>
      </w:r>
      <w:r w:rsidR="00913F30" w:rsidRPr="002F64A6">
        <w:rPr>
          <w:rFonts w:asciiTheme="majorBidi" w:hAnsiTheme="majorBidi" w:cstheme="majorBidi"/>
          <w:b/>
          <w:bCs/>
          <w:color w:val="000000" w:themeColor="text1"/>
          <w:sz w:val="22"/>
          <w:szCs w:val="24"/>
        </w:rPr>
        <w:fldChar w:fldCharType="separate"/>
      </w:r>
      <w:r w:rsidR="00E35FAB" w:rsidRPr="002F64A6">
        <w:t xml:space="preserve">Table </w:t>
      </w:r>
      <w:r w:rsidR="00E35FAB">
        <w:rPr>
          <w:noProof/>
        </w:rPr>
        <w:t>3</w:t>
      </w:r>
      <w:r w:rsidR="00913F30" w:rsidRPr="002F64A6">
        <w:rPr>
          <w:rFonts w:asciiTheme="majorBidi" w:hAnsiTheme="majorBidi" w:cstheme="majorBidi"/>
          <w:b/>
          <w:bCs/>
          <w:color w:val="000000" w:themeColor="text1"/>
          <w:sz w:val="22"/>
          <w:szCs w:val="24"/>
        </w:rPr>
        <w:fldChar w:fldCharType="end"/>
      </w:r>
      <w:r w:rsidR="00064DDE" w:rsidRPr="002F64A6">
        <w:rPr>
          <w:rFonts w:asciiTheme="majorBidi" w:hAnsiTheme="majorBidi" w:cstheme="majorBidi"/>
          <w:szCs w:val="24"/>
        </w:rPr>
        <w:t>.</w:t>
      </w:r>
    </w:p>
    <w:p w14:paraId="698754DE" w14:textId="512CE9F8" w:rsidR="009D1E48" w:rsidRPr="002F64A6" w:rsidRDefault="009D1E48" w:rsidP="009D1E48">
      <w:pPr>
        <w:pStyle w:val="Caption"/>
      </w:pPr>
      <w:bookmarkStart w:id="23" w:name="_Ref514923987"/>
      <w:r w:rsidRPr="002F64A6">
        <w:lastRenderedPageBreak/>
        <w:t xml:space="preserve">Table </w:t>
      </w:r>
      <w:r w:rsidR="00A46EC9">
        <w:fldChar w:fldCharType="begin"/>
      </w:r>
      <w:r w:rsidR="00A46EC9">
        <w:instrText xml:space="preserve"> SEQ Table \* ARABIC </w:instrText>
      </w:r>
      <w:r w:rsidR="00A46EC9">
        <w:fldChar w:fldCharType="separate"/>
      </w:r>
      <w:r w:rsidR="00E35FAB">
        <w:rPr>
          <w:noProof/>
        </w:rPr>
        <w:t>3</w:t>
      </w:r>
      <w:r w:rsidR="00A46EC9">
        <w:rPr>
          <w:noProof/>
        </w:rPr>
        <w:fldChar w:fldCharType="end"/>
      </w:r>
      <w:bookmarkEnd w:id="23"/>
      <w:r w:rsidRPr="002F64A6">
        <w:t>. Comparison of state and military heat standards with NIOSH and ACGIH recommendations</w:t>
      </w:r>
    </w:p>
    <w:tbl>
      <w:tblPr>
        <w:tblStyle w:val="LightShading-Accent5"/>
        <w:tblW w:w="4900" w:type="pct"/>
        <w:jc w:val="center"/>
        <w:tblLayout w:type="fixed"/>
        <w:tblLook w:val="04A0" w:firstRow="1" w:lastRow="0" w:firstColumn="1" w:lastColumn="0" w:noHBand="0" w:noVBand="1"/>
      </w:tblPr>
      <w:tblGrid>
        <w:gridCol w:w="1154"/>
        <w:gridCol w:w="1334"/>
        <w:gridCol w:w="1335"/>
        <w:gridCol w:w="1335"/>
        <w:gridCol w:w="1335"/>
        <w:gridCol w:w="1335"/>
        <w:gridCol w:w="1335"/>
      </w:tblGrid>
      <w:tr w:rsidR="008D3D62" w:rsidRPr="002F64A6" w14:paraId="19C88789" w14:textId="77777777" w:rsidTr="00513064">
        <w:trPr>
          <w:cnfStyle w:val="100000000000" w:firstRow="1" w:lastRow="0" w:firstColumn="0" w:lastColumn="0" w:oddVBand="0" w:evenVBand="0" w:oddHBand="0" w:evenHBand="0" w:firstRowFirstColumn="0" w:firstRowLastColumn="0" w:lastRowFirstColumn="0" w:lastRowLastColumn="0"/>
          <w:cantSplit/>
          <w:trHeight w:val="540"/>
          <w:jc w:val="center"/>
        </w:trPr>
        <w:tc>
          <w:tcPr>
            <w:cnfStyle w:val="001000000000" w:firstRow="0" w:lastRow="0" w:firstColumn="1" w:lastColumn="0" w:oddVBand="0" w:evenVBand="0" w:oddHBand="0" w:evenHBand="0" w:firstRowFirstColumn="0" w:firstRowLastColumn="0" w:lastRowFirstColumn="0" w:lastRowLastColumn="0"/>
            <w:tcW w:w="1182" w:type="dxa"/>
            <w:hideMark/>
          </w:tcPr>
          <w:p w14:paraId="18E967C0" w14:textId="77777777" w:rsidR="00DC194A" w:rsidRPr="002F64A6" w:rsidRDefault="00DC194A" w:rsidP="00E57E59">
            <w:pPr>
              <w:keepNext/>
              <w:spacing w:after="0"/>
              <w:rPr>
                <w:rFonts w:ascii="Calibri" w:eastAsia="Times New Roman" w:hAnsi="Calibri" w:cs="Calibri"/>
                <w:b/>
                <w:color w:val="FFFFFF"/>
                <w:sz w:val="18"/>
                <w:szCs w:val="18"/>
              </w:rPr>
            </w:pPr>
            <w:r w:rsidRPr="002F64A6">
              <w:rPr>
                <w:rFonts w:ascii="Calibri" w:eastAsia="Times New Roman" w:hAnsi="Calibri" w:cs="Calibri"/>
                <w:b/>
                <w:color w:val="FFFFFF"/>
                <w:sz w:val="18"/>
                <w:szCs w:val="18"/>
              </w:rPr>
              <w:t>Key Element of Standard</w:t>
            </w:r>
          </w:p>
        </w:tc>
        <w:tc>
          <w:tcPr>
            <w:tcW w:w="1367" w:type="dxa"/>
            <w:hideMark/>
          </w:tcPr>
          <w:p w14:paraId="4D3DEEB7" w14:textId="74DBB262" w:rsidR="00DC194A" w:rsidRPr="002F64A6" w:rsidRDefault="00DC194A" w:rsidP="00E57E59">
            <w:pPr>
              <w:keepNext/>
              <w:spacing w:after="0"/>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color w:val="FFFFFF"/>
                <w:sz w:val="18"/>
                <w:szCs w:val="18"/>
              </w:rPr>
            </w:pPr>
            <w:r w:rsidRPr="002F64A6">
              <w:rPr>
                <w:rFonts w:ascii="Calibri" w:eastAsia="Times New Roman" w:hAnsi="Calibri" w:cs="Calibri"/>
                <w:b/>
                <w:color w:val="FFFFFF"/>
                <w:sz w:val="18"/>
                <w:szCs w:val="18"/>
              </w:rPr>
              <w:t>California</w:t>
            </w:r>
            <w:r w:rsidR="00D714B9" w:rsidRPr="002F64A6">
              <w:rPr>
                <w:rFonts w:ascii="Calibri" w:eastAsia="Times New Roman" w:hAnsi="Calibri" w:cs="Calibri"/>
                <w:b/>
                <w:color w:val="FFFFFF"/>
                <w:sz w:val="18"/>
                <w:szCs w:val="18"/>
              </w:rPr>
              <w:t>*</w:t>
            </w:r>
          </w:p>
        </w:tc>
        <w:tc>
          <w:tcPr>
            <w:tcW w:w="1367" w:type="dxa"/>
            <w:hideMark/>
          </w:tcPr>
          <w:p w14:paraId="5BFBC4A3" w14:textId="5167C238" w:rsidR="00DC194A" w:rsidRPr="002F64A6" w:rsidRDefault="00DC194A" w:rsidP="00E57E59">
            <w:pPr>
              <w:keepNext/>
              <w:spacing w:after="0"/>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color w:val="FFFFFF"/>
                <w:sz w:val="18"/>
                <w:szCs w:val="18"/>
              </w:rPr>
            </w:pPr>
            <w:r w:rsidRPr="002F64A6">
              <w:rPr>
                <w:rFonts w:ascii="Calibri" w:eastAsia="Times New Roman" w:hAnsi="Calibri" w:cs="Calibri"/>
                <w:b/>
                <w:color w:val="FFFFFF"/>
                <w:sz w:val="18"/>
                <w:szCs w:val="18"/>
              </w:rPr>
              <w:t>Washington</w:t>
            </w:r>
            <w:r w:rsidR="00D714B9" w:rsidRPr="002F64A6">
              <w:rPr>
                <w:rFonts w:ascii="Calibri" w:eastAsia="Times New Roman" w:hAnsi="Calibri" w:cs="Calibri"/>
                <w:b/>
                <w:color w:val="FFFFFF"/>
                <w:sz w:val="18"/>
                <w:szCs w:val="18"/>
              </w:rPr>
              <w:t>**</w:t>
            </w:r>
          </w:p>
        </w:tc>
        <w:tc>
          <w:tcPr>
            <w:tcW w:w="1367" w:type="dxa"/>
            <w:hideMark/>
          </w:tcPr>
          <w:p w14:paraId="64B3791B" w14:textId="1492C6A6" w:rsidR="00DC194A" w:rsidRPr="002F64A6" w:rsidRDefault="00DC194A" w:rsidP="00E57E59">
            <w:pPr>
              <w:keepNext/>
              <w:spacing w:after="0"/>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color w:val="FFFFFF"/>
                <w:sz w:val="18"/>
                <w:szCs w:val="18"/>
              </w:rPr>
            </w:pPr>
            <w:r w:rsidRPr="002F64A6">
              <w:rPr>
                <w:rFonts w:ascii="Calibri" w:eastAsia="Times New Roman" w:hAnsi="Calibri" w:cs="Calibri"/>
                <w:b/>
                <w:color w:val="FFFFFF"/>
                <w:sz w:val="18"/>
                <w:szCs w:val="18"/>
              </w:rPr>
              <w:t>Minnesota</w:t>
            </w:r>
            <w:r w:rsidR="00D714B9" w:rsidRPr="002F64A6">
              <w:rPr>
                <w:rFonts w:ascii="Calibri" w:eastAsia="Times New Roman" w:hAnsi="Calibri" w:cs="Calibri"/>
                <w:b/>
                <w:color w:val="FFFFFF"/>
                <w:sz w:val="18"/>
                <w:szCs w:val="18"/>
              </w:rPr>
              <w:t>***</w:t>
            </w:r>
          </w:p>
        </w:tc>
        <w:tc>
          <w:tcPr>
            <w:tcW w:w="1367" w:type="dxa"/>
            <w:hideMark/>
          </w:tcPr>
          <w:p w14:paraId="5439DD1F" w14:textId="78BF1F1D" w:rsidR="00DC194A" w:rsidRPr="002F64A6" w:rsidRDefault="00DC194A" w:rsidP="004C4662">
            <w:pPr>
              <w:keepNext/>
              <w:spacing w:after="0"/>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color w:val="FFFFFF"/>
                <w:sz w:val="18"/>
                <w:szCs w:val="18"/>
              </w:rPr>
            </w:pPr>
            <w:r w:rsidRPr="002F64A6">
              <w:rPr>
                <w:rFonts w:ascii="Calibri" w:eastAsia="Times New Roman" w:hAnsi="Calibri" w:cs="Calibri"/>
                <w:b/>
                <w:color w:val="FFFFFF"/>
                <w:sz w:val="18"/>
                <w:szCs w:val="18"/>
              </w:rPr>
              <w:t>Military</w:t>
            </w:r>
            <w:r w:rsidR="004C4662" w:rsidRPr="002F64A6">
              <w:rPr>
                <w:rFonts w:eastAsia="Times New Roman"/>
                <w:sz w:val="18"/>
                <w:szCs w:val="18"/>
                <w:vertAlign w:val="superscript"/>
              </w:rPr>
              <w:t>†</w:t>
            </w:r>
          </w:p>
        </w:tc>
        <w:tc>
          <w:tcPr>
            <w:tcW w:w="1367" w:type="dxa"/>
            <w:hideMark/>
          </w:tcPr>
          <w:p w14:paraId="4AE4BFB5" w14:textId="78B5A63D" w:rsidR="00DC194A" w:rsidRPr="002F64A6" w:rsidRDefault="00DC194A" w:rsidP="00E57E59">
            <w:pPr>
              <w:keepNext/>
              <w:spacing w:after="0"/>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color w:val="FFFFFF"/>
                <w:sz w:val="18"/>
                <w:szCs w:val="18"/>
              </w:rPr>
            </w:pPr>
            <w:r w:rsidRPr="002F64A6">
              <w:rPr>
                <w:rFonts w:ascii="Calibri" w:eastAsia="Times New Roman" w:hAnsi="Calibri" w:cs="Calibri"/>
                <w:b/>
                <w:color w:val="FFFFFF"/>
                <w:sz w:val="18"/>
                <w:szCs w:val="18"/>
              </w:rPr>
              <w:t>NIOSH</w:t>
            </w:r>
            <w:r w:rsidR="004C4662" w:rsidRPr="002F64A6">
              <w:rPr>
                <w:rFonts w:eastAsia="Times New Roman"/>
                <w:sz w:val="18"/>
                <w:szCs w:val="18"/>
                <w:vertAlign w:val="superscript"/>
              </w:rPr>
              <w:t>‡</w:t>
            </w:r>
          </w:p>
        </w:tc>
        <w:tc>
          <w:tcPr>
            <w:tcW w:w="1367" w:type="dxa"/>
            <w:hideMark/>
          </w:tcPr>
          <w:p w14:paraId="449B6D9A" w14:textId="3C25FDDF" w:rsidR="00DC194A" w:rsidRPr="002F64A6" w:rsidRDefault="00DC194A" w:rsidP="004C4662">
            <w:pPr>
              <w:keepNext/>
              <w:spacing w:after="0"/>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color w:val="FFFFFF"/>
                <w:sz w:val="18"/>
                <w:szCs w:val="18"/>
                <w:vertAlign w:val="superscript"/>
              </w:rPr>
            </w:pPr>
            <w:r w:rsidRPr="002F64A6">
              <w:rPr>
                <w:rFonts w:ascii="Calibri" w:eastAsia="Times New Roman" w:hAnsi="Calibri" w:cs="Calibri"/>
                <w:b/>
                <w:color w:val="FFFFFF"/>
                <w:sz w:val="18"/>
                <w:szCs w:val="18"/>
              </w:rPr>
              <w:t>ACGIH</w:t>
            </w:r>
            <w:r w:rsidR="004C4662" w:rsidRPr="002F64A6">
              <w:rPr>
                <w:rFonts w:ascii="Calibri" w:eastAsia="Times New Roman" w:hAnsi="Calibri" w:cs="Calibri"/>
                <w:b/>
                <w:color w:val="FFFFFF"/>
                <w:sz w:val="18"/>
                <w:szCs w:val="18"/>
                <w:vertAlign w:val="superscript"/>
              </w:rPr>
              <w:t>§</w:t>
            </w:r>
          </w:p>
        </w:tc>
      </w:tr>
      <w:tr w:rsidR="00150799" w:rsidRPr="002F64A6" w14:paraId="7D65FAAE" w14:textId="77777777" w:rsidTr="00513064">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182" w:type="dxa"/>
            <w:vAlign w:val="top"/>
            <w:hideMark/>
          </w:tcPr>
          <w:p w14:paraId="3D045D66" w14:textId="1A3789A1" w:rsidR="00DC194A" w:rsidRPr="002F64A6" w:rsidRDefault="008D3D62" w:rsidP="00E57E59">
            <w:pPr>
              <w:pStyle w:val="TableLeft"/>
              <w:rPr>
                <w:b/>
                <w:bCs/>
                <w:sz w:val="14"/>
                <w:szCs w:val="14"/>
              </w:rPr>
            </w:pPr>
            <w:r w:rsidRPr="002F64A6">
              <w:rPr>
                <w:b/>
                <w:bCs/>
                <w:sz w:val="14"/>
                <w:szCs w:val="14"/>
              </w:rPr>
              <w:t>Worksites</w:t>
            </w:r>
          </w:p>
        </w:tc>
        <w:tc>
          <w:tcPr>
            <w:tcW w:w="1367" w:type="dxa"/>
            <w:vAlign w:val="top"/>
            <w:hideMark/>
          </w:tcPr>
          <w:p w14:paraId="6B7FE898" w14:textId="77777777" w:rsidR="00DC194A" w:rsidRPr="002F64A6" w:rsidRDefault="00DC194A" w:rsidP="00E57E59">
            <w:pPr>
              <w:pStyle w:val="TableLeft"/>
              <w:cnfStyle w:val="000000100000" w:firstRow="0" w:lastRow="0" w:firstColumn="0" w:lastColumn="0" w:oddVBand="0" w:evenVBand="0" w:oddHBand="1" w:evenHBand="0" w:firstRowFirstColumn="0" w:firstRowLastColumn="0" w:lastRowFirstColumn="0" w:lastRowLastColumn="0"/>
              <w:rPr>
                <w:sz w:val="13"/>
                <w:szCs w:val="13"/>
              </w:rPr>
            </w:pPr>
            <w:r w:rsidRPr="002F64A6">
              <w:rPr>
                <w:sz w:val="13"/>
                <w:szCs w:val="13"/>
              </w:rPr>
              <w:t>Outdoor</w:t>
            </w:r>
          </w:p>
        </w:tc>
        <w:tc>
          <w:tcPr>
            <w:tcW w:w="1367" w:type="dxa"/>
            <w:vAlign w:val="top"/>
            <w:hideMark/>
          </w:tcPr>
          <w:p w14:paraId="250B078E" w14:textId="77777777" w:rsidR="00DC194A" w:rsidRPr="002F64A6" w:rsidRDefault="00DC194A" w:rsidP="00E57E59">
            <w:pPr>
              <w:pStyle w:val="TableLeft"/>
              <w:cnfStyle w:val="000000100000" w:firstRow="0" w:lastRow="0" w:firstColumn="0" w:lastColumn="0" w:oddVBand="0" w:evenVBand="0" w:oddHBand="1" w:evenHBand="0" w:firstRowFirstColumn="0" w:firstRowLastColumn="0" w:lastRowFirstColumn="0" w:lastRowLastColumn="0"/>
              <w:rPr>
                <w:sz w:val="13"/>
                <w:szCs w:val="13"/>
              </w:rPr>
            </w:pPr>
            <w:r w:rsidRPr="002F64A6">
              <w:rPr>
                <w:sz w:val="13"/>
                <w:szCs w:val="13"/>
              </w:rPr>
              <w:t>Outdoor</w:t>
            </w:r>
          </w:p>
        </w:tc>
        <w:tc>
          <w:tcPr>
            <w:tcW w:w="1367" w:type="dxa"/>
            <w:vAlign w:val="top"/>
            <w:hideMark/>
          </w:tcPr>
          <w:p w14:paraId="332DA17D" w14:textId="77777777" w:rsidR="00DC194A" w:rsidRPr="002F64A6" w:rsidRDefault="00DC194A" w:rsidP="00E57E59">
            <w:pPr>
              <w:pStyle w:val="TableLeft"/>
              <w:cnfStyle w:val="000000100000" w:firstRow="0" w:lastRow="0" w:firstColumn="0" w:lastColumn="0" w:oddVBand="0" w:evenVBand="0" w:oddHBand="1" w:evenHBand="0" w:firstRowFirstColumn="0" w:firstRowLastColumn="0" w:lastRowFirstColumn="0" w:lastRowLastColumn="0"/>
              <w:rPr>
                <w:sz w:val="13"/>
                <w:szCs w:val="13"/>
              </w:rPr>
            </w:pPr>
            <w:r w:rsidRPr="002F64A6">
              <w:rPr>
                <w:sz w:val="13"/>
                <w:szCs w:val="13"/>
              </w:rPr>
              <w:t>Indoor</w:t>
            </w:r>
          </w:p>
        </w:tc>
        <w:tc>
          <w:tcPr>
            <w:tcW w:w="1367" w:type="dxa"/>
            <w:vAlign w:val="top"/>
            <w:hideMark/>
          </w:tcPr>
          <w:p w14:paraId="7898F626" w14:textId="77777777" w:rsidR="00DC194A" w:rsidRPr="002F64A6" w:rsidRDefault="00DC194A" w:rsidP="00E57E59">
            <w:pPr>
              <w:pStyle w:val="TableLeft"/>
              <w:cnfStyle w:val="000000100000" w:firstRow="0" w:lastRow="0" w:firstColumn="0" w:lastColumn="0" w:oddVBand="0" w:evenVBand="0" w:oddHBand="1" w:evenHBand="0" w:firstRowFirstColumn="0" w:firstRowLastColumn="0" w:lastRowFirstColumn="0" w:lastRowLastColumn="0"/>
              <w:rPr>
                <w:sz w:val="13"/>
                <w:szCs w:val="13"/>
              </w:rPr>
            </w:pPr>
            <w:r w:rsidRPr="002F64A6">
              <w:rPr>
                <w:sz w:val="13"/>
                <w:szCs w:val="13"/>
              </w:rPr>
              <w:t>All worksites</w:t>
            </w:r>
          </w:p>
        </w:tc>
        <w:tc>
          <w:tcPr>
            <w:tcW w:w="1367" w:type="dxa"/>
            <w:vAlign w:val="top"/>
            <w:hideMark/>
          </w:tcPr>
          <w:p w14:paraId="1F28036C" w14:textId="77777777" w:rsidR="00DC194A" w:rsidRPr="002F64A6" w:rsidRDefault="00DC194A" w:rsidP="00E57E59">
            <w:pPr>
              <w:pStyle w:val="TableLeft"/>
              <w:cnfStyle w:val="000000100000" w:firstRow="0" w:lastRow="0" w:firstColumn="0" w:lastColumn="0" w:oddVBand="0" w:evenVBand="0" w:oddHBand="1" w:evenHBand="0" w:firstRowFirstColumn="0" w:firstRowLastColumn="0" w:lastRowFirstColumn="0" w:lastRowLastColumn="0"/>
              <w:rPr>
                <w:sz w:val="13"/>
                <w:szCs w:val="13"/>
              </w:rPr>
            </w:pPr>
            <w:r w:rsidRPr="002F64A6">
              <w:rPr>
                <w:sz w:val="13"/>
                <w:szCs w:val="13"/>
              </w:rPr>
              <w:t>All worksites</w:t>
            </w:r>
          </w:p>
        </w:tc>
        <w:tc>
          <w:tcPr>
            <w:tcW w:w="1367" w:type="dxa"/>
            <w:vAlign w:val="top"/>
            <w:hideMark/>
          </w:tcPr>
          <w:p w14:paraId="5D180433" w14:textId="77777777" w:rsidR="00DC194A" w:rsidRPr="002F64A6" w:rsidRDefault="00DC194A" w:rsidP="00E57E59">
            <w:pPr>
              <w:pStyle w:val="TableLeft"/>
              <w:cnfStyle w:val="000000100000" w:firstRow="0" w:lastRow="0" w:firstColumn="0" w:lastColumn="0" w:oddVBand="0" w:evenVBand="0" w:oddHBand="1" w:evenHBand="0" w:firstRowFirstColumn="0" w:firstRowLastColumn="0" w:lastRowFirstColumn="0" w:lastRowLastColumn="0"/>
              <w:rPr>
                <w:sz w:val="13"/>
                <w:szCs w:val="13"/>
              </w:rPr>
            </w:pPr>
            <w:r w:rsidRPr="002F64A6">
              <w:rPr>
                <w:sz w:val="13"/>
                <w:szCs w:val="13"/>
              </w:rPr>
              <w:t>All worksites</w:t>
            </w:r>
          </w:p>
        </w:tc>
      </w:tr>
      <w:tr w:rsidR="00150799" w:rsidRPr="002F64A6" w14:paraId="7FB1E540" w14:textId="77777777" w:rsidTr="00513064">
        <w:trPr>
          <w:cnfStyle w:val="000000010000" w:firstRow="0" w:lastRow="0" w:firstColumn="0" w:lastColumn="0" w:oddVBand="0" w:evenVBand="0" w:oddHBand="0" w:evenHBand="1"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182" w:type="dxa"/>
            <w:vAlign w:val="top"/>
            <w:hideMark/>
          </w:tcPr>
          <w:p w14:paraId="4C4EE377" w14:textId="31E4449E" w:rsidR="00DC194A" w:rsidRPr="002F64A6" w:rsidRDefault="008D3D62" w:rsidP="00150799">
            <w:pPr>
              <w:pStyle w:val="TableLeft"/>
              <w:rPr>
                <w:b/>
                <w:bCs/>
                <w:sz w:val="14"/>
                <w:szCs w:val="14"/>
              </w:rPr>
            </w:pPr>
            <w:r w:rsidRPr="002F64A6">
              <w:rPr>
                <w:b/>
                <w:bCs/>
                <w:sz w:val="14"/>
                <w:szCs w:val="14"/>
              </w:rPr>
              <w:t xml:space="preserve">Time of </w:t>
            </w:r>
            <w:r w:rsidR="00150799" w:rsidRPr="002F64A6">
              <w:rPr>
                <w:b/>
                <w:bCs/>
                <w:sz w:val="14"/>
                <w:szCs w:val="14"/>
              </w:rPr>
              <w:t>Y</w:t>
            </w:r>
            <w:r w:rsidRPr="002F64A6">
              <w:rPr>
                <w:b/>
                <w:bCs/>
                <w:sz w:val="14"/>
                <w:szCs w:val="14"/>
              </w:rPr>
              <w:t>ear</w:t>
            </w:r>
          </w:p>
        </w:tc>
        <w:tc>
          <w:tcPr>
            <w:tcW w:w="1367" w:type="dxa"/>
            <w:vAlign w:val="top"/>
            <w:hideMark/>
          </w:tcPr>
          <w:p w14:paraId="0979289F" w14:textId="77777777" w:rsidR="00DC194A" w:rsidRPr="002F64A6" w:rsidRDefault="00DC194A" w:rsidP="00E57E59">
            <w:pPr>
              <w:pStyle w:val="TableLeft"/>
              <w:cnfStyle w:val="000000010000" w:firstRow="0" w:lastRow="0" w:firstColumn="0" w:lastColumn="0" w:oddVBand="0" w:evenVBand="0" w:oddHBand="0" w:evenHBand="1" w:firstRowFirstColumn="0" w:firstRowLastColumn="0" w:lastRowFirstColumn="0" w:lastRowLastColumn="0"/>
              <w:rPr>
                <w:sz w:val="13"/>
                <w:szCs w:val="13"/>
              </w:rPr>
            </w:pPr>
            <w:r w:rsidRPr="002F64A6">
              <w:rPr>
                <w:sz w:val="13"/>
                <w:szCs w:val="13"/>
              </w:rPr>
              <w:t>Year-round</w:t>
            </w:r>
          </w:p>
        </w:tc>
        <w:tc>
          <w:tcPr>
            <w:tcW w:w="1367" w:type="dxa"/>
            <w:vAlign w:val="top"/>
            <w:hideMark/>
          </w:tcPr>
          <w:p w14:paraId="08180DD1" w14:textId="77777777" w:rsidR="00DC194A" w:rsidRPr="002F64A6" w:rsidRDefault="00DC194A" w:rsidP="00E57E59">
            <w:pPr>
              <w:pStyle w:val="TableLeft"/>
              <w:cnfStyle w:val="000000010000" w:firstRow="0" w:lastRow="0" w:firstColumn="0" w:lastColumn="0" w:oddVBand="0" w:evenVBand="0" w:oddHBand="0" w:evenHBand="1" w:firstRowFirstColumn="0" w:firstRowLastColumn="0" w:lastRowFirstColumn="0" w:lastRowLastColumn="0"/>
              <w:rPr>
                <w:sz w:val="13"/>
                <w:szCs w:val="13"/>
              </w:rPr>
            </w:pPr>
            <w:r w:rsidRPr="002F64A6">
              <w:rPr>
                <w:sz w:val="13"/>
                <w:szCs w:val="13"/>
              </w:rPr>
              <w:t>May 1 – Sept. 30</w:t>
            </w:r>
          </w:p>
        </w:tc>
        <w:tc>
          <w:tcPr>
            <w:tcW w:w="1367" w:type="dxa"/>
            <w:vAlign w:val="top"/>
            <w:hideMark/>
          </w:tcPr>
          <w:p w14:paraId="1DD6CB4B" w14:textId="77777777" w:rsidR="00DC194A" w:rsidRPr="002F64A6" w:rsidRDefault="00DC194A" w:rsidP="00E57E59">
            <w:pPr>
              <w:pStyle w:val="TableLeft"/>
              <w:cnfStyle w:val="000000010000" w:firstRow="0" w:lastRow="0" w:firstColumn="0" w:lastColumn="0" w:oddVBand="0" w:evenVBand="0" w:oddHBand="0" w:evenHBand="1" w:firstRowFirstColumn="0" w:firstRowLastColumn="0" w:lastRowFirstColumn="0" w:lastRowLastColumn="0"/>
              <w:rPr>
                <w:sz w:val="13"/>
                <w:szCs w:val="13"/>
              </w:rPr>
            </w:pPr>
            <w:r w:rsidRPr="002F64A6">
              <w:rPr>
                <w:sz w:val="13"/>
                <w:szCs w:val="13"/>
              </w:rPr>
              <w:t>Year-round</w:t>
            </w:r>
          </w:p>
        </w:tc>
        <w:tc>
          <w:tcPr>
            <w:tcW w:w="1367" w:type="dxa"/>
            <w:vAlign w:val="top"/>
            <w:hideMark/>
          </w:tcPr>
          <w:p w14:paraId="5441B0D8" w14:textId="77777777" w:rsidR="00DC194A" w:rsidRPr="002F64A6" w:rsidRDefault="00DC194A" w:rsidP="00E57E59">
            <w:pPr>
              <w:pStyle w:val="TableLeft"/>
              <w:cnfStyle w:val="000000010000" w:firstRow="0" w:lastRow="0" w:firstColumn="0" w:lastColumn="0" w:oddVBand="0" w:evenVBand="0" w:oddHBand="0" w:evenHBand="1" w:firstRowFirstColumn="0" w:firstRowLastColumn="0" w:lastRowFirstColumn="0" w:lastRowLastColumn="0"/>
              <w:rPr>
                <w:sz w:val="13"/>
                <w:szCs w:val="13"/>
              </w:rPr>
            </w:pPr>
            <w:r w:rsidRPr="002F64A6">
              <w:rPr>
                <w:sz w:val="13"/>
                <w:szCs w:val="13"/>
              </w:rPr>
              <w:t>Year-round</w:t>
            </w:r>
          </w:p>
        </w:tc>
        <w:tc>
          <w:tcPr>
            <w:tcW w:w="1367" w:type="dxa"/>
            <w:vAlign w:val="top"/>
            <w:hideMark/>
          </w:tcPr>
          <w:p w14:paraId="772A3BF0" w14:textId="77777777" w:rsidR="00DC194A" w:rsidRPr="002F64A6" w:rsidRDefault="00DC194A" w:rsidP="00E57E59">
            <w:pPr>
              <w:pStyle w:val="TableLeft"/>
              <w:cnfStyle w:val="000000010000" w:firstRow="0" w:lastRow="0" w:firstColumn="0" w:lastColumn="0" w:oddVBand="0" w:evenVBand="0" w:oddHBand="0" w:evenHBand="1" w:firstRowFirstColumn="0" w:firstRowLastColumn="0" w:lastRowFirstColumn="0" w:lastRowLastColumn="0"/>
              <w:rPr>
                <w:sz w:val="13"/>
                <w:szCs w:val="13"/>
              </w:rPr>
            </w:pPr>
            <w:r w:rsidRPr="002F64A6">
              <w:rPr>
                <w:sz w:val="13"/>
                <w:szCs w:val="13"/>
              </w:rPr>
              <w:t>Year-round</w:t>
            </w:r>
          </w:p>
        </w:tc>
        <w:tc>
          <w:tcPr>
            <w:tcW w:w="1367" w:type="dxa"/>
            <w:vAlign w:val="top"/>
            <w:hideMark/>
          </w:tcPr>
          <w:p w14:paraId="2A4A4E7D" w14:textId="77777777" w:rsidR="00DC194A" w:rsidRPr="002F64A6" w:rsidRDefault="00DC194A" w:rsidP="00E57E59">
            <w:pPr>
              <w:pStyle w:val="TableLeft"/>
              <w:cnfStyle w:val="000000010000" w:firstRow="0" w:lastRow="0" w:firstColumn="0" w:lastColumn="0" w:oddVBand="0" w:evenVBand="0" w:oddHBand="0" w:evenHBand="1" w:firstRowFirstColumn="0" w:firstRowLastColumn="0" w:lastRowFirstColumn="0" w:lastRowLastColumn="0"/>
              <w:rPr>
                <w:sz w:val="13"/>
                <w:szCs w:val="13"/>
              </w:rPr>
            </w:pPr>
            <w:r w:rsidRPr="002F64A6">
              <w:rPr>
                <w:sz w:val="13"/>
                <w:szCs w:val="13"/>
              </w:rPr>
              <w:t>Year-round</w:t>
            </w:r>
          </w:p>
        </w:tc>
      </w:tr>
      <w:tr w:rsidR="00150799" w:rsidRPr="002F64A6" w14:paraId="47A5E7D9" w14:textId="77777777" w:rsidTr="00513064">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182" w:type="dxa"/>
            <w:vAlign w:val="top"/>
            <w:hideMark/>
          </w:tcPr>
          <w:p w14:paraId="66B4D244" w14:textId="2A60CCCF" w:rsidR="00DC194A" w:rsidRPr="002F64A6" w:rsidRDefault="00150799" w:rsidP="0044317A">
            <w:pPr>
              <w:pStyle w:val="TableLeft"/>
              <w:rPr>
                <w:b/>
                <w:bCs/>
                <w:sz w:val="14"/>
                <w:szCs w:val="14"/>
              </w:rPr>
            </w:pPr>
            <w:r w:rsidRPr="002F64A6">
              <w:rPr>
                <w:b/>
                <w:bCs/>
                <w:sz w:val="14"/>
                <w:szCs w:val="14"/>
              </w:rPr>
              <w:t>Exposure M</w:t>
            </w:r>
            <w:r w:rsidR="00DC194A" w:rsidRPr="002F64A6">
              <w:rPr>
                <w:b/>
                <w:bCs/>
                <w:sz w:val="14"/>
                <w:szCs w:val="14"/>
              </w:rPr>
              <w:t>oni</w:t>
            </w:r>
            <w:r w:rsidR="0044317A" w:rsidRPr="002F64A6">
              <w:rPr>
                <w:b/>
                <w:bCs/>
                <w:sz w:val="14"/>
                <w:szCs w:val="14"/>
              </w:rPr>
              <w:t>toring</w:t>
            </w:r>
          </w:p>
        </w:tc>
        <w:tc>
          <w:tcPr>
            <w:tcW w:w="1367" w:type="dxa"/>
            <w:vAlign w:val="top"/>
            <w:hideMark/>
          </w:tcPr>
          <w:p w14:paraId="41F36ADF" w14:textId="77777777" w:rsidR="00DC194A" w:rsidRPr="002F64A6" w:rsidRDefault="00DC194A" w:rsidP="00E57E59">
            <w:pPr>
              <w:pStyle w:val="TableLeft"/>
              <w:cnfStyle w:val="000000100000" w:firstRow="0" w:lastRow="0" w:firstColumn="0" w:lastColumn="0" w:oddVBand="0" w:evenVBand="0" w:oddHBand="1" w:evenHBand="0" w:firstRowFirstColumn="0" w:firstRowLastColumn="0" w:lastRowFirstColumn="0" w:lastRowLastColumn="0"/>
              <w:rPr>
                <w:sz w:val="13"/>
                <w:szCs w:val="13"/>
              </w:rPr>
            </w:pPr>
            <w:r w:rsidRPr="002F64A6">
              <w:rPr>
                <w:sz w:val="13"/>
                <w:szCs w:val="13"/>
              </w:rPr>
              <w:t>No</w:t>
            </w:r>
          </w:p>
        </w:tc>
        <w:tc>
          <w:tcPr>
            <w:tcW w:w="1367" w:type="dxa"/>
            <w:vAlign w:val="top"/>
            <w:hideMark/>
          </w:tcPr>
          <w:p w14:paraId="3257C3A1" w14:textId="77777777" w:rsidR="00DC194A" w:rsidRPr="002F64A6" w:rsidRDefault="00DC194A" w:rsidP="00E57E59">
            <w:pPr>
              <w:pStyle w:val="TableLeft"/>
              <w:cnfStyle w:val="000000100000" w:firstRow="0" w:lastRow="0" w:firstColumn="0" w:lastColumn="0" w:oddVBand="0" w:evenVBand="0" w:oddHBand="1" w:evenHBand="0" w:firstRowFirstColumn="0" w:firstRowLastColumn="0" w:lastRowFirstColumn="0" w:lastRowLastColumn="0"/>
              <w:rPr>
                <w:sz w:val="13"/>
                <w:szCs w:val="13"/>
              </w:rPr>
            </w:pPr>
            <w:r w:rsidRPr="002F64A6">
              <w:rPr>
                <w:sz w:val="13"/>
                <w:szCs w:val="13"/>
              </w:rPr>
              <w:t>No</w:t>
            </w:r>
          </w:p>
        </w:tc>
        <w:tc>
          <w:tcPr>
            <w:tcW w:w="1367" w:type="dxa"/>
            <w:vAlign w:val="top"/>
            <w:hideMark/>
          </w:tcPr>
          <w:p w14:paraId="6BF8D06D" w14:textId="77777777" w:rsidR="00DC194A" w:rsidRPr="002F64A6" w:rsidRDefault="00DC194A" w:rsidP="00E57E59">
            <w:pPr>
              <w:pStyle w:val="TableLeft"/>
              <w:cnfStyle w:val="000000100000" w:firstRow="0" w:lastRow="0" w:firstColumn="0" w:lastColumn="0" w:oddVBand="0" w:evenVBand="0" w:oddHBand="1" w:evenHBand="0" w:firstRowFirstColumn="0" w:firstRowLastColumn="0" w:lastRowFirstColumn="0" w:lastRowLastColumn="0"/>
              <w:rPr>
                <w:sz w:val="13"/>
                <w:szCs w:val="13"/>
              </w:rPr>
            </w:pPr>
            <w:r w:rsidRPr="002F64A6">
              <w:rPr>
                <w:sz w:val="13"/>
                <w:szCs w:val="13"/>
              </w:rPr>
              <w:t>No</w:t>
            </w:r>
          </w:p>
        </w:tc>
        <w:tc>
          <w:tcPr>
            <w:tcW w:w="1367" w:type="dxa"/>
            <w:vAlign w:val="top"/>
            <w:hideMark/>
          </w:tcPr>
          <w:p w14:paraId="4360D6BD" w14:textId="7D010417" w:rsidR="00DC194A" w:rsidRPr="002F64A6" w:rsidRDefault="002C1E9A" w:rsidP="00052E38">
            <w:pPr>
              <w:pStyle w:val="TableLeft"/>
              <w:cnfStyle w:val="000000100000" w:firstRow="0" w:lastRow="0" w:firstColumn="0" w:lastColumn="0" w:oddVBand="0" w:evenVBand="0" w:oddHBand="1" w:evenHBand="0" w:firstRowFirstColumn="0" w:firstRowLastColumn="0" w:lastRowFirstColumn="0" w:lastRowLastColumn="0"/>
              <w:rPr>
                <w:sz w:val="13"/>
                <w:szCs w:val="13"/>
              </w:rPr>
            </w:pPr>
            <w:r w:rsidRPr="002F64A6">
              <w:rPr>
                <w:sz w:val="13"/>
                <w:szCs w:val="13"/>
              </w:rPr>
              <w:t>Yes</w:t>
            </w:r>
          </w:p>
        </w:tc>
        <w:tc>
          <w:tcPr>
            <w:tcW w:w="1367" w:type="dxa"/>
            <w:vAlign w:val="top"/>
            <w:hideMark/>
          </w:tcPr>
          <w:p w14:paraId="751AF523" w14:textId="7976860D" w:rsidR="00DC194A" w:rsidRPr="002F64A6" w:rsidRDefault="004C62F4" w:rsidP="00E57E59">
            <w:pPr>
              <w:pStyle w:val="TableLeft"/>
              <w:cnfStyle w:val="000000100000" w:firstRow="0" w:lastRow="0" w:firstColumn="0" w:lastColumn="0" w:oddVBand="0" w:evenVBand="0" w:oddHBand="1" w:evenHBand="0" w:firstRowFirstColumn="0" w:firstRowLastColumn="0" w:lastRowFirstColumn="0" w:lastRowLastColumn="0"/>
              <w:rPr>
                <w:sz w:val="13"/>
                <w:szCs w:val="13"/>
              </w:rPr>
            </w:pPr>
            <w:r w:rsidRPr="002F64A6">
              <w:rPr>
                <w:sz w:val="13"/>
                <w:szCs w:val="13"/>
              </w:rPr>
              <w:t>Yes</w:t>
            </w:r>
          </w:p>
        </w:tc>
        <w:tc>
          <w:tcPr>
            <w:tcW w:w="1367" w:type="dxa"/>
            <w:vAlign w:val="top"/>
            <w:hideMark/>
          </w:tcPr>
          <w:p w14:paraId="263B2FCF" w14:textId="4367E927" w:rsidR="00DC194A" w:rsidRPr="002F64A6" w:rsidRDefault="00326B6A" w:rsidP="00E57E59">
            <w:pPr>
              <w:pStyle w:val="TableLeft"/>
              <w:cnfStyle w:val="000000100000" w:firstRow="0" w:lastRow="0" w:firstColumn="0" w:lastColumn="0" w:oddVBand="0" w:evenVBand="0" w:oddHBand="1" w:evenHBand="0" w:firstRowFirstColumn="0" w:firstRowLastColumn="0" w:lastRowFirstColumn="0" w:lastRowLastColumn="0"/>
              <w:rPr>
                <w:sz w:val="13"/>
                <w:szCs w:val="13"/>
              </w:rPr>
            </w:pPr>
            <w:r>
              <w:rPr>
                <w:sz w:val="13"/>
                <w:szCs w:val="13"/>
              </w:rPr>
              <w:t>Yes</w:t>
            </w:r>
          </w:p>
        </w:tc>
      </w:tr>
      <w:tr w:rsidR="00150799" w:rsidRPr="002F64A6" w14:paraId="6BC05835" w14:textId="77777777" w:rsidTr="00513064">
        <w:trPr>
          <w:cnfStyle w:val="000000010000" w:firstRow="0" w:lastRow="0" w:firstColumn="0" w:lastColumn="0" w:oddVBand="0" w:evenVBand="0" w:oddHBand="0" w:evenHBand="1"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182" w:type="dxa"/>
            <w:vAlign w:val="top"/>
            <w:hideMark/>
          </w:tcPr>
          <w:p w14:paraId="42BC4CE5" w14:textId="54B821BC" w:rsidR="00DC194A" w:rsidRPr="002F64A6" w:rsidRDefault="00150799" w:rsidP="00150799">
            <w:pPr>
              <w:pStyle w:val="TableLeft"/>
              <w:rPr>
                <w:b/>
                <w:bCs/>
                <w:sz w:val="14"/>
                <w:szCs w:val="14"/>
              </w:rPr>
            </w:pPr>
            <w:r w:rsidRPr="002F64A6">
              <w:rPr>
                <w:b/>
                <w:bCs/>
                <w:sz w:val="14"/>
                <w:szCs w:val="14"/>
              </w:rPr>
              <w:t>Acclimatization P</w:t>
            </w:r>
            <w:r w:rsidR="00DC194A" w:rsidRPr="002F64A6">
              <w:rPr>
                <w:b/>
                <w:bCs/>
                <w:sz w:val="14"/>
                <w:szCs w:val="14"/>
              </w:rPr>
              <w:t>lan</w:t>
            </w:r>
          </w:p>
        </w:tc>
        <w:tc>
          <w:tcPr>
            <w:tcW w:w="1367" w:type="dxa"/>
            <w:vAlign w:val="top"/>
            <w:hideMark/>
          </w:tcPr>
          <w:p w14:paraId="4CDEB798" w14:textId="39882A4D" w:rsidR="00DC194A" w:rsidRPr="002F64A6" w:rsidRDefault="00DB23CF" w:rsidP="00E57E59">
            <w:pPr>
              <w:pStyle w:val="TableLeft"/>
              <w:cnfStyle w:val="000000010000" w:firstRow="0" w:lastRow="0" w:firstColumn="0" w:lastColumn="0" w:oddVBand="0" w:evenVBand="0" w:oddHBand="0" w:evenHBand="1" w:firstRowFirstColumn="0" w:firstRowLastColumn="0" w:lastRowFirstColumn="0" w:lastRowLastColumn="0"/>
              <w:rPr>
                <w:sz w:val="13"/>
                <w:szCs w:val="13"/>
              </w:rPr>
            </w:pPr>
            <w:r>
              <w:rPr>
                <w:sz w:val="13"/>
                <w:szCs w:val="13"/>
              </w:rPr>
              <w:t>“</w:t>
            </w:r>
            <w:r w:rsidR="00ED0CDA" w:rsidRPr="002F64A6">
              <w:rPr>
                <w:sz w:val="13"/>
                <w:szCs w:val="13"/>
              </w:rPr>
              <w:t>C</w:t>
            </w:r>
            <w:r w:rsidR="00DC194A" w:rsidRPr="002F64A6">
              <w:rPr>
                <w:sz w:val="13"/>
                <w:szCs w:val="13"/>
              </w:rPr>
              <w:t>lose supervision</w:t>
            </w:r>
            <w:r>
              <w:rPr>
                <w:sz w:val="13"/>
                <w:szCs w:val="13"/>
              </w:rPr>
              <w:t>”</w:t>
            </w:r>
            <w:r w:rsidR="00ED0CDA" w:rsidRPr="002F64A6">
              <w:rPr>
                <w:sz w:val="13"/>
                <w:szCs w:val="13"/>
              </w:rPr>
              <w:t xml:space="preserve"> for first 14 days</w:t>
            </w:r>
          </w:p>
        </w:tc>
        <w:tc>
          <w:tcPr>
            <w:tcW w:w="1367" w:type="dxa"/>
            <w:vAlign w:val="top"/>
            <w:hideMark/>
          </w:tcPr>
          <w:p w14:paraId="17362A39" w14:textId="77777777" w:rsidR="00DC194A" w:rsidRPr="002F64A6" w:rsidRDefault="00DC194A" w:rsidP="00E57E59">
            <w:pPr>
              <w:pStyle w:val="TableLeft"/>
              <w:cnfStyle w:val="000000010000" w:firstRow="0" w:lastRow="0" w:firstColumn="0" w:lastColumn="0" w:oddVBand="0" w:evenVBand="0" w:oddHBand="0" w:evenHBand="1" w:firstRowFirstColumn="0" w:firstRowLastColumn="0" w:lastRowFirstColumn="0" w:lastRowLastColumn="0"/>
              <w:rPr>
                <w:sz w:val="13"/>
                <w:szCs w:val="13"/>
              </w:rPr>
            </w:pPr>
            <w:r w:rsidRPr="002F64A6">
              <w:rPr>
                <w:sz w:val="13"/>
                <w:szCs w:val="13"/>
              </w:rPr>
              <w:t>No</w:t>
            </w:r>
          </w:p>
        </w:tc>
        <w:tc>
          <w:tcPr>
            <w:tcW w:w="1367" w:type="dxa"/>
            <w:vAlign w:val="top"/>
            <w:hideMark/>
          </w:tcPr>
          <w:p w14:paraId="13FE84AE" w14:textId="77777777" w:rsidR="00DC194A" w:rsidRPr="002F64A6" w:rsidRDefault="00DC194A" w:rsidP="00E57E59">
            <w:pPr>
              <w:pStyle w:val="TableLeft"/>
              <w:cnfStyle w:val="000000010000" w:firstRow="0" w:lastRow="0" w:firstColumn="0" w:lastColumn="0" w:oddVBand="0" w:evenVBand="0" w:oddHBand="0" w:evenHBand="1" w:firstRowFirstColumn="0" w:firstRowLastColumn="0" w:lastRowFirstColumn="0" w:lastRowLastColumn="0"/>
              <w:rPr>
                <w:sz w:val="13"/>
                <w:szCs w:val="13"/>
              </w:rPr>
            </w:pPr>
            <w:r w:rsidRPr="002F64A6">
              <w:rPr>
                <w:sz w:val="13"/>
                <w:szCs w:val="13"/>
              </w:rPr>
              <w:t>No</w:t>
            </w:r>
          </w:p>
        </w:tc>
        <w:tc>
          <w:tcPr>
            <w:tcW w:w="1367" w:type="dxa"/>
            <w:vAlign w:val="top"/>
            <w:hideMark/>
          </w:tcPr>
          <w:p w14:paraId="2634D4FD" w14:textId="4326A95A" w:rsidR="00DC194A" w:rsidRPr="002F64A6" w:rsidRDefault="00716692" w:rsidP="00052E38">
            <w:pPr>
              <w:pStyle w:val="TableLeft"/>
              <w:cnfStyle w:val="000000010000" w:firstRow="0" w:lastRow="0" w:firstColumn="0" w:lastColumn="0" w:oddVBand="0" w:evenVBand="0" w:oddHBand="0" w:evenHBand="1" w:firstRowFirstColumn="0" w:firstRowLastColumn="0" w:lastRowFirstColumn="0" w:lastRowLastColumn="0"/>
              <w:rPr>
                <w:sz w:val="13"/>
                <w:szCs w:val="13"/>
              </w:rPr>
            </w:pPr>
            <w:r w:rsidRPr="002F64A6">
              <w:rPr>
                <w:sz w:val="13"/>
                <w:szCs w:val="13"/>
              </w:rPr>
              <w:t>Yes</w:t>
            </w:r>
          </w:p>
        </w:tc>
        <w:tc>
          <w:tcPr>
            <w:tcW w:w="1367" w:type="dxa"/>
            <w:vAlign w:val="top"/>
            <w:hideMark/>
          </w:tcPr>
          <w:p w14:paraId="53DBB637" w14:textId="4658A29D" w:rsidR="00DC194A" w:rsidRPr="002F64A6" w:rsidRDefault="004A5D86" w:rsidP="00E57E59">
            <w:pPr>
              <w:pStyle w:val="TableLeft"/>
              <w:cnfStyle w:val="000000010000" w:firstRow="0" w:lastRow="0" w:firstColumn="0" w:lastColumn="0" w:oddVBand="0" w:evenVBand="0" w:oddHBand="0" w:evenHBand="1" w:firstRowFirstColumn="0" w:firstRowLastColumn="0" w:lastRowFirstColumn="0" w:lastRowLastColumn="0"/>
              <w:rPr>
                <w:sz w:val="13"/>
                <w:szCs w:val="13"/>
              </w:rPr>
            </w:pPr>
            <w:r>
              <w:rPr>
                <w:sz w:val="13"/>
                <w:szCs w:val="13"/>
              </w:rPr>
              <w:t>Yes</w:t>
            </w:r>
          </w:p>
        </w:tc>
        <w:tc>
          <w:tcPr>
            <w:tcW w:w="1367" w:type="dxa"/>
            <w:vAlign w:val="top"/>
            <w:hideMark/>
          </w:tcPr>
          <w:p w14:paraId="2EEA40AF" w14:textId="3D3BCC8B" w:rsidR="00DC194A" w:rsidRPr="002F64A6" w:rsidRDefault="00524CF2" w:rsidP="00D9795D">
            <w:pPr>
              <w:pStyle w:val="TableLeft"/>
              <w:cnfStyle w:val="000000010000" w:firstRow="0" w:lastRow="0" w:firstColumn="0" w:lastColumn="0" w:oddVBand="0" w:evenVBand="0" w:oddHBand="0" w:evenHBand="1" w:firstRowFirstColumn="0" w:firstRowLastColumn="0" w:lastRowFirstColumn="0" w:lastRowLastColumn="0"/>
              <w:rPr>
                <w:sz w:val="13"/>
                <w:szCs w:val="13"/>
              </w:rPr>
            </w:pPr>
            <w:r>
              <w:rPr>
                <w:sz w:val="13"/>
                <w:szCs w:val="13"/>
              </w:rPr>
              <w:t xml:space="preserve">No, but </w:t>
            </w:r>
            <w:r w:rsidR="00BF7DD2">
              <w:rPr>
                <w:sz w:val="13"/>
                <w:szCs w:val="13"/>
              </w:rPr>
              <w:t xml:space="preserve">separate </w:t>
            </w:r>
            <w:r>
              <w:rPr>
                <w:sz w:val="13"/>
                <w:szCs w:val="13"/>
              </w:rPr>
              <w:t>limits for unac</w:t>
            </w:r>
            <w:r w:rsidR="00D9795D">
              <w:rPr>
                <w:sz w:val="13"/>
                <w:szCs w:val="13"/>
              </w:rPr>
              <w:t>-</w:t>
            </w:r>
            <w:r>
              <w:rPr>
                <w:sz w:val="13"/>
                <w:szCs w:val="13"/>
              </w:rPr>
              <w:t>climatized workers.</w:t>
            </w:r>
          </w:p>
        </w:tc>
      </w:tr>
      <w:tr w:rsidR="00150799" w:rsidRPr="002F64A6" w14:paraId="65741D26" w14:textId="77777777" w:rsidTr="00513064">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182" w:type="dxa"/>
            <w:vAlign w:val="top"/>
            <w:hideMark/>
          </w:tcPr>
          <w:p w14:paraId="4D04D2E7" w14:textId="77777777" w:rsidR="00DC194A" w:rsidRPr="002F64A6" w:rsidRDefault="00DC194A" w:rsidP="00E57E59">
            <w:pPr>
              <w:pStyle w:val="TableLeft"/>
              <w:rPr>
                <w:b/>
                <w:bCs/>
                <w:sz w:val="14"/>
                <w:szCs w:val="14"/>
              </w:rPr>
            </w:pPr>
            <w:r w:rsidRPr="002F64A6">
              <w:rPr>
                <w:b/>
                <w:bCs/>
                <w:sz w:val="14"/>
                <w:szCs w:val="14"/>
              </w:rPr>
              <w:t>Heat Stress Thresholds</w:t>
            </w:r>
          </w:p>
        </w:tc>
        <w:tc>
          <w:tcPr>
            <w:tcW w:w="1367" w:type="dxa"/>
            <w:vAlign w:val="top"/>
            <w:hideMark/>
          </w:tcPr>
          <w:p w14:paraId="4D1BC61A" w14:textId="43818C3D" w:rsidR="00DC194A" w:rsidRPr="002F64A6" w:rsidRDefault="00DC194A" w:rsidP="00E57E59">
            <w:pPr>
              <w:pStyle w:val="TableLeft"/>
              <w:cnfStyle w:val="000000100000" w:firstRow="0" w:lastRow="0" w:firstColumn="0" w:lastColumn="0" w:oddVBand="0" w:evenVBand="0" w:oddHBand="1" w:evenHBand="0" w:firstRowFirstColumn="0" w:firstRowLastColumn="0" w:lastRowFirstColumn="0" w:lastRowLastColumn="0"/>
              <w:rPr>
                <w:sz w:val="13"/>
                <w:szCs w:val="13"/>
              </w:rPr>
            </w:pPr>
            <w:r w:rsidRPr="002F64A6">
              <w:rPr>
                <w:sz w:val="13"/>
                <w:szCs w:val="13"/>
              </w:rPr>
              <w:t>Varying requirements at 80°F and 95°F</w:t>
            </w:r>
            <w:r w:rsidR="002D40E5">
              <w:rPr>
                <w:sz w:val="13"/>
                <w:szCs w:val="13"/>
              </w:rPr>
              <w:t>.</w:t>
            </w:r>
          </w:p>
        </w:tc>
        <w:tc>
          <w:tcPr>
            <w:tcW w:w="1367" w:type="dxa"/>
            <w:vAlign w:val="top"/>
            <w:hideMark/>
          </w:tcPr>
          <w:p w14:paraId="3D8BB9A6" w14:textId="6A8D902F" w:rsidR="00DC194A" w:rsidRPr="002F64A6" w:rsidRDefault="00EA7200" w:rsidP="00316CD4">
            <w:pPr>
              <w:pStyle w:val="TableLeft"/>
              <w:cnfStyle w:val="000000100000" w:firstRow="0" w:lastRow="0" w:firstColumn="0" w:lastColumn="0" w:oddVBand="0" w:evenVBand="0" w:oddHBand="1" w:evenHBand="0" w:firstRowFirstColumn="0" w:firstRowLastColumn="0" w:lastRowFirstColumn="0" w:lastRowLastColumn="0"/>
              <w:rPr>
                <w:sz w:val="13"/>
                <w:szCs w:val="13"/>
              </w:rPr>
            </w:pPr>
            <w:r>
              <w:rPr>
                <w:sz w:val="13"/>
                <w:szCs w:val="13"/>
              </w:rPr>
              <w:t>Rule applies &gt;</w:t>
            </w:r>
            <w:r w:rsidR="004866C0">
              <w:rPr>
                <w:sz w:val="13"/>
                <w:szCs w:val="13"/>
              </w:rPr>
              <w:t>=</w:t>
            </w:r>
            <w:r w:rsidR="00316CD4">
              <w:rPr>
                <w:sz w:val="13"/>
                <w:szCs w:val="13"/>
              </w:rPr>
              <w:t>89°F;</w:t>
            </w:r>
            <w:r w:rsidR="00D00678">
              <w:rPr>
                <w:sz w:val="13"/>
                <w:szCs w:val="13"/>
              </w:rPr>
              <w:t xml:space="preserve"> </w:t>
            </w:r>
            <w:r w:rsidR="00DC194A" w:rsidRPr="002F64A6">
              <w:rPr>
                <w:sz w:val="13"/>
                <w:szCs w:val="13"/>
              </w:rPr>
              <w:t xml:space="preserve">lower </w:t>
            </w:r>
            <w:r w:rsidR="00316CD4">
              <w:rPr>
                <w:sz w:val="13"/>
                <w:szCs w:val="13"/>
              </w:rPr>
              <w:t>if</w:t>
            </w:r>
            <w:r>
              <w:rPr>
                <w:sz w:val="13"/>
                <w:szCs w:val="13"/>
              </w:rPr>
              <w:t xml:space="preserve"> </w:t>
            </w:r>
            <w:r w:rsidR="00DC194A" w:rsidRPr="002F64A6">
              <w:rPr>
                <w:sz w:val="13"/>
                <w:szCs w:val="13"/>
              </w:rPr>
              <w:t xml:space="preserve">wearing </w:t>
            </w:r>
            <w:r w:rsidR="009E5F7C">
              <w:rPr>
                <w:sz w:val="13"/>
                <w:szCs w:val="13"/>
              </w:rPr>
              <w:t>certain</w:t>
            </w:r>
            <w:r w:rsidR="00DC194A" w:rsidRPr="002F64A6">
              <w:rPr>
                <w:sz w:val="13"/>
                <w:szCs w:val="13"/>
              </w:rPr>
              <w:t xml:space="preserve"> clothing</w:t>
            </w:r>
            <w:r w:rsidR="002D40E5">
              <w:rPr>
                <w:sz w:val="13"/>
                <w:szCs w:val="13"/>
              </w:rPr>
              <w:t>.</w:t>
            </w:r>
          </w:p>
        </w:tc>
        <w:tc>
          <w:tcPr>
            <w:tcW w:w="1367" w:type="dxa"/>
            <w:vAlign w:val="top"/>
            <w:hideMark/>
          </w:tcPr>
          <w:p w14:paraId="345DE5DB" w14:textId="007A7C5F" w:rsidR="00DC194A" w:rsidRPr="002F64A6" w:rsidRDefault="00DC194A" w:rsidP="00E57E59">
            <w:pPr>
              <w:pStyle w:val="TableLeft"/>
              <w:cnfStyle w:val="000000100000" w:firstRow="0" w:lastRow="0" w:firstColumn="0" w:lastColumn="0" w:oddVBand="0" w:evenVBand="0" w:oddHBand="1" w:evenHBand="0" w:firstRowFirstColumn="0" w:firstRowLastColumn="0" w:lastRowFirstColumn="0" w:lastRowLastColumn="0"/>
              <w:rPr>
                <w:sz w:val="13"/>
                <w:szCs w:val="13"/>
              </w:rPr>
            </w:pPr>
            <w:r w:rsidRPr="002F64A6">
              <w:rPr>
                <w:sz w:val="13"/>
                <w:szCs w:val="13"/>
              </w:rPr>
              <w:t xml:space="preserve">PEL between 77°F and 86°F </w:t>
            </w:r>
            <w:r w:rsidR="005E4F8F" w:rsidRPr="002F64A6">
              <w:rPr>
                <w:sz w:val="13"/>
                <w:szCs w:val="13"/>
              </w:rPr>
              <w:t>(WBGT) based on workload.</w:t>
            </w:r>
          </w:p>
        </w:tc>
        <w:tc>
          <w:tcPr>
            <w:tcW w:w="1367" w:type="dxa"/>
            <w:vAlign w:val="top"/>
            <w:hideMark/>
          </w:tcPr>
          <w:p w14:paraId="1147C027" w14:textId="4C776986" w:rsidR="00DC194A" w:rsidRPr="002F64A6" w:rsidRDefault="00DC194A" w:rsidP="00C87ED6">
            <w:pPr>
              <w:pStyle w:val="TableLeft"/>
              <w:cnfStyle w:val="000000100000" w:firstRow="0" w:lastRow="0" w:firstColumn="0" w:lastColumn="0" w:oddVBand="0" w:evenVBand="0" w:oddHBand="1" w:evenHBand="0" w:firstRowFirstColumn="0" w:firstRowLastColumn="0" w:lastRowFirstColumn="0" w:lastRowLastColumn="0"/>
              <w:rPr>
                <w:sz w:val="13"/>
                <w:szCs w:val="13"/>
              </w:rPr>
            </w:pPr>
            <w:r w:rsidRPr="002F64A6">
              <w:rPr>
                <w:sz w:val="13"/>
                <w:szCs w:val="13"/>
              </w:rPr>
              <w:t>Navy: PHELs</w:t>
            </w:r>
            <w:r w:rsidRPr="002F64A6">
              <w:rPr>
                <w:sz w:val="13"/>
                <w:szCs w:val="13"/>
              </w:rPr>
              <w:br/>
              <w:t>Other</w:t>
            </w:r>
            <w:r w:rsidR="00C87ED6" w:rsidRPr="002F64A6">
              <w:rPr>
                <w:sz w:val="13"/>
                <w:szCs w:val="13"/>
              </w:rPr>
              <w:t>s</w:t>
            </w:r>
            <w:r w:rsidRPr="002F64A6">
              <w:rPr>
                <w:sz w:val="13"/>
                <w:szCs w:val="13"/>
              </w:rPr>
              <w:t>:</w:t>
            </w:r>
            <w:r w:rsidR="00DE7AB7" w:rsidRPr="002F64A6">
              <w:rPr>
                <w:sz w:val="13"/>
                <w:szCs w:val="13"/>
              </w:rPr>
              <w:t xml:space="preserve"> </w:t>
            </w:r>
            <w:r w:rsidR="000D5BEC" w:rsidRPr="002F64A6">
              <w:rPr>
                <w:sz w:val="13"/>
                <w:szCs w:val="13"/>
              </w:rPr>
              <w:t>Work / rest</w:t>
            </w:r>
            <w:r w:rsidR="000544B3" w:rsidRPr="002F64A6">
              <w:rPr>
                <w:sz w:val="13"/>
                <w:szCs w:val="13"/>
              </w:rPr>
              <w:t xml:space="preserve"> and</w:t>
            </w:r>
            <w:r w:rsidR="000D5BEC" w:rsidRPr="002F64A6">
              <w:rPr>
                <w:sz w:val="13"/>
                <w:szCs w:val="13"/>
              </w:rPr>
              <w:t xml:space="preserve"> hydration tables.</w:t>
            </w:r>
            <w:r w:rsidRPr="002F64A6">
              <w:rPr>
                <w:sz w:val="13"/>
                <w:szCs w:val="13"/>
              </w:rPr>
              <w:t xml:space="preserve"> </w:t>
            </w:r>
          </w:p>
        </w:tc>
        <w:tc>
          <w:tcPr>
            <w:tcW w:w="1367" w:type="dxa"/>
            <w:vAlign w:val="top"/>
            <w:hideMark/>
          </w:tcPr>
          <w:p w14:paraId="08A3577C" w14:textId="54AC1B52" w:rsidR="00DC194A" w:rsidRPr="002F64A6" w:rsidRDefault="005022E5" w:rsidP="00E57E59">
            <w:pPr>
              <w:pStyle w:val="TableLeft"/>
              <w:cnfStyle w:val="000000100000" w:firstRow="0" w:lastRow="0" w:firstColumn="0" w:lastColumn="0" w:oddVBand="0" w:evenVBand="0" w:oddHBand="1" w:evenHBand="0" w:firstRowFirstColumn="0" w:firstRowLastColumn="0" w:lastRowFirstColumn="0" w:lastRowLastColumn="0"/>
              <w:rPr>
                <w:sz w:val="13"/>
                <w:szCs w:val="13"/>
              </w:rPr>
            </w:pPr>
            <w:r w:rsidRPr="002F64A6">
              <w:rPr>
                <w:sz w:val="13"/>
                <w:szCs w:val="13"/>
              </w:rPr>
              <w:t>RAL and REL curves</w:t>
            </w:r>
          </w:p>
        </w:tc>
        <w:tc>
          <w:tcPr>
            <w:tcW w:w="1367" w:type="dxa"/>
            <w:vAlign w:val="top"/>
            <w:hideMark/>
          </w:tcPr>
          <w:p w14:paraId="7D5FF62D" w14:textId="60D412FD" w:rsidR="00DC194A" w:rsidRPr="002F64A6" w:rsidRDefault="00030F27" w:rsidP="00052E38">
            <w:pPr>
              <w:pStyle w:val="TableLeft"/>
              <w:cnfStyle w:val="000000100000" w:firstRow="0" w:lastRow="0" w:firstColumn="0" w:lastColumn="0" w:oddVBand="0" w:evenVBand="0" w:oddHBand="1" w:evenHBand="0" w:firstRowFirstColumn="0" w:firstRowLastColumn="0" w:lastRowFirstColumn="0" w:lastRowLastColumn="0"/>
              <w:rPr>
                <w:sz w:val="13"/>
                <w:szCs w:val="13"/>
              </w:rPr>
            </w:pPr>
            <w:r>
              <w:rPr>
                <w:sz w:val="13"/>
                <w:szCs w:val="13"/>
              </w:rPr>
              <w:t>T</w:t>
            </w:r>
            <w:r w:rsidR="0046797E" w:rsidRPr="002F64A6">
              <w:rPr>
                <w:sz w:val="13"/>
                <w:szCs w:val="13"/>
              </w:rPr>
              <w:t xml:space="preserve">hreshold Limit </w:t>
            </w:r>
            <w:r w:rsidR="00052E38">
              <w:rPr>
                <w:sz w:val="13"/>
                <w:szCs w:val="13"/>
              </w:rPr>
              <w:t>Values</w:t>
            </w:r>
            <w:r w:rsidR="0046797E" w:rsidRPr="002F64A6">
              <w:rPr>
                <w:sz w:val="13"/>
                <w:szCs w:val="13"/>
              </w:rPr>
              <w:t>.</w:t>
            </w:r>
          </w:p>
        </w:tc>
      </w:tr>
      <w:tr w:rsidR="00150799" w:rsidRPr="002F64A6" w14:paraId="3069F64C" w14:textId="77777777" w:rsidTr="00513064">
        <w:trPr>
          <w:cnfStyle w:val="000000010000" w:firstRow="0" w:lastRow="0" w:firstColumn="0" w:lastColumn="0" w:oddVBand="0" w:evenVBand="0" w:oddHBand="0" w:evenHBand="1"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182" w:type="dxa"/>
            <w:vAlign w:val="top"/>
            <w:hideMark/>
          </w:tcPr>
          <w:p w14:paraId="328F1DF0" w14:textId="7C8338DE" w:rsidR="00DC194A" w:rsidRPr="002F64A6" w:rsidRDefault="00150799" w:rsidP="00150799">
            <w:pPr>
              <w:pStyle w:val="TableLeft"/>
              <w:rPr>
                <w:b/>
                <w:bCs/>
                <w:sz w:val="14"/>
                <w:szCs w:val="14"/>
              </w:rPr>
            </w:pPr>
            <w:r w:rsidRPr="002F64A6">
              <w:rPr>
                <w:b/>
                <w:bCs/>
                <w:sz w:val="14"/>
                <w:szCs w:val="14"/>
              </w:rPr>
              <w:t>Ceiling E</w:t>
            </w:r>
            <w:r w:rsidR="00DC194A" w:rsidRPr="002F64A6">
              <w:rPr>
                <w:b/>
                <w:bCs/>
                <w:sz w:val="14"/>
                <w:szCs w:val="14"/>
              </w:rPr>
              <w:t xml:space="preserve">xposure </w:t>
            </w:r>
            <w:r w:rsidRPr="002F64A6">
              <w:rPr>
                <w:b/>
                <w:bCs/>
                <w:sz w:val="14"/>
                <w:szCs w:val="14"/>
              </w:rPr>
              <w:t>L</w:t>
            </w:r>
            <w:r w:rsidR="00DC194A" w:rsidRPr="002F64A6">
              <w:rPr>
                <w:b/>
                <w:bCs/>
                <w:sz w:val="14"/>
                <w:szCs w:val="14"/>
              </w:rPr>
              <w:t>imits</w:t>
            </w:r>
          </w:p>
        </w:tc>
        <w:tc>
          <w:tcPr>
            <w:tcW w:w="1367" w:type="dxa"/>
            <w:vAlign w:val="top"/>
            <w:hideMark/>
          </w:tcPr>
          <w:p w14:paraId="377C3F94" w14:textId="77777777" w:rsidR="00DC194A" w:rsidRPr="002F64A6" w:rsidRDefault="00DC194A" w:rsidP="00E57E59">
            <w:pPr>
              <w:pStyle w:val="TableLeft"/>
              <w:cnfStyle w:val="000000010000" w:firstRow="0" w:lastRow="0" w:firstColumn="0" w:lastColumn="0" w:oddVBand="0" w:evenVBand="0" w:oddHBand="0" w:evenHBand="1" w:firstRowFirstColumn="0" w:firstRowLastColumn="0" w:lastRowFirstColumn="0" w:lastRowLastColumn="0"/>
              <w:rPr>
                <w:sz w:val="13"/>
                <w:szCs w:val="13"/>
              </w:rPr>
            </w:pPr>
            <w:r w:rsidRPr="002F64A6">
              <w:rPr>
                <w:sz w:val="13"/>
                <w:szCs w:val="13"/>
              </w:rPr>
              <w:t>No</w:t>
            </w:r>
          </w:p>
        </w:tc>
        <w:tc>
          <w:tcPr>
            <w:tcW w:w="1367" w:type="dxa"/>
            <w:vAlign w:val="top"/>
            <w:hideMark/>
          </w:tcPr>
          <w:p w14:paraId="349FDDDE" w14:textId="77777777" w:rsidR="00DC194A" w:rsidRPr="002F64A6" w:rsidRDefault="00DC194A" w:rsidP="00E57E59">
            <w:pPr>
              <w:pStyle w:val="TableLeft"/>
              <w:cnfStyle w:val="000000010000" w:firstRow="0" w:lastRow="0" w:firstColumn="0" w:lastColumn="0" w:oddVBand="0" w:evenVBand="0" w:oddHBand="0" w:evenHBand="1" w:firstRowFirstColumn="0" w:firstRowLastColumn="0" w:lastRowFirstColumn="0" w:lastRowLastColumn="0"/>
              <w:rPr>
                <w:sz w:val="13"/>
                <w:szCs w:val="13"/>
              </w:rPr>
            </w:pPr>
            <w:r w:rsidRPr="002F64A6">
              <w:rPr>
                <w:sz w:val="13"/>
                <w:szCs w:val="13"/>
              </w:rPr>
              <w:t>No</w:t>
            </w:r>
          </w:p>
        </w:tc>
        <w:tc>
          <w:tcPr>
            <w:tcW w:w="1367" w:type="dxa"/>
            <w:vAlign w:val="top"/>
            <w:hideMark/>
          </w:tcPr>
          <w:p w14:paraId="740F63F7" w14:textId="77777777" w:rsidR="00DC194A" w:rsidRPr="002F64A6" w:rsidRDefault="00DC194A" w:rsidP="00E57E59">
            <w:pPr>
              <w:pStyle w:val="TableLeft"/>
              <w:cnfStyle w:val="000000010000" w:firstRow="0" w:lastRow="0" w:firstColumn="0" w:lastColumn="0" w:oddVBand="0" w:evenVBand="0" w:oddHBand="0" w:evenHBand="1" w:firstRowFirstColumn="0" w:firstRowLastColumn="0" w:lastRowFirstColumn="0" w:lastRowLastColumn="0"/>
              <w:rPr>
                <w:sz w:val="13"/>
                <w:szCs w:val="13"/>
              </w:rPr>
            </w:pPr>
            <w:r w:rsidRPr="002F64A6">
              <w:rPr>
                <w:sz w:val="13"/>
                <w:szCs w:val="13"/>
              </w:rPr>
              <w:t>Yes</w:t>
            </w:r>
          </w:p>
        </w:tc>
        <w:tc>
          <w:tcPr>
            <w:tcW w:w="1367" w:type="dxa"/>
            <w:vAlign w:val="top"/>
            <w:hideMark/>
          </w:tcPr>
          <w:p w14:paraId="0D7ADE2A" w14:textId="77777777" w:rsidR="00DC194A" w:rsidRPr="002F64A6" w:rsidRDefault="00DC194A" w:rsidP="00E57E59">
            <w:pPr>
              <w:pStyle w:val="TableLeft"/>
              <w:cnfStyle w:val="000000010000" w:firstRow="0" w:lastRow="0" w:firstColumn="0" w:lastColumn="0" w:oddVBand="0" w:evenVBand="0" w:oddHBand="0" w:evenHBand="1" w:firstRowFirstColumn="0" w:firstRowLastColumn="0" w:lastRowFirstColumn="0" w:lastRowLastColumn="0"/>
              <w:rPr>
                <w:sz w:val="13"/>
                <w:szCs w:val="13"/>
              </w:rPr>
            </w:pPr>
            <w:r w:rsidRPr="002F64A6">
              <w:rPr>
                <w:sz w:val="13"/>
                <w:szCs w:val="13"/>
              </w:rPr>
              <w:t>Yes</w:t>
            </w:r>
          </w:p>
        </w:tc>
        <w:tc>
          <w:tcPr>
            <w:tcW w:w="1367" w:type="dxa"/>
            <w:vAlign w:val="top"/>
            <w:hideMark/>
          </w:tcPr>
          <w:p w14:paraId="3DA9A63C" w14:textId="77777777" w:rsidR="00DC194A" w:rsidRPr="002F64A6" w:rsidRDefault="00DC194A" w:rsidP="00E57E59">
            <w:pPr>
              <w:pStyle w:val="TableLeft"/>
              <w:cnfStyle w:val="000000010000" w:firstRow="0" w:lastRow="0" w:firstColumn="0" w:lastColumn="0" w:oddVBand="0" w:evenVBand="0" w:oddHBand="0" w:evenHBand="1" w:firstRowFirstColumn="0" w:firstRowLastColumn="0" w:lastRowFirstColumn="0" w:lastRowLastColumn="0"/>
              <w:rPr>
                <w:sz w:val="13"/>
                <w:szCs w:val="13"/>
              </w:rPr>
            </w:pPr>
            <w:r w:rsidRPr="002F64A6">
              <w:rPr>
                <w:sz w:val="13"/>
                <w:szCs w:val="13"/>
              </w:rPr>
              <w:t>Yes</w:t>
            </w:r>
          </w:p>
        </w:tc>
        <w:tc>
          <w:tcPr>
            <w:tcW w:w="1367" w:type="dxa"/>
            <w:vAlign w:val="top"/>
            <w:hideMark/>
          </w:tcPr>
          <w:p w14:paraId="305B0F62" w14:textId="77777777" w:rsidR="00DC194A" w:rsidRPr="002F64A6" w:rsidRDefault="00DC194A" w:rsidP="00E57E59">
            <w:pPr>
              <w:pStyle w:val="TableLeft"/>
              <w:cnfStyle w:val="000000010000" w:firstRow="0" w:lastRow="0" w:firstColumn="0" w:lastColumn="0" w:oddVBand="0" w:evenVBand="0" w:oddHBand="0" w:evenHBand="1" w:firstRowFirstColumn="0" w:firstRowLastColumn="0" w:lastRowFirstColumn="0" w:lastRowLastColumn="0"/>
              <w:rPr>
                <w:sz w:val="13"/>
                <w:szCs w:val="13"/>
              </w:rPr>
            </w:pPr>
            <w:r w:rsidRPr="002F64A6">
              <w:rPr>
                <w:sz w:val="13"/>
                <w:szCs w:val="13"/>
              </w:rPr>
              <w:t>Yes</w:t>
            </w:r>
          </w:p>
        </w:tc>
      </w:tr>
      <w:tr w:rsidR="00150799" w:rsidRPr="002F64A6" w14:paraId="3A9F86FA" w14:textId="77777777" w:rsidTr="00513064">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182" w:type="dxa"/>
            <w:vAlign w:val="top"/>
            <w:hideMark/>
          </w:tcPr>
          <w:p w14:paraId="6C1A9753" w14:textId="77777777" w:rsidR="00DC194A" w:rsidRPr="002F64A6" w:rsidRDefault="00DC194A" w:rsidP="00E57E59">
            <w:pPr>
              <w:pStyle w:val="TableLeft"/>
              <w:rPr>
                <w:b/>
                <w:bCs/>
                <w:sz w:val="14"/>
                <w:szCs w:val="14"/>
              </w:rPr>
            </w:pPr>
            <w:r w:rsidRPr="002F64A6">
              <w:rPr>
                <w:b/>
                <w:bCs/>
                <w:sz w:val="14"/>
                <w:szCs w:val="14"/>
              </w:rPr>
              <w:t>Rest breaks</w:t>
            </w:r>
          </w:p>
        </w:tc>
        <w:tc>
          <w:tcPr>
            <w:tcW w:w="1367" w:type="dxa"/>
            <w:vAlign w:val="top"/>
            <w:hideMark/>
          </w:tcPr>
          <w:p w14:paraId="532C4390" w14:textId="47418BD8" w:rsidR="00DC194A" w:rsidRPr="002F64A6" w:rsidRDefault="00DC194A" w:rsidP="00940475">
            <w:pPr>
              <w:pStyle w:val="TableLeft"/>
              <w:cnfStyle w:val="000000100000" w:firstRow="0" w:lastRow="0" w:firstColumn="0" w:lastColumn="0" w:oddVBand="0" w:evenVBand="0" w:oddHBand="1" w:evenHBand="0" w:firstRowFirstColumn="0" w:firstRowLastColumn="0" w:lastRowFirstColumn="0" w:lastRowLastColumn="0"/>
              <w:rPr>
                <w:sz w:val="13"/>
                <w:szCs w:val="13"/>
              </w:rPr>
            </w:pPr>
            <w:r w:rsidRPr="002F64A6">
              <w:rPr>
                <w:sz w:val="13"/>
                <w:szCs w:val="13"/>
              </w:rPr>
              <w:t xml:space="preserve">Mixed. In agriculture, </w:t>
            </w:r>
            <w:r w:rsidR="00DA3BC2" w:rsidRPr="002F64A6">
              <w:rPr>
                <w:sz w:val="13"/>
                <w:szCs w:val="13"/>
              </w:rPr>
              <w:t xml:space="preserve">10 </w:t>
            </w:r>
            <w:r w:rsidRPr="002F64A6">
              <w:rPr>
                <w:sz w:val="13"/>
                <w:szCs w:val="13"/>
              </w:rPr>
              <w:t>min</w:t>
            </w:r>
            <w:r w:rsidR="00DA3BC2" w:rsidRPr="002F64A6">
              <w:rPr>
                <w:sz w:val="13"/>
                <w:szCs w:val="13"/>
              </w:rPr>
              <w:t xml:space="preserve">s </w:t>
            </w:r>
            <w:r w:rsidRPr="002F64A6">
              <w:rPr>
                <w:sz w:val="13"/>
                <w:szCs w:val="13"/>
              </w:rPr>
              <w:t xml:space="preserve">every two hours at &gt;95°F. In other industries, only </w:t>
            </w:r>
            <w:r w:rsidR="00940475" w:rsidRPr="002F64A6">
              <w:rPr>
                <w:sz w:val="13"/>
                <w:szCs w:val="13"/>
              </w:rPr>
              <w:t xml:space="preserve">on </w:t>
            </w:r>
            <w:r w:rsidRPr="002F64A6">
              <w:rPr>
                <w:sz w:val="13"/>
                <w:szCs w:val="13"/>
              </w:rPr>
              <w:t>request.</w:t>
            </w:r>
          </w:p>
        </w:tc>
        <w:tc>
          <w:tcPr>
            <w:tcW w:w="1367" w:type="dxa"/>
            <w:vAlign w:val="top"/>
            <w:hideMark/>
          </w:tcPr>
          <w:p w14:paraId="6428C141" w14:textId="77777777" w:rsidR="00DC194A" w:rsidRPr="002F64A6" w:rsidRDefault="00DC194A" w:rsidP="00E57E59">
            <w:pPr>
              <w:pStyle w:val="TableLeft"/>
              <w:cnfStyle w:val="000000100000" w:firstRow="0" w:lastRow="0" w:firstColumn="0" w:lastColumn="0" w:oddVBand="0" w:evenVBand="0" w:oddHBand="1" w:evenHBand="0" w:firstRowFirstColumn="0" w:firstRowLastColumn="0" w:lastRowFirstColumn="0" w:lastRowLastColumn="0"/>
              <w:rPr>
                <w:sz w:val="13"/>
                <w:szCs w:val="13"/>
              </w:rPr>
            </w:pPr>
            <w:r w:rsidRPr="002F64A6">
              <w:rPr>
                <w:sz w:val="13"/>
                <w:szCs w:val="13"/>
              </w:rPr>
              <w:t>No</w:t>
            </w:r>
          </w:p>
        </w:tc>
        <w:tc>
          <w:tcPr>
            <w:tcW w:w="1367" w:type="dxa"/>
            <w:vAlign w:val="top"/>
            <w:hideMark/>
          </w:tcPr>
          <w:p w14:paraId="0A8AC191" w14:textId="57B13393" w:rsidR="00DC194A" w:rsidRPr="002F64A6" w:rsidRDefault="005077F4" w:rsidP="00E57E59">
            <w:pPr>
              <w:pStyle w:val="TableLeft"/>
              <w:cnfStyle w:val="000000100000" w:firstRow="0" w:lastRow="0" w:firstColumn="0" w:lastColumn="0" w:oddVBand="0" w:evenVBand="0" w:oddHBand="1" w:evenHBand="0" w:firstRowFirstColumn="0" w:firstRowLastColumn="0" w:lastRowFirstColumn="0" w:lastRowLastColumn="0"/>
              <w:rPr>
                <w:sz w:val="13"/>
                <w:szCs w:val="13"/>
              </w:rPr>
            </w:pPr>
            <w:r>
              <w:rPr>
                <w:sz w:val="13"/>
                <w:szCs w:val="13"/>
              </w:rPr>
              <w:t xml:space="preserve">Yes, </w:t>
            </w:r>
            <w:r w:rsidR="00DC194A" w:rsidRPr="002F64A6">
              <w:rPr>
                <w:sz w:val="13"/>
                <w:szCs w:val="13"/>
              </w:rPr>
              <w:t>in the sense t</w:t>
            </w:r>
            <w:r>
              <w:rPr>
                <w:sz w:val="13"/>
                <w:szCs w:val="13"/>
              </w:rPr>
              <w:t>hat the threshold is a firm PEL.</w:t>
            </w:r>
          </w:p>
        </w:tc>
        <w:tc>
          <w:tcPr>
            <w:tcW w:w="1367" w:type="dxa"/>
            <w:vAlign w:val="top"/>
            <w:hideMark/>
          </w:tcPr>
          <w:p w14:paraId="0830A12F" w14:textId="473AC390" w:rsidR="00DC194A" w:rsidRPr="002F64A6" w:rsidRDefault="00DC194A" w:rsidP="00E57E59">
            <w:pPr>
              <w:pStyle w:val="TableLeft"/>
              <w:cnfStyle w:val="000000100000" w:firstRow="0" w:lastRow="0" w:firstColumn="0" w:lastColumn="0" w:oddVBand="0" w:evenVBand="0" w:oddHBand="1" w:evenHBand="0" w:firstRowFirstColumn="0" w:firstRowLastColumn="0" w:lastRowFirstColumn="0" w:lastRowLastColumn="0"/>
              <w:rPr>
                <w:sz w:val="13"/>
                <w:szCs w:val="13"/>
              </w:rPr>
            </w:pPr>
            <w:r w:rsidRPr="002F64A6">
              <w:rPr>
                <w:sz w:val="13"/>
                <w:szCs w:val="13"/>
              </w:rPr>
              <w:t>Rigorous work-rest cycles based on WBGT thresholds.</w:t>
            </w:r>
          </w:p>
        </w:tc>
        <w:tc>
          <w:tcPr>
            <w:tcW w:w="1367" w:type="dxa"/>
            <w:vAlign w:val="top"/>
            <w:hideMark/>
          </w:tcPr>
          <w:p w14:paraId="4CA442D1" w14:textId="03ED71FE" w:rsidR="00DC194A" w:rsidRPr="002F64A6" w:rsidRDefault="00DC194A" w:rsidP="00E57E59">
            <w:pPr>
              <w:pStyle w:val="TableLeft"/>
              <w:cnfStyle w:val="000000100000" w:firstRow="0" w:lastRow="0" w:firstColumn="0" w:lastColumn="0" w:oddVBand="0" w:evenVBand="0" w:oddHBand="1" w:evenHBand="0" w:firstRowFirstColumn="0" w:firstRowLastColumn="0" w:lastRowFirstColumn="0" w:lastRowLastColumn="0"/>
              <w:rPr>
                <w:sz w:val="13"/>
                <w:szCs w:val="13"/>
              </w:rPr>
            </w:pPr>
            <w:r w:rsidRPr="002F64A6">
              <w:rPr>
                <w:sz w:val="13"/>
                <w:szCs w:val="13"/>
              </w:rPr>
              <w:t>Threshold limit curves differ depending on amount of work per hour.</w:t>
            </w:r>
          </w:p>
        </w:tc>
        <w:tc>
          <w:tcPr>
            <w:tcW w:w="1367" w:type="dxa"/>
            <w:vAlign w:val="top"/>
            <w:hideMark/>
          </w:tcPr>
          <w:p w14:paraId="54A43559" w14:textId="63D5D59E" w:rsidR="00DC194A" w:rsidRPr="002F64A6" w:rsidRDefault="00604588" w:rsidP="003A4974">
            <w:pPr>
              <w:pStyle w:val="TableLeft"/>
              <w:cnfStyle w:val="000000100000" w:firstRow="0" w:lastRow="0" w:firstColumn="0" w:lastColumn="0" w:oddVBand="0" w:evenVBand="0" w:oddHBand="1" w:evenHBand="0" w:firstRowFirstColumn="0" w:firstRowLastColumn="0" w:lastRowFirstColumn="0" w:lastRowLastColumn="0"/>
              <w:rPr>
                <w:sz w:val="13"/>
                <w:szCs w:val="13"/>
              </w:rPr>
            </w:pPr>
            <w:r w:rsidRPr="002F64A6">
              <w:rPr>
                <w:sz w:val="13"/>
                <w:szCs w:val="13"/>
              </w:rPr>
              <w:t>Indirectly. T</w:t>
            </w:r>
            <w:r w:rsidR="00DC194A" w:rsidRPr="002F64A6">
              <w:rPr>
                <w:sz w:val="13"/>
                <w:szCs w:val="13"/>
              </w:rPr>
              <w:t>emps at which extra pre</w:t>
            </w:r>
            <w:r w:rsidR="00CC79CF">
              <w:rPr>
                <w:sz w:val="13"/>
                <w:szCs w:val="13"/>
              </w:rPr>
              <w:t>-</w:t>
            </w:r>
            <w:r w:rsidR="00DC194A" w:rsidRPr="002F64A6">
              <w:rPr>
                <w:sz w:val="13"/>
                <w:szCs w:val="13"/>
              </w:rPr>
              <w:t xml:space="preserve">cautions </w:t>
            </w:r>
            <w:r w:rsidR="003A4974">
              <w:rPr>
                <w:sz w:val="13"/>
                <w:szCs w:val="13"/>
              </w:rPr>
              <w:t xml:space="preserve">needed </w:t>
            </w:r>
            <w:r w:rsidR="00DC194A" w:rsidRPr="002F64A6">
              <w:rPr>
                <w:sz w:val="13"/>
                <w:szCs w:val="13"/>
              </w:rPr>
              <w:t>vary with duration of work per hour.</w:t>
            </w:r>
          </w:p>
        </w:tc>
      </w:tr>
      <w:tr w:rsidR="00150799" w:rsidRPr="002F64A6" w14:paraId="31B34844" w14:textId="77777777" w:rsidTr="00513064">
        <w:trPr>
          <w:cnfStyle w:val="000000010000" w:firstRow="0" w:lastRow="0" w:firstColumn="0" w:lastColumn="0" w:oddVBand="0" w:evenVBand="0" w:oddHBand="0" w:evenHBand="1"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182" w:type="dxa"/>
            <w:vAlign w:val="top"/>
            <w:hideMark/>
          </w:tcPr>
          <w:p w14:paraId="1509F106" w14:textId="01416B8F" w:rsidR="00DC194A" w:rsidRPr="002F64A6" w:rsidRDefault="006B45F3" w:rsidP="00E57E59">
            <w:pPr>
              <w:pStyle w:val="TableLeft"/>
              <w:rPr>
                <w:b/>
                <w:bCs/>
                <w:sz w:val="14"/>
                <w:szCs w:val="14"/>
              </w:rPr>
            </w:pPr>
            <w:r>
              <w:rPr>
                <w:b/>
                <w:bCs/>
                <w:sz w:val="14"/>
                <w:szCs w:val="14"/>
              </w:rPr>
              <w:t>Personal Protec</w:t>
            </w:r>
            <w:r w:rsidR="003F6B6E">
              <w:rPr>
                <w:b/>
                <w:bCs/>
                <w:sz w:val="14"/>
                <w:szCs w:val="14"/>
              </w:rPr>
              <w:t>-</w:t>
            </w:r>
            <w:r>
              <w:rPr>
                <w:b/>
                <w:bCs/>
                <w:sz w:val="14"/>
                <w:szCs w:val="14"/>
              </w:rPr>
              <w:t>tive Equipment</w:t>
            </w:r>
          </w:p>
        </w:tc>
        <w:tc>
          <w:tcPr>
            <w:tcW w:w="1367" w:type="dxa"/>
            <w:vAlign w:val="top"/>
            <w:hideMark/>
          </w:tcPr>
          <w:p w14:paraId="3970429B" w14:textId="77777777" w:rsidR="00DC194A" w:rsidRPr="002F64A6" w:rsidRDefault="00DC194A" w:rsidP="00E57E59">
            <w:pPr>
              <w:pStyle w:val="TableLeft"/>
              <w:cnfStyle w:val="000000010000" w:firstRow="0" w:lastRow="0" w:firstColumn="0" w:lastColumn="0" w:oddVBand="0" w:evenVBand="0" w:oddHBand="0" w:evenHBand="1" w:firstRowFirstColumn="0" w:firstRowLastColumn="0" w:lastRowFirstColumn="0" w:lastRowLastColumn="0"/>
              <w:rPr>
                <w:sz w:val="13"/>
                <w:szCs w:val="13"/>
              </w:rPr>
            </w:pPr>
            <w:r w:rsidRPr="002F64A6">
              <w:rPr>
                <w:sz w:val="13"/>
                <w:szCs w:val="13"/>
              </w:rPr>
              <w:t>No</w:t>
            </w:r>
          </w:p>
        </w:tc>
        <w:tc>
          <w:tcPr>
            <w:tcW w:w="1367" w:type="dxa"/>
            <w:vAlign w:val="top"/>
            <w:hideMark/>
          </w:tcPr>
          <w:p w14:paraId="22B7FC77" w14:textId="77777777" w:rsidR="00DC194A" w:rsidRPr="002F64A6" w:rsidRDefault="00DC194A" w:rsidP="00E57E59">
            <w:pPr>
              <w:pStyle w:val="TableLeft"/>
              <w:cnfStyle w:val="000000010000" w:firstRow="0" w:lastRow="0" w:firstColumn="0" w:lastColumn="0" w:oddVBand="0" w:evenVBand="0" w:oddHBand="0" w:evenHBand="1" w:firstRowFirstColumn="0" w:firstRowLastColumn="0" w:lastRowFirstColumn="0" w:lastRowLastColumn="0"/>
              <w:rPr>
                <w:sz w:val="13"/>
                <w:szCs w:val="13"/>
              </w:rPr>
            </w:pPr>
            <w:r w:rsidRPr="002F64A6">
              <w:rPr>
                <w:sz w:val="13"/>
                <w:szCs w:val="13"/>
              </w:rPr>
              <w:t>No</w:t>
            </w:r>
          </w:p>
        </w:tc>
        <w:tc>
          <w:tcPr>
            <w:tcW w:w="1367" w:type="dxa"/>
            <w:vAlign w:val="top"/>
            <w:hideMark/>
          </w:tcPr>
          <w:p w14:paraId="075D3800" w14:textId="7601EBCD" w:rsidR="00DC194A" w:rsidRPr="002F64A6" w:rsidRDefault="003335DF" w:rsidP="00E57E59">
            <w:pPr>
              <w:pStyle w:val="TableLeft"/>
              <w:cnfStyle w:val="000000010000" w:firstRow="0" w:lastRow="0" w:firstColumn="0" w:lastColumn="0" w:oddVBand="0" w:evenVBand="0" w:oddHBand="0" w:evenHBand="1" w:firstRowFirstColumn="0" w:firstRowLastColumn="0" w:lastRowFirstColumn="0" w:lastRowLastColumn="0"/>
              <w:rPr>
                <w:sz w:val="13"/>
                <w:szCs w:val="13"/>
              </w:rPr>
            </w:pPr>
            <w:r w:rsidRPr="002F64A6">
              <w:rPr>
                <w:sz w:val="13"/>
                <w:szCs w:val="13"/>
              </w:rPr>
              <w:t>No</w:t>
            </w:r>
          </w:p>
        </w:tc>
        <w:tc>
          <w:tcPr>
            <w:tcW w:w="1367" w:type="dxa"/>
            <w:vAlign w:val="top"/>
            <w:hideMark/>
          </w:tcPr>
          <w:p w14:paraId="1E3A1884" w14:textId="38B43360" w:rsidR="00DC194A" w:rsidRPr="002F64A6" w:rsidRDefault="00942C58" w:rsidP="00E57E59">
            <w:pPr>
              <w:pStyle w:val="TableLeft"/>
              <w:cnfStyle w:val="000000010000" w:firstRow="0" w:lastRow="0" w:firstColumn="0" w:lastColumn="0" w:oddVBand="0" w:evenVBand="0" w:oddHBand="0" w:evenHBand="1" w:firstRowFirstColumn="0" w:firstRowLastColumn="0" w:lastRowFirstColumn="0" w:lastRowLastColumn="0"/>
              <w:rPr>
                <w:sz w:val="13"/>
                <w:szCs w:val="13"/>
              </w:rPr>
            </w:pPr>
            <w:r w:rsidRPr="002F64A6">
              <w:rPr>
                <w:sz w:val="13"/>
                <w:szCs w:val="13"/>
              </w:rPr>
              <w:t>No</w:t>
            </w:r>
          </w:p>
        </w:tc>
        <w:tc>
          <w:tcPr>
            <w:tcW w:w="1367" w:type="dxa"/>
            <w:vAlign w:val="top"/>
            <w:hideMark/>
          </w:tcPr>
          <w:p w14:paraId="35CB427E" w14:textId="33EC830C" w:rsidR="00DC194A" w:rsidRPr="002F64A6" w:rsidRDefault="00942C58" w:rsidP="00E57E59">
            <w:pPr>
              <w:pStyle w:val="TableLeft"/>
              <w:cnfStyle w:val="000000010000" w:firstRow="0" w:lastRow="0" w:firstColumn="0" w:lastColumn="0" w:oddVBand="0" w:evenVBand="0" w:oddHBand="0" w:evenHBand="1" w:firstRowFirstColumn="0" w:firstRowLastColumn="0" w:lastRowFirstColumn="0" w:lastRowLastColumn="0"/>
              <w:rPr>
                <w:sz w:val="13"/>
                <w:szCs w:val="13"/>
              </w:rPr>
            </w:pPr>
            <w:r w:rsidRPr="002F64A6">
              <w:rPr>
                <w:sz w:val="13"/>
                <w:szCs w:val="13"/>
              </w:rPr>
              <w:t>Yes</w:t>
            </w:r>
          </w:p>
        </w:tc>
        <w:tc>
          <w:tcPr>
            <w:tcW w:w="1367" w:type="dxa"/>
            <w:vAlign w:val="top"/>
            <w:hideMark/>
          </w:tcPr>
          <w:p w14:paraId="51C29AA3" w14:textId="1D710B4E" w:rsidR="00DC194A" w:rsidRPr="002F64A6" w:rsidRDefault="008510AA" w:rsidP="00E57E59">
            <w:pPr>
              <w:pStyle w:val="TableLeft"/>
              <w:cnfStyle w:val="000000010000" w:firstRow="0" w:lastRow="0" w:firstColumn="0" w:lastColumn="0" w:oddVBand="0" w:evenVBand="0" w:oddHBand="0" w:evenHBand="1" w:firstRowFirstColumn="0" w:firstRowLastColumn="0" w:lastRowFirstColumn="0" w:lastRowLastColumn="0"/>
              <w:rPr>
                <w:sz w:val="13"/>
                <w:szCs w:val="13"/>
              </w:rPr>
            </w:pPr>
            <w:r>
              <w:rPr>
                <w:sz w:val="13"/>
                <w:szCs w:val="13"/>
              </w:rPr>
              <w:t>Yes</w:t>
            </w:r>
          </w:p>
        </w:tc>
      </w:tr>
      <w:tr w:rsidR="00150799" w:rsidRPr="002F64A6" w14:paraId="480E868F" w14:textId="77777777" w:rsidTr="00513064">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182" w:type="dxa"/>
            <w:vAlign w:val="top"/>
            <w:hideMark/>
          </w:tcPr>
          <w:p w14:paraId="45E82581" w14:textId="77777777" w:rsidR="00DC194A" w:rsidRPr="002F64A6" w:rsidRDefault="00DC194A" w:rsidP="00E57E59">
            <w:pPr>
              <w:pStyle w:val="TableLeft"/>
              <w:rPr>
                <w:b/>
                <w:bCs/>
                <w:sz w:val="14"/>
                <w:szCs w:val="14"/>
              </w:rPr>
            </w:pPr>
            <w:r w:rsidRPr="002F64A6">
              <w:rPr>
                <w:b/>
                <w:bCs/>
                <w:sz w:val="14"/>
                <w:szCs w:val="14"/>
              </w:rPr>
              <w:t>Hydration</w:t>
            </w:r>
          </w:p>
        </w:tc>
        <w:tc>
          <w:tcPr>
            <w:tcW w:w="1367" w:type="dxa"/>
            <w:vAlign w:val="top"/>
            <w:hideMark/>
          </w:tcPr>
          <w:p w14:paraId="75F3A6AB" w14:textId="229DBF7C" w:rsidR="00DC194A" w:rsidRPr="002F64A6" w:rsidRDefault="00DC194A" w:rsidP="00E178D6">
            <w:pPr>
              <w:pStyle w:val="TableLeft"/>
              <w:cnfStyle w:val="000000100000" w:firstRow="0" w:lastRow="0" w:firstColumn="0" w:lastColumn="0" w:oddVBand="0" w:evenVBand="0" w:oddHBand="1" w:evenHBand="0" w:firstRowFirstColumn="0" w:firstRowLastColumn="0" w:lastRowFirstColumn="0" w:lastRowLastColumn="0"/>
              <w:rPr>
                <w:sz w:val="13"/>
                <w:szCs w:val="13"/>
              </w:rPr>
            </w:pPr>
            <w:r w:rsidRPr="002F64A6">
              <w:rPr>
                <w:sz w:val="13"/>
                <w:szCs w:val="13"/>
              </w:rPr>
              <w:t>Yes. Water</w:t>
            </w:r>
            <w:r w:rsidR="00E178D6" w:rsidRPr="002F64A6">
              <w:rPr>
                <w:sz w:val="13"/>
                <w:szCs w:val="13"/>
              </w:rPr>
              <w:t>,</w:t>
            </w:r>
            <w:r w:rsidRPr="002F64A6">
              <w:rPr>
                <w:sz w:val="13"/>
                <w:szCs w:val="13"/>
              </w:rPr>
              <w:t xml:space="preserve"> 1 qt/hr.</w:t>
            </w:r>
          </w:p>
        </w:tc>
        <w:tc>
          <w:tcPr>
            <w:tcW w:w="1367" w:type="dxa"/>
            <w:vAlign w:val="top"/>
            <w:hideMark/>
          </w:tcPr>
          <w:p w14:paraId="1F4DE20A" w14:textId="7FEAC544" w:rsidR="00DC194A" w:rsidRPr="002F64A6" w:rsidRDefault="00DC194A" w:rsidP="00E178D6">
            <w:pPr>
              <w:pStyle w:val="TableLeft"/>
              <w:cnfStyle w:val="000000100000" w:firstRow="0" w:lastRow="0" w:firstColumn="0" w:lastColumn="0" w:oddVBand="0" w:evenVBand="0" w:oddHBand="1" w:evenHBand="0" w:firstRowFirstColumn="0" w:firstRowLastColumn="0" w:lastRowFirstColumn="0" w:lastRowLastColumn="0"/>
              <w:rPr>
                <w:sz w:val="13"/>
                <w:szCs w:val="13"/>
              </w:rPr>
            </w:pPr>
            <w:r w:rsidRPr="002F64A6">
              <w:rPr>
                <w:sz w:val="13"/>
                <w:szCs w:val="13"/>
              </w:rPr>
              <w:t>Yes. Water</w:t>
            </w:r>
            <w:r w:rsidR="00E178D6" w:rsidRPr="002F64A6">
              <w:rPr>
                <w:sz w:val="13"/>
                <w:szCs w:val="13"/>
              </w:rPr>
              <w:t>,</w:t>
            </w:r>
            <w:r w:rsidRPr="002F64A6">
              <w:rPr>
                <w:sz w:val="13"/>
                <w:szCs w:val="13"/>
              </w:rPr>
              <w:t xml:space="preserve"> 1 qt/hr.</w:t>
            </w:r>
          </w:p>
        </w:tc>
        <w:tc>
          <w:tcPr>
            <w:tcW w:w="1367" w:type="dxa"/>
            <w:vAlign w:val="top"/>
            <w:hideMark/>
          </w:tcPr>
          <w:p w14:paraId="09E54D1D" w14:textId="77777777" w:rsidR="00DC194A" w:rsidRPr="002F64A6" w:rsidRDefault="00DC194A" w:rsidP="00E57E59">
            <w:pPr>
              <w:pStyle w:val="TableLeft"/>
              <w:cnfStyle w:val="000000100000" w:firstRow="0" w:lastRow="0" w:firstColumn="0" w:lastColumn="0" w:oddVBand="0" w:evenVBand="0" w:oddHBand="1" w:evenHBand="0" w:firstRowFirstColumn="0" w:firstRowLastColumn="0" w:lastRowFirstColumn="0" w:lastRowLastColumn="0"/>
              <w:rPr>
                <w:sz w:val="13"/>
                <w:szCs w:val="13"/>
              </w:rPr>
            </w:pPr>
            <w:r w:rsidRPr="002F64A6">
              <w:rPr>
                <w:sz w:val="13"/>
                <w:szCs w:val="13"/>
              </w:rPr>
              <w:t>No</w:t>
            </w:r>
          </w:p>
        </w:tc>
        <w:tc>
          <w:tcPr>
            <w:tcW w:w="1367" w:type="dxa"/>
            <w:vAlign w:val="top"/>
            <w:hideMark/>
          </w:tcPr>
          <w:p w14:paraId="3CCBFCD8" w14:textId="2E043C76" w:rsidR="00DC194A" w:rsidRPr="002F64A6" w:rsidRDefault="004F19F8" w:rsidP="00E178D6">
            <w:pPr>
              <w:pStyle w:val="TableLeft"/>
              <w:cnfStyle w:val="000000100000" w:firstRow="0" w:lastRow="0" w:firstColumn="0" w:lastColumn="0" w:oddVBand="0" w:evenVBand="0" w:oddHBand="1" w:evenHBand="0" w:firstRowFirstColumn="0" w:firstRowLastColumn="0" w:lastRowFirstColumn="0" w:lastRowLastColumn="0"/>
              <w:rPr>
                <w:sz w:val="13"/>
                <w:szCs w:val="13"/>
              </w:rPr>
            </w:pPr>
            <w:r w:rsidRPr="002F64A6">
              <w:rPr>
                <w:sz w:val="13"/>
                <w:szCs w:val="13"/>
              </w:rPr>
              <w:t>W</w:t>
            </w:r>
            <w:r w:rsidR="00DC194A" w:rsidRPr="002F64A6">
              <w:rPr>
                <w:sz w:val="13"/>
                <w:szCs w:val="13"/>
              </w:rPr>
              <w:t>ater</w:t>
            </w:r>
            <w:r w:rsidR="00E178D6" w:rsidRPr="002F64A6">
              <w:rPr>
                <w:sz w:val="13"/>
                <w:szCs w:val="13"/>
              </w:rPr>
              <w:t>,</w:t>
            </w:r>
            <w:r w:rsidR="00DC194A" w:rsidRPr="002F64A6">
              <w:rPr>
                <w:sz w:val="13"/>
                <w:szCs w:val="13"/>
              </w:rPr>
              <w:t xml:space="preserve"> 0.5–1.5 qt/hr based on work intensity and </w:t>
            </w:r>
            <w:r w:rsidR="00CB1B6F" w:rsidRPr="002F64A6">
              <w:rPr>
                <w:sz w:val="13"/>
                <w:szCs w:val="13"/>
              </w:rPr>
              <w:t>WBGT</w:t>
            </w:r>
            <w:r w:rsidR="00DC194A" w:rsidRPr="002F64A6">
              <w:rPr>
                <w:sz w:val="13"/>
                <w:szCs w:val="13"/>
              </w:rPr>
              <w:t>.</w:t>
            </w:r>
            <w:r w:rsidR="008E1D0D" w:rsidRPr="002F64A6">
              <w:rPr>
                <w:sz w:val="13"/>
                <w:szCs w:val="13"/>
              </w:rPr>
              <w:t xml:space="preserve"> </w:t>
            </w:r>
            <w:r w:rsidR="00D77357" w:rsidRPr="002F64A6">
              <w:rPr>
                <w:sz w:val="13"/>
                <w:szCs w:val="13"/>
              </w:rPr>
              <w:t>S</w:t>
            </w:r>
            <w:r w:rsidR="008E1D0D" w:rsidRPr="002F64A6">
              <w:rPr>
                <w:sz w:val="13"/>
                <w:szCs w:val="13"/>
              </w:rPr>
              <w:t>alt or spo</w:t>
            </w:r>
            <w:r w:rsidR="00ED59C1" w:rsidRPr="002F64A6">
              <w:rPr>
                <w:sz w:val="13"/>
                <w:szCs w:val="13"/>
              </w:rPr>
              <w:t xml:space="preserve">rts drinks </w:t>
            </w:r>
            <w:r w:rsidR="003210D2" w:rsidRPr="002F64A6">
              <w:rPr>
                <w:sz w:val="13"/>
                <w:szCs w:val="13"/>
              </w:rPr>
              <w:t xml:space="preserve">during </w:t>
            </w:r>
            <w:r w:rsidR="00FD6BDD" w:rsidRPr="002F64A6">
              <w:rPr>
                <w:sz w:val="13"/>
                <w:szCs w:val="13"/>
              </w:rPr>
              <w:t>&gt;</w:t>
            </w:r>
            <w:r w:rsidR="00F82F48" w:rsidRPr="002F64A6">
              <w:rPr>
                <w:sz w:val="13"/>
                <w:szCs w:val="13"/>
              </w:rPr>
              <w:t xml:space="preserve">4 hours </w:t>
            </w:r>
            <w:r w:rsidR="00ED59C1" w:rsidRPr="002F64A6">
              <w:rPr>
                <w:sz w:val="13"/>
                <w:szCs w:val="13"/>
              </w:rPr>
              <w:t xml:space="preserve">sweating </w:t>
            </w:r>
            <w:r w:rsidR="00345ACC" w:rsidRPr="002F64A6">
              <w:rPr>
                <w:sz w:val="13"/>
                <w:szCs w:val="13"/>
              </w:rPr>
              <w:t>if salt from meals</w:t>
            </w:r>
            <w:r w:rsidR="008962F9" w:rsidRPr="002F64A6">
              <w:rPr>
                <w:sz w:val="13"/>
                <w:szCs w:val="13"/>
              </w:rPr>
              <w:t xml:space="preserve"> is insufficient</w:t>
            </w:r>
            <w:r w:rsidR="00345ACC" w:rsidRPr="002F64A6">
              <w:rPr>
                <w:sz w:val="13"/>
                <w:szCs w:val="13"/>
              </w:rPr>
              <w:t>.</w:t>
            </w:r>
          </w:p>
        </w:tc>
        <w:tc>
          <w:tcPr>
            <w:tcW w:w="1367" w:type="dxa"/>
            <w:vAlign w:val="top"/>
            <w:hideMark/>
          </w:tcPr>
          <w:p w14:paraId="78AFC3DB" w14:textId="549DF91F" w:rsidR="00DC194A" w:rsidRPr="002F64A6" w:rsidRDefault="0001412C" w:rsidP="00157FA1">
            <w:pPr>
              <w:pStyle w:val="TableLeft"/>
              <w:cnfStyle w:val="000000100000" w:firstRow="0" w:lastRow="0" w:firstColumn="0" w:lastColumn="0" w:oddVBand="0" w:evenVBand="0" w:oddHBand="1" w:evenHBand="0" w:firstRowFirstColumn="0" w:firstRowLastColumn="0" w:lastRowFirstColumn="0" w:lastRowLastColumn="0"/>
              <w:rPr>
                <w:sz w:val="13"/>
                <w:szCs w:val="13"/>
              </w:rPr>
            </w:pPr>
            <w:r w:rsidRPr="002F64A6">
              <w:rPr>
                <w:sz w:val="13"/>
                <w:szCs w:val="13"/>
              </w:rPr>
              <w:t>P</w:t>
            </w:r>
            <w:r w:rsidR="00BA65DB" w:rsidRPr="002F64A6">
              <w:rPr>
                <w:sz w:val="13"/>
                <w:szCs w:val="13"/>
              </w:rPr>
              <w:t xml:space="preserve">rovide </w:t>
            </w:r>
            <w:r w:rsidR="00DC194A" w:rsidRPr="002F64A6">
              <w:rPr>
                <w:sz w:val="13"/>
                <w:szCs w:val="13"/>
              </w:rPr>
              <w:t>1 cup cool (50–59°F), potable water every 15–20 min</w:t>
            </w:r>
            <w:r w:rsidR="00BB7733" w:rsidRPr="002F64A6">
              <w:rPr>
                <w:sz w:val="13"/>
                <w:szCs w:val="13"/>
              </w:rPr>
              <w:t>s</w:t>
            </w:r>
            <w:r w:rsidR="00DC194A" w:rsidRPr="002F64A6">
              <w:rPr>
                <w:sz w:val="13"/>
                <w:szCs w:val="13"/>
              </w:rPr>
              <w:t>. For workers sweating more than 2 hours, provide electrolytes.</w:t>
            </w:r>
          </w:p>
        </w:tc>
        <w:tc>
          <w:tcPr>
            <w:tcW w:w="1367" w:type="dxa"/>
            <w:vAlign w:val="top"/>
            <w:hideMark/>
          </w:tcPr>
          <w:p w14:paraId="09F99D27" w14:textId="4B6AFF7D" w:rsidR="00DC194A" w:rsidRPr="002F64A6" w:rsidRDefault="00DC194A" w:rsidP="00E57E59">
            <w:pPr>
              <w:pStyle w:val="TableLeft"/>
              <w:cnfStyle w:val="000000100000" w:firstRow="0" w:lastRow="0" w:firstColumn="0" w:lastColumn="0" w:oddVBand="0" w:evenVBand="0" w:oddHBand="1" w:evenHBand="0" w:firstRowFirstColumn="0" w:firstRowLastColumn="0" w:lastRowFirstColumn="0" w:lastRowLastColumn="0"/>
              <w:rPr>
                <w:sz w:val="13"/>
                <w:szCs w:val="13"/>
              </w:rPr>
            </w:pPr>
            <w:r w:rsidRPr="002F64A6">
              <w:rPr>
                <w:sz w:val="13"/>
                <w:szCs w:val="13"/>
              </w:rPr>
              <w:t xml:space="preserve">Employers should encourage workers to drink 1 cup of cool, palatable water every 20 </w:t>
            </w:r>
            <w:r w:rsidR="00BB7733" w:rsidRPr="002F64A6">
              <w:rPr>
                <w:sz w:val="13"/>
                <w:szCs w:val="13"/>
              </w:rPr>
              <w:t>mins</w:t>
            </w:r>
            <w:r w:rsidRPr="002F64A6">
              <w:rPr>
                <w:sz w:val="13"/>
                <w:szCs w:val="13"/>
              </w:rPr>
              <w:t>.</w:t>
            </w:r>
          </w:p>
        </w:tc>
      </w:tr>
      <w:tr w:rsidR="00150799" w:rsidRPr="002F64A6" w14:paraId="192BF91C" w14:textId="77777777" w:rsidTr="00513064">
        <w:trPr>
          <w:cnfStyle w:val="000000010000" w:firstRow="0" w:lastRow="0" w:firstColumn="0" w:lastColumn="0" w:oddVBand="0" w:evenVBand="0" w:oddHBand="0" w:evenHBand="1"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182" w:type="dxa"/>
            <w:vAlign w:val="top"/>
            <w:hideMark/>
          </w:tcPr>
          <w:p w14:paraId="704CE7ED" w14:textId="4C3903BE" w:rsidR="00DC194A" w:rsidRPr="002F64A6" w:rsidRDefault="00DC194A" w:rsidP="00985BF1">
            <w:pPr>
              <w:pStyle w:val="TableLeft"/>
              <w:rPr>
                <w:b/>
                <w:bCs/>
                <w:sz w:val="14"/>
                <w:szCs w:val="14"/>
              </w:rPr>
            </w:pPr>
            <w:r w:rsidRPr="002F64A6">
              <w:rPr>
                <w:b/>
                <w:bCs/>
                <w:sz w:val="14"/>
                <w:szCs w:val="14"/>
              </w:rPr>
              <w:t xml:space="preserve">Shade </w:t>
            </w:r>
            <w:r w:rsidR="00985BF1" w:rsidRPr="002F64A6">
              <w:rPr>
                <w:b/>
                <w:bCs/>
                <w:sz w:val="14"/>
                <w:szCs w:val="14"/>
              </w:rPr>
              <w:t>R</w:t>
            </w:r>
            <w:r w:rsidRPr="002F64A6">
              <w:rPr>
                <w:b/>
                <w:bCs/>
                <w:sz w:val="14"/>
                <w:szCs w:val="14"/>
              </w:rPr>
              <w:t>equirements</w:t>
            </w:r>
          </w:p>
        </w:tc>
        <w:tc>
          <w:tcPr>
            <w:tcW w:w="1367" w:type="dxa"/>
            <w:vAlign w:val="top"/>
            <w:hideMark/>
          </w:tcPr>
          <w:p w14:paraId="516A4FFB" w14:textId="4C3424CF" w:rsidR="00DC194A" w:rsidRPr="002F64A6" w:rsidRDefault="00DC194A" w:rsidP="00E57E59">
            <w:pPr>
              <w:pStyle w:val="TableLeft"/>
              <w:cnfStyle w:val="000000010000" w:firstRow="0" w:lastRow="0" w:firstColumn="0" w:lastColumn="0" w:oddVBand="0" w:evenVBand="0" w:oddHBand="0" w:evenHBand="1" w:firstRowFirstColumn="0" w:firstRowLastColumn="0" w:lastRowFirstColumn="0" w:lastRowLastColumn="0"/>
              <w:rPr>
                <w:sz w:val="13"/>
                <w:szCs w:val="13"/>
              </w:rPr>
            </w:pPr>
            <w:r w:rsidRPr="002F64A6">
              <w:rPr>
                <w:sz w:val="13"/>
                <w:szCs w:val="13"/>
              </w:rPr>
              <w:t>Required when temp &gt;80°F. Upon request when temp ≤80°F.</w:t>
            </w:r>
          </w:p>
        </w:tc>
        <w:tc>
          <w:tcPr>
            <w:tcW w:w="1367" w:type="dxa"/>
            <w:vAlign w:val="top"/>
            <w:hideMark/>
          </w:tcPr>
          <w:p w14:paraId="768B24C6" w14:textId="77777777" w:rsidR="00DC194A" w:rsidRPr="002F64A6" w:rsidRDefault="00DC194A" w:rsidP="00E57E59">
            <w:pPr>
              <w:pStyle w:val="TableLeft"/>
              <w:cnfStyle w:val="000000010000" w:firstRow="0" w:lastRow="0" w:firstColumn="0" w:lastColumn="0" w:oddVBand="0" w:evenVBand="0" w:oddHBand="0" w:evenHBand="1" w:firstRowFirstColumn="0" w:firstRowLastColumn="0" w:lastRowFirstColumn="0" w:lastRowLastColumn="0"/>
              <w:rPr>
                <w:sz w:val="13"/>
                <w:szCs w:val="13"/>
              </w:rPr>
            </w:pPr>
            <w:r w:rsidRPr="002F64A6">
              <w:rPr>
                <w:sz w:val="13"/>
                <w:szCs w:val="13"/>
              </w:rPr>
              <w:t>No</w:t>
            </w:r>
          </w:p>
        </w:tc>
        <w:tc>
          <w:tcPr>
            <w:tcW w:w="1367" w:type="dxa"/>
            <w:vAlign w:val="top"/>
            <w:hideMark/>
          </w:tcPr>
          <w:p w14:paraId="530EC2E7" w14:textId="77777777" w:rsidR="00DC194A" w:rsidRPr="002F64A6" w:rsidRDefault="00DC194A" w:rsidP="00E57E59">
            <w:pPr>
              <w:pStyle w:val="TableLeft"/>
              <w:cnfStyle w:val="000000010000" w:firstRow="0" w:lastRow="0" w:firstColumn="0" w:lastColumn="0" w:oddVBand="0" w:evenVBand="0" w:oddHBand="0" w:evenHBand="1" w:firstRowFirstColumn="0" w:firstRowLastColumn="0" w:lastRowFirstColumn="0" w:lastRowLastColumn="0"/>
              <w:rPr>
                <w:sz w:val="13"/>
                <w:szCs w:val="13"/>
              </w:rPr>
            </w:pPr>
            <w:r w:rsidRPr="002F64A6">
              <w:rPr>
                <w:sz w:val="13"/>
                <w:szCs w:val="13"/>
              </w:rPr>
              <w:t>N/A</w:t>
            </w:r>
          </w:p>
        </w:tc>
        <w:tc>
          <w:tcPr>
            <w:tcW w:w="1367" w:type="dxa"/>
            <w:vAlign w:val="top"/>
            <w:hideMark/>
          </w:tcPr>
          <w:p w14:paraId="7858053C" w14:textId="391BCEB5" w:rsidR="00DC194A" w:rsidRPr="002F64A6" w:rsidRDefault="005025A1" w:rsidP="005025A1">
            <w:pPr>
              <w:pStyle w:val="TableLeft"/>
              <w:cnfStyle w:val="000000010000" w:firstRow="0" w:lastRow="0" w:firstColumn="0" w:lastColumn="0" w:oddVBand="0" w:evenVBand="0" w:oddHBand="0" w:evenHBand="1" w:firstRowFirstColumn="0" w:firstRowLastColumn="0" w:lastRowFirstColumn="0" w:lastRowLastColumn="0"/>
              <w:rPr>
                <w:sz w:val="13"/>
                <w:szCs w:val="13"/>
              </w:rPr>
            </w:pPr>
            <w:r w:rsidRPr="002F64A6">
              <w:rPr>
                <w:sz w:val="13"/>
                <w:szCs w:val="13"/>
              </w:rPr>
              <w:t>Rest should be given in shade.</w:t>
            </w:r>
          </w:p>
        </w:tc>
        <w:tc>
          <w:tcPr>
            <w:tcW w:w="1367" w:type="dxa"/>
            <w:vAlign w:val="top"/>
            <w:hideMark/>
          </w:tcPr>
          <w:p w14:paraId="63CDCF86" w14:textId="5BC6E2AC" w:rsidR="00DC194A" w:rsidRPr="002F64A6" w:rsidRDefault="00E436F4" w:rsidP="00E436F4">
            <w:pPr>
              <w:pStyle w:val="TableLeft"/>
              <w:cnfStyle w:val="000000010000" w:firstRow="0" w:lastRow="0" w:firstColumn="0" w:lastColumn="0" w:oddVBand="0" w:evenVBand="0" w:oddHBand="0" w:evenHBand="1" w:firstRowFirstColumn="0" w:firstRowLastColumn="0" w:lastRowFirstColumn="0" w:lastRowLastColumn="0"/>
              <w:rPr>
                <w:sz w:val="13"/>
                <w:szCs w:val="13"/>
              </w:rPr>
            </w:pPr>
            <w:r w:rsidRPr="002F64A6">
              <w:rPr>
                <w:sz w:val="13"/>
                <w:szCs w:val="13"/>
              </w:rPr>
              <w:t>Provide air-conditioned or shaded area for rest.</w:t>
            </w:r>
          </w:p>
        </w:tc>
        <w:tc>
          <w:tcPr>
            <w:tcW w:w="1367" w:type="dxa"/>
            <w:vAlign w:val="top"/>
            <w:hideMark/>
          </w:tcPr>
          <w:p w14:paraId="699F23C4" w14:textId="77777777" w:rsidR="00DC194A" w:rsidRPr="002F64A6" w:rsidRDefault="00DC194A" w:rsidP="00E57E59">
            <w:pPr>
              <w:pStyle w:val="TableLeft"/>
              <w:cnfStyle w:val="000000010000" w:firstRow="0" w:lastRow="0" w:firstColumn="0" w:lastColumn="0" w:oddVBand="0" w:evenVBand="0" w:oddHBand="0" w:evenHBand="1" w:firstRowFirstColumn="0" w:firstRowLastColumn="0" w:lastRowFirstColumn="0" w:lastRowLastColumn="0"/>
              <w:rPr>
                <w:sz w:val="13"/>
                <w:szCs w:val="13"/>
              </w:rPr>
            </w:pPr>
            <w:r w:rsidRPr="002F64A6">
              <w:rPr>
                <w:sz w:val="13"/>
                <w:szCs w:val="13"/>
              </w:rPr>
              <w:t>No speciﬁc guidelines on shade.</w:t>
            </w:r>
          </w:p>
        </w:tc>
      </w:tr>
      <w:tr w:rsidR="00150799" w:rsidRPr="002F64A6" w14:paraId="28927840" w14:textId="77777777" w:rsidTr="00513064">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182" w:type="dxa"/>
            <w:vAlign w:val="top"/>
            <w:hideMark/>
          </w:tcPr>
          <w:p w14:paraId="47007805" w14:textId="77777777" w:rsidR="00DC194A" w:rsidRPr="002F64A6" w:rsidRDefault="00DC194A" w:rsidP="00E57E59">
            <w:pPr>
              <w:pStyle w:val="TableLeft"/>
              <w:rPr>
                <w:b/>
                <w:bCs/>
                <w:sz w:val="14"/>
                <w:szCs w:val="14"/>
              </w:rPr>
            </w:pPr>
            <w:r w:rsidRPr="002F64A6">
              <w:rPr>
                <w:b/>
                <w:bCs/>
                <w:sz w:val="14"/>
                <w:szCs w:val="14"/>
              </w:rPr>
              <w:t>Hazard Notification</w:t>
            </w:r>
          </w:p>
        </w:tc>
        <w:tc>
          <w:tcPr>
            <w:tcW w:w="1367" w:type="dxa"/>
            <w:vAlign w:val="top"/>
            <w:hideMark/>
          </w:tcPr>
          <w:p w14:paraId="78093147" w14:textId="77777777" w:rsidR="00DC194A" w:rsidRPr="002F64A6" w:rsidRDefault="00DC194A" w:rsidP="00E57E59">
            <w:pPr>
              <w:pStyle w:val="TableLeft"/>
              <w:cnfStyle w:val="000000100000" w:firstRow="0" w:lastRow="0" w:firstColumn="0" w:lastColumn="0" w:oddVBand="0" w:evenVBand="0" w:oddHBand="1" w:evenHBand="0" w:firstRowFirstColumn="0" w:firstRowLastColumn="0" w:lastRowFirstColumn="0" w:lastRowLastColumn="0"/>
              <w:rPr>
                <w:sz w:val="13"/>
                <w:szCs w:val="13"/>
              </w:rPr>
            </w:pPr>
            <w:r w:rsidRPr="002F64A6">
              <w:rPr>
                <w:sz w:val="13"/>
                <w:szCs w:val="13"/>
              </w:rPr>
              <w:t>No</w:t>
            </w:r>
          </w:p>
        </w:tc>
        <w:tc>
          <w:tcPr>
            <w:tcW w:w="1367" w:type="dxa"/>
            <w:vAlign w:val="top"/>
            <w:hideMark/>
          </w:tcPr>
          <w:p w14:paraId="13B46C5A" w14:textId="77777777" w:rsidR="00DC194A" w:rsidRPr="002F64A6" w:rsidRDefault="00DC194A" w:rsidP="00E57E59">
            <w:pPr>
              <w:pStyle w:val="TableLeft"/>
              <w:cnfStyle w:val="000000100000" w:firstRow="0" w:lastRow="0" w:firstColumn="0" w:lastColumn="0" w:oddVBand="0" w:evenVBand="0" w:oddHBand="1" w:evenHBand="0" w:firstRowFirstColumn="0" w:firstRowLastColumn="0" w:lastRowFirstColumn="0" w:lastRowLastColumn="0"/>
              <w:rPr>
                <w:sz w:val="13"/>
                <w:szCs w:val="13"/>
              </w:rPr>
            </w:pPr>
            <w:r w:rsidRPr="002F64A6">
              <w:rPr>
                <w:sz w:val="13"/>
                <w:szCs w:val="13"/>
              </w:rPr>
              <w:t>No</w:t>
            </w:r>
          </w:p>
        </w:tc>
        <w:tc>
          <w:tcPr>
            <w:tcW w:w="1367" w:type="dxa"/>
            <w:vAlign w:val="top"/>
            <w:hideMark/>
          </w:tcPr>
          <w:p w14:paraId="0BAD8068" w14:textId="7AD5D5BC" w:rsidR="00DC194A" w:rsidRPr="002F64A6" w:rsidRDefault="005B5E89" w:rsidP="00E57E59">
            <w:pPr>
              <w:pStyle w:val="TableLeft"/>
              <w:cnfStyle w:val="000000100000" w:firstRow="0" w:lastRow="0" w:firstColumn="0" w:lastColumn="0" w:oddVBand="0" w:evenVBand="0" w:oddHBand="1" w:evenHBand="0" w:firstRowFirstColumn="0" w:firstRowLastColumn="0" w:lastRowFirstColumn="0" w:lastRowLastColumn="0"/>
              <w:rPr>
                <w:sz w:val="13"/>
                <w:szCs w:val="13"/>
              </w:rPr>
            </w:pPr>
            <w:r w:rsidRPr="002F64A6">
              <w:rPr>
                <w:sz w:val="13"/>
                <w:szCs w:val="13"/>
              </w:rPr>
              <w:t>N/A</w:t>
            </w:r>
          </w:p>
        </w:tc>
        <w:tc>
          <w:tcPr>
            <w:tcW w:w="1367" w:type="dxa"/>
            <w:vAlign w:val="top"/>
            <w:hideMark/>
          </w:tcPr>
          <w:p w14:paraId="1A23C2BE" w14:textId="5FB06A37" w:rsidR="00DC194A" w:rsidRPr="002F64A6" w:rsidRDefault="001D1892" w:rsidP="00E57E59">
            <w:pPr>
              <w:pStyle w:val="TableLeft"/>
              <w:cnfStyle w:val="000000100000" w:firstRow="0" w:lastRow="0" w:firstColumn="0" w:lastColumn="0" w:oddVBand="0" w:evenVBand="0" w:oddHBand="1" w:evenHBand="0" w:firstRowFirstColumn="0" w:firstRowLastColumn="0" w:lastRowFirstColumn="0" w:lastRowLastColumn="0"/>
              <w:rPr>
                <w:sz w:val="13"/>
                <w:szCs w:val="13"/>
              </w:rPr>
            </w:pPr>
            <w:r w:rsidRPr="002F64A6">
              <w:rPr>
                <w:sz w:val="13"/>
                <w:szCs w:val="13"/>
              </w:rPr>
              <w:t>Flag indicating conditions.</w:t>
            </w:r>
          </w:p>
        </w:tc>
        <w:tc>
          <w:tcPr>
            <w:tcW w:w="1367" w:type="dxa"/>
            <w:vAlign w:val="top"/>
            <w:hideMark/>
          </w:tcPr>
          <w:p w14:paraId="68F2A5E6" w14:textId="569D25B0" w:rsidR="00DC194A" w:rsidRPr="002F64A6" w:rsidRDefault="001B1498" w:rsidP="00E57E59">
            <w:pPr>
              <w:pStyle w:val="TableLeft"/>
              <w:cnfStyle w:val="000000100000" w:firstRow="0" w:lastRow="0" w:firstColumn="0" w:lastColumn="0" w:oddVBand="0" w:evenVBand="0" w:oddHBand="1" w:evenHBand="0" w:firstRowFirstColumn="0" w:firstRowLastColumn="0" w:lastRowFirstColumn="0" w:lastRowLastColumn="0"/>
              <w:rPr>
                <w:sz w:val="13"/>
                <w:szCs w:val="13"/>
              </w:rPr>
            </w:pPr>
            <w:r w:rsidRPr="002F64A6">
              <w:rPr>
                <w:sz w:val="13"/>
                <w:szCs w:val="13"/>
              </w:rPr>
              <w:t>Yes</w:t>
            </w:r>
          </w:p>
        </w:tc>
        <w:tc>
          <w:tcPr>
            <w:tcW w:w="1367" w:type="dxa"/>
            <w:vAlign w:val="top"/>
            <w:hideMark/>
          </w:tcPr>
          <w:p w14:paraId="3FD34F35" w14:textId="14CB814F" w:rsidR="00DC194A" w:rsidRPr="002F64A6" w:rsidRDefault="00C537ED" w:rsidP="00E57E59">
            <w:pPr>
              <w:pStyle w:val="TableLeft"/>
              <w:cnfStyle w:val="000000100000" w:firstRow="0" w:lastRow="0" w:firstColumn="0" w:lastColumn="0" w:oddVBand="0" w:evenVBand="0" w:oddHBand="1" w:evenHBand="0" w:firstRowFirstColumn="0" w:firstRowLastColumn="0" w:lastRowFirstColumn="0" w:lastRowLastColumn="0"/>
              <w:rPr>
                <w:sz w:val="13"/>
                <w:szCs w:val="13"/>
              </w:rPr>
            </w:pPr>
            <w:r>
              <w:rPr>
                <w:sz w:val="13"/>
                <w:szCs w:val="13"/>
              </w:rPr>
              <w:t>No</w:t>
            </w:r>
          </w:p>
        </w:tc>
      </w:tr>
      <w:tr w:rsidR="00150799" w:rsidRPr="002F64A6" w14:paraId="5E9A4D49" w14:textId="77777777" w:rsidTr="00513064">
        <w:trPr>
          <w:cnfStyle w:val="000000010000" w:firstRow="0" w:lastRow="0" w:firstColumn="0" w:lastColumn="0" w:oddVBand="0" w:evenVBand="0" w:oddHBand="0" w:evenHBand="1"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182" w:type="dxa"/>
            <w:vAlign w:val="top"/>
            <w:hideMark/>
          </w:tcPr>
          <w:p w14:paraId="161BFA7B" w14:textId="46462CC1" w:rsidR="00DC194A" w:rsidRPr="002F64A6" w:rsidRDefault="00DC194A" w:rsidP="00E57E59">
            <w:pPr>
              <w:pStyle w:val="TableLeft"/>
              <w:rPr>
                <w:b/>
                <w:bCs/>
                <w:sz w:val="14"/>
                <w:szCs w:val="14"/>
              </w:rPr>
            </w:pPr>
            <w:r w:rsidRPr="002F64A6">
              <w:rPr>
                <w:b/>
                <w:bCs/>
                <w:sz w:val="14"/>
                <w:szCs w:val="14"/>
              </w:rPr>
              <w:t xml:space="preserve">Employee </w:t>
            </w:r>
            <w:r w:rsidR="00985BF1" w:rsidRPr="002F64A6">
              <w:rPr>
                <w:b/>
                <w:bCs/>
                <w:sz w:val="14"/>
                <w:szCs w:val="14"/>
              </w:rPr>
              <w:t>T</w:t>
            </w:r>
            <w:r w:rsidRPr="002F64A6">
              <w:rPr>
                <w:b/>
                <w:bCs/>
                <w:sz w:val="14"/>
                <w:szCs w:val="14"/>
              </w:rPr>
              <w:t>raining</w:t>
            </w:r>
          </w:p>
        </w:tc>
        <w:tc>
          <w:tcPr>
            <w:tcW w:w="1367" w:type="dxa"/>
            <w:vAlign w:val="top"/>
            <w:hideMark/>
          </w:tcPr>
          <w:p w14:paraId="4A65023F" w14:textId="5490A724" w:rsidR="00DC194A" w:rsidRPr="002F64A6" w:rsidRDefault="00DC194A" w:rsidP="00E57E59">
            <w:pPr>
              <w:pStyle w:val="TableLeft"/>
              <w:cnfStyle w:val="000000010000" w:firstRow="0" w:lastRow="0" w:firstColumn="0" w:lastColumn="0" w:oddVBand="0" w:evenVBand="0" w:oddHBand="0" w:evenHBand="1" w:firstRowFirstColumn="0" w:firstRowLastColumn="0" w:lastRowFirstColumn="0" w:lastRowLastColumn="0"/>
              <w:rPr>
                <w:sz w:val="13"/>
                <w:szCs w:val="13"/>
              </w:rPr>
            </w:pPr>
            <w:r w:rsidRPr="002F64A6">
              <w:rPr>
                <w:sz w:val="13"/>
                <w:szCs w:val="13"/>
              </w:rPr>
              <w:t>Upon hiring.</w:t>
            </w:r>
          </w:p>
        </w:tc>
        <w:tc>
          <w:tcPr>
            <w:tcW w:w="1367" w:type="dxa"/>
            <w:vAlign w:val="top"/>
            <w:hideMark/>
          </w:tcPr>
          <w:p w14:paraId="20140241" w14:textId="1BDCAD47" w:rsidR="00DC194A" w:rsidRPr="002F64A6" w:rsidRDefault="00DC194A" w:rsidP="00E57E59">
            <w:pPr>
              <w:pStyle w:val="TableLeft"/>
              <w:cnfStyle w:val="000000010000" w:firstRow="0" w:lastRow="0" w:firstColumn="0" w:lastColumn="0" w:oddVBand="0" w:evenVBand="0" w:oddHBand="0" w:evenHBand="1" w:firstRowFirstColumn="0" w:firstRowLastColumn="0" w:lastRowFirstColumn="0" w:lastRowLastColumn="0"/>
              <w:rPr>
                <w:sz w:val="13"/>
                <w:szCs w:val="13"/>
              </w:rPr>
            </w:pPr>
            <w:r w:rsidRPr="002F64A6">
              <w:rPr>
                <w:sz w:val="13"/>
                <w:szCs w:val="13"/>
              </w:rPr>
              <w:t>Upon hiring and annually thereafter.</w:t>
            </w:r>
          </w:p>
        </w:tc>
        <w:tc>
          <w:tcPr>
            <w:tcW w:w="1367" w:type="dxa"/>
            <w:vAlign w:val="top"/>
            <w:hideMark/>
          </w:tcPr>
          <w:p w14:paraId="3AA74983" w14:textId="4A0C4A71" w:rsidR="00DC194A" w:rsidRPr="002F64A6" w:rsidRDefault="00DC194A" w:rsidP="00E57E59">
            <w:pPr>
              <w:pStyle w:val="TableLeft"/>
              <w:cnfStyle w:val="000000010000" w:firstRow="0" w:lastRow="0" w:firstColumn="0" w:lastColumn="0" w:oddVBand="0" w:evenVBand="0" w:oddHBand="0" w:evenHBand="1" w:firstRowFirstColumn="0" w:firstRowLastColumn="0" w:lastRowFirstColumn="0" w:lastRowLastColumn="0"/>
              <w:rPr>
                <w:sz w:val="13"/>
                <w:szCs w:val="13"/>
              </w:rPr>
            </w:pPr>
            <w:r w:rsidRPr="002F64A6">
              <w:rPr>
                <w:sz w:val="13"/>
                <w:szCs w:val="13"/>
              </w:rPr>
              <w:t>Upon hiring and annually thereafter.</w:t>
            </w:r>
          </w:p>
        </w:tc>
        <w:tc>
          <w:tcPr>
            <w:tcW w:w="1367" w:type="dxa"/>
            <w:vAlign w:val="top"/>
            <w:hideMark/>
          </w:tcPr>
          <w:p w14:paraId="3EBBEE85" w14:textId="425C0D23" w:rsidR="00DC194A" w:rsidRPr="002F64A6" w:rsidRDefault="00DC194A" w:rsidP="006342A4">
            <w:pPr>
              <w:pStyle w:val="TableLeft"/>
              <w:cnfStyle w:val="000000010000" w:firstRow="0" w:lastRow="0" w:firstColumn="0" w:lastColumn="0" w:oddVBand="0" w:evenVBand="0" w:oddHBand="0" w:evenHBand="1" w:firstRowFirstColumn="0" w:firstRowLastColumn="0" w:lastRowFirstColumn="0" w:lastRowLastColumn="0"/>
              <w:rPr>
                <w:sz w:val="13"/>
                <w:szCs w:val="13"/>
              </w:rPr>
            </w:pPr>
            <w:r w:rsidRPr="002F64A6">
              <w:rPr>
                <w:sz w:val="13"/>
                <w:szCs w:val="13"/>
              </w:rPr>
              <w:t xml:space="preserve">Vague guidance on need to </w:t>
            </w:r>
            <w:r w:rsidR="000A4D4C" w:rsidRPr="002F64A6">
              <w:rPr>
                <w:sz w:val="13"/>
                <w:szCs w:val="13"/>
              </w:rPr>
              <w:t>educate on signs of heat stress</w:t>
            </w:r>
            <w:r w:rsidRPr="002F64A6">
              <w:rPr>
                <w:sz w:val="13"/>
                <w:szCs w:val="13"/>
              </w:rPr>
              <w:t>.</w:t>
            </w:r>
          </w:p>
        </w:tc>
        <w:tc>
          <w:tcPr>
            <w:tcW w:w="1367" w:type="dxa"/>
            <w:vAlign w:val="top"/>
            <w:hideMark/>
          </w:tcPr>
          <w:p w14:paraId="4ABA4C8B" w14:textId="7EB03C75" w:rsidR="00DC194A" w:rsidRPr="002F64A6" w:rsidRDefault="00DC194A" w:rsidP="00E57E59">
            <w:pPr>
              <w:pStyle w:val="TableLeft"/>
              <w:cnfStyle w:val="000000010000" w:firstRow="0" w:lastRow="0" w:firstColumn="0" w:lastColumn="0" w:oddVBand="0" w:evenVBand="0" w:oddHBand="0" w:evenHBand="1" w:firstRowFirstColumn="0" w:firstRowLastColumn="0" w:lastRowFirstColumn="0" w:lastRowLastColumn="0"/>
              <w:rPr>
                <w:sz w:val="13"/>
                <w:szCs w:val="13"/>
              </w:rPr>
            </w:pPr>
            <w:r w:rsidRPr="002F64A6">
              <w:rPr>
                <w:sz w:val="13"/>
                <w:szCs w:val="13"/>
              </w:rPr>
              <w:t>Upon hiring and continuously thereafter.</w:t>
            </w:r>
          </w:p>
        </w:tc>
        <w:tc>
          <w:tcPr>
            <w:tcW w:w="1367" w:type="dxa"/>
            <w:vAlign w:val="top"/>
            <w:hideMark/>
          </w:tcPr>
          <w:p w14:paraId="68173D5F" w14:textId="77777777" w:rsidR="00DC194A" w:rsidRPr="002F64A6" w:rsidRDefault="00DC194A" w:rsidP="00E57E59">
            <w:pPr>
              <w:pStyle w:val="TableLeft"/>
              <w:cnfStyle w:val="000000010000" w:firstRow="0" w:lastRow="0" w:firstColumn="0" w:lastColumn="0" w:oddVBand="0" w:evenVBand="0" w:oddHBand="0" w:evenHBand="1" w:firstRowFirstColumn="0" w:firstRowLastColumn="0" w:lastRowFirstColumn="0" w:lastRowLastColumn="0"/>
              <w:rPr>
                <w:sz w:val="13"/>
                <w:szCs w:val="13"/>
              </w:rPr>
            </w:pPr>
            <w:r w:rsidRPr="002F64A6">
              <w:rPr>
                <w:sz w:val="13"/>
                <w:szCs w:val="13"/>
              </w:rPr>
              <w:t>No speciﬁc guidelines on training.</w:t>
            </w:r>
          </w:p>
        </w:tc>
      </w:tr>
      <w:tr w:rsidR="00150799" w:rsidRPr="002F64A6" w14:paraId="3249826C" w14:textId="77777777" w:rsidTr="00513064">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182" w:type="dxa"/>
            <w:vAlign w:val="top"/>
            <w:hideMark/>
          </w:tcPr>
          <w:p w14:paraId="6093D950" w14:textId="24E8DB3B" w:rsidR="00DC194A" w:rsidRPr="002F64A6" w:rsidRDefault="00985BF1" w:rsidP="00E57E59">
            <w:pPr>
              <w:pStyle w:val="TableLeft"/>
              <w:rPr>
                <w:b/>
                <w:bCs/>
                <w:sz w:val="14"/>
                <w:szCs w:val="14"/>
              </w:rPr>
            </w:pPr>
            <w:r w:rsidRPr="002F64A6">
              <w:rPr>
                <w:b/>
                <w:bCs/>
                <w:sz w:val="14"/>
                <w:szCs w:val="14"/>
              </w:rPr>
              <w:t>Medical M</w:t>
            </w:r>
            <w:r w:rsidR="00DC194A" w:rsidRPr="002F64A6">
              <w:rPr>
                <w:b/>
                <w:bCs/>
                <w:sz w:val="14"/>
                <w:szCs w:val="14"/>
              </w:rPr>
              <w:t>onitoring</w:t>
            </w:r>
          </w:p>
        </w:tc>
        <w:tc>
          <w:tcPr>
            <w:tcW w:w="1367" w:type="dxa"/>
            <w:vAlign w:val="top"/>
            <w:hideMark/>
          </w:tcPr>
          <w:p w14:paraId="2304AC34" w14:textId="4C6904F7" w:rsidR="00DC194A" w:rsidRPr="002F64A6" w:rsidRDefault="00DC194A" w:rsidP="00E57E59">
            <w:pPr>
              <w:pStyle w:val="TableLeft"/>
              <w:cnfStyle w:val="000000100000" w:firstRow="0" w:lastRow="0" w:firstColumn="0" w:lastColumn="0" w:oddVBand="0" w:evenVBand="0" w:oddHBand="1" w:evenHBand="0" w:firstRowFirstColumn="0" w:firstRowLastColumn="0" w:lastRowFirstColumn="0" w:lastRowLastColumn="0"/>
              <w:rPr>
                <w:sz w:val="13"/>
                <w:szCs w:val="13"/>
              </w:rPr>
            </w:pPr>
            <w:r w:rsidRPr="002F64A6">
              <w:rPr>
                <w:sz w:val="13"/>
                <w:szCs w:val="13"/>
              </w:rPr>
              <w:t>Proactive monitoring for heat-related illness when temp ≥95°F.</w:t>
            </w:r>
          </w:p>
        </w:tc>
        <w:tc>
          <w:tcPr>
            <w:tcW w:w="1367" w:type="dxa"/>
            <w:vAlign w:val="top"/>
            <w:hideMark/>
          </w:tcPr>
          <w:p w14:paraId="054F0E14" w14:textId="7F872D9F" w:rsidR="00DC194A" w:rsidRPr="002F64A6" w:rsidRDefault="00DC194A" w:rsidP="00E57E59">
            <w:pPr>
              <w:pStyle w:val="TableLeft"/>
              <w:cnfStyle w:val="000000100000" w:firstRow="0" w:lastRow="0" w:firstColumn="0" w:lastColumn="0" w:oddVBand="0" w:evenVBand="0" w:oddHBand="1" w:evenHBand="0" w:firstRowFirstColumn="0" w:firstRowLastColumn="0" w:lastRowFirstColumn="0" w:lastRowLastColumn="0"/>
              <w:rPr>
                <w:sz w:val="13"/>
                <w:szCs w:val="13"/>
              </w:rPr>
            </w:pPr>
            <w:r w:rsidRPr="002F64A6">
              <w:rPr>
                <w:sz w:val="13"/>
                <w:szCs w:val="13"/>
              </w:rPr>
              <w:t>Reactive monitoring and rest breaks for heat-related injuries.</w:t>
            </w:r>
          </w:p>
        </w:tc>
        <w:tc>
          <w:tcPr>
            <w:tcW w:w="1367" w:type="dxa"/>
            <w:vAlign w:val="top"/>
            <w:hideMark/>
          </w:tcPr>
          <w:p w14:paraId="44DBB7CF" w14:textId="5410B74A" w:rsidR="00DC194A" w:rsidRPr="002F64A6" w:rsidRDefault="00FF5BE8" w:rsidP="00CB6723">
            <w:pPr>
              <w:pStyle w:val="TableLeft"/>
              <w:cnfStyle w:val="000000100000" w:firstRow="0" w:lastRow="0" w:firstColumn="0" w:lastColumn="0" w:oddVBand="0" w:evenVBand="0" w:oddHBand="1" w:evenHBand="0" w:firstRowFirstColumn="0" w:firstRowLastColumn="0" w:lastRowFirstColumn="0" w:lastRowLastColumn="0"/>
              <w:rPr>
                <w:sz w:val="13"/>
                <w:szCs w:val="13"/>
              </w:rPr>
            </w:pPr>
            <w:r>
              <w:rPr>
                <w:sz w:val="13"/>
                <w:szCs w:val="13"/>
              </w:rPr>
              <w:t>No</w:t>
            </w:r>
          </w:p>
        </w:tc>
        <w:tc>
          <w:tcPr>
            <w:tcW w:w="1367" w:type="dxa"/>
            <w:vAlign w:val="top"/>
            <w:hideMark/>
          </w:tcPr>
          <w:p w14:paraId="3C274FEC" w14:textId="4A7A34B5" w:rsidR="00DC194A" w:rsidRPr="002F64A6" w:rsidRDefault="00DC194A" w:rsidP="00420335">
            <w:pPr>
              <w:pStyle w:val="TableLeft"/>
              <w:cnfStyle w:val="000000100000" w:firstRow="0" w:lastRow="0" w:firstColumn="0" w:lastColumn="0" w:oddVBand="0" w:evenVBand="0" w:oddHBand="1" w:evenHBand="0" w:firstRowFirstColumn="0" w:firstRowLastColumn="0" w:lastRowFirstColumn="0" w:lastRowLastColumn="0"/>
              <w:rPr>
                <w:sz w:val="13"/>
                <w:szCs w:val="13"/>
              </w:rPr>
            </w:pPr>
            <w:r w:rsidRPr="002F64A6">
              <w:rPr>
                <w:sz w:val="13"/>
                <w:szCs w:val="13"/>
              </w:rPr>
              <w:t>Language on monitoring throughout guidance, but no strict criteria.</w:t>
            </w:r>
          </w:p>
        </w:tc>
        <w:tc>
          <w:tcPr>
            <w:tcW w:w="1367" w:type="dxa"/>
            <w:vAlign w:val="top"/>
            <w:hideMark/>
          </w:tcPr>
          <w:p w14:paraId="4B31F4C3" w14:textId="73F05F5A" w:rsidR="00DC194A" w:rsidRPr="002F64A6" w:rsidRDefault="00D714B9" w:rsidP="00D714B9">
            <w:pPr>
              <w:pStyle w:val="TableLeft"/>
              <w:cnfStyle w:val="000000100000" w:firstRow="0" w:lastRow="0" w:firstColumn="0" w:lastColumn="0" w:oddVBand="0" w:evenVBand="0" w:oddHBand="1" w:evenHBand="0" w:firstRowFirstColumn="0" w:firstRowLastColumn="0" w:lastRowFirstColumn="0" w:lastRowLastColumn="0"/>
              <w:rPr>
                <w:sz w:val="13"/>
                <w:szCs w:val="13"/>
              </w:rPr>
            </w:pPr>
            <w:r w:rsidRPr="002F64A6">
              <w:rPr>
                <w:sz w:val="13"/>
                <w:szCs w:val="13"/>
              </w:rPr>
              <w:t>M</w:t>
            </w:r>
            <w:r w:rsidR="00DC194A" w:rsidRPr="002F64A6">
              <w:rPr>
                <w:sz w:val="13"/>
                <w:szCs w:val="13"/>
              </w:rPr>
              <w:t>edical screening and surveillance program.</w:t>
            </w:r>
          </w:p>
        </w:tc>
        <w:tc>
          <w:tcPr>
            <w:tcW w:w="1367" w:type="dxa"/>
            <w:vAlign w:val="top"/>
            <w:hideMark/>
          </w:tcPr>
          <w:p w14:paraId="5687C97C" w14:textId="678707EA" w:rsidR="00DC194A" w:rsidRPr="002F64A6" w:rsidRDefault="000B3992" w:rsidP="000B3992">
            <w:pPr>
              <w:pStyle w:val="TableLeft"/>
              <w:cnfStyle w:val="000000100000" w:firstRow="0" w:lastRow="0" w:firstColumn="0" w:lastColumn="0" w:oddVBand="0" w:evenVBand="0" w:oddHBand="1" w:evenHBand="0" w:firstRowFirstColumn="0" w:firstRowLastColumn="0" w:lastRowFirstColumn="0" w:lastRowLastColumn="0"/>
              <w:rPr>
                <w:sz w:val="13"/>
                <w:szCs w:val="13"/>
              </w:rPr>
            </w:pPr>
            <w:r w:rsidRPr="002F64A6">
              <w:rPr>
                <w:sz w:val="13"/>
                <w:szCs w:val="13"/>
              </w:rPr>
              <w:t>M</w:t>
            </w:r>
            <w:r w:rsidR="00DC194A" w:rsidRPr="002F64A6">
              <w:rPr>
                <w:sz w:val="13"/>
                <w:szCs w:val="13"/>
              </w:rPr>
              <w:t>onitor heat stress [WBGT thresholds] and heat strain [signs and symptoms].</w:t>
            </w:r>
          </w:p>
        </w:tc>
      </w:tr>
      <w:tr w:rsidR="00326B6A" w:rsidRPr="002F64A6" w14:paraId="7E5CA9DD" w14:textId="77777777" w:rsidTr="00513064">
        <w:trPr>
          <w:cnfStyle w:val="000000010000" w:firstRow="0" w:lastRow="0" w:firstColumn="0" w:lastColumn="0" w:oddVBand="0" w:evenVBand="0" w:oddHBand="0" w:evenHBand="1"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182" w:type="dxa"/>
            <w:vAlign w:val="top"/>
          </w:tcPr>
          <w:p w14:paraId="28CC8A2A" w14:textId="7D829179" w:rsidR="00326B6A" w:rsidRPr="002F64A6" w:rsidRDefault="00326B6A" w:rsidP="00305088">
            <w:pPr>
              <w:pStyle w:val="TableLeft"/>
              <w:rPr>
                <w:b/>
                <w:sz w:val="14"/>
                <w:szCs w:val="14"/>
              </w:rPr>
            </w:pPr>
            <w:r>
              <w:rPr>
                <w:b/>
                <w:sz w:val="14"/>
                <w:szCs w:val="14"/>
              </w:rPr>
              <w:t xml:space="preserve">Emergency Medical Response </w:t>
            </w:r>
            <w:r w:rsidR="00305088">
              <w:rPr>
                <w:b/>
                <w:sz w:val="14"/>
                <w:szCs w:val="14"/>
              </w:rPr>
              <w:t>Plan</w:t>
            </w:r>
          </w:p>
        </w:tc>
        <w:tc>
          <w:tcPr>
            <w:tcW w:w="1367" w:type="dxa"/>
            <w:vAlign w:val="top"/>
          </w:tcPr>
          <w:p w14:paraId="49DD473F" w14:textId="7C5E3E65" w:rsidR="00326B6A" w:rsidRPr="002F64A6" w:rsidRDefault="00305088" w:rsidP="00E57E59">
            <w:pPr>
              <w:pStyle w:val="TableLeft"/>
              <w:cnfStyle w:val="000000010000" w:firstRow="0" w:lastRow="0" w:firstColumn="0" w:lastColumn="0" w:oddVBand="0" w:evenVBand="0" w:oddHBand="0" w:evenHBand="1" w:firstRowFirstColumn="0" w:firstRowLastColumn="0" w:lastRowFirstColumn="0" w:lastRowLastColumn="0"/>
              <w:rPr>
                <w:sz w:val="13"/>
                <w:szCs w:val="13"/>
              </w:rPr>
            </w:pPr>
            <w:r>
              <w:rPr>
                <w:sz w:val="13"/>
                <w:szCs w:val="13"/>
              </w:rPr>
              <w:t>Yes</w:t>
            </w:r>
          </w:p>
        </w:tc>
        <w:tc>
          <w:tcPr>
            <w:tcW w:w="1367" w:type="dxa"/>
            <w:vAlign w:val="top"/>
          </w:tcPr>
          <w:p w14:paraId="49031B7F" w14:textId="02C234F9" w:rsidR="00326B6A" w:rsidRPr="002F64A6" w:rsidRDefault="007C1C55" w:rsidP="00E57E59">
            <w:pPr>
              <w:pStyle w:val="TableLeft"/>
              <w:cnfStyle w:val="000000010000" w:firstRow="0" w:lastRow="0" w:firstColumn="0" w:lastColumn="0" w:oddVBand="0" w:evenVBand="0" w:oddHBand="0" w:evenHBand="1" w:firstRowFirstColumn="0" w:firstRowLastColumn="0" w:lastRowFirstColumn="0" w:lastRowLastColumn="0"/>
              <w:rPr>
                <w:sz w:val="13"/>
                <w:szCs w:val="13"/>
              </w:rPr>
            </w:pPr>
            <w:r>
              <w:rPr>
                <w:sz w:val="13"/>
                <w:szCs w:val="13"/>
              </w:rPr>
              <w:t>Yes</w:t>
            </w:r>
          </w:p>
        </w:tc>
        <w:tc>
          <w:tcPr>
            <w:tcW w:w="1367" w:type="dxa"/>
            <w:vAlign w:val="top"/>
          </w:tcPr>
          <w:p w14:paraId="1742A849" w14:textId="3FB35BDB" w:rsidR="00326B6A" w:rsidRPr="002F64A6" w:rsidRDefault="007D6741" w:rsidP="00E57E59">
            <w:pPr>
              <w:pStyle w:val="TableLeft"/>
              <w:cnfStyle w:val="000000010000" w:firstRow="0" w:lastRow="0" w:firstColumn="0" w:lastColumn="0" w:oddVBand="0" w:evenVBand="0" w:oddHBand="0" w:evenHBand="1" w:firstRowFirstColumn="0" w:firstRowLastColumn="0" w:lastRowFirstColumn="0" w:lastRowLastColumn="0"/>
              <w:rPr>
                <w:sz w:val="13"/>
                <w:szCs w:val="13"/>
              </w:rPr>
            </w:pPr>
            <w:r>
              <w:rPr>
                <w:sz w:val="13"/>
                <w:szCs w:val="13"/>
              </w:rPr>
              <w:t>No</w:t>
            </w:r>
          </w:p>
        </w:tc>
        <w:tc>
          <w:tcPr>
            <w:tcW w:w="1367" w:type="dxa"/>
            <w:vAlign w:val="top"/>
          </w:tcPr>
          <w:p w14:paraId="733EC77E" w14:textId="43E3C512" w:rsidR="00326B6A" w:rsidRPr="002F64A6" w:rsidRDefault="004B2E56" w:rsidP="00CE3F62">
            <w:pPr>
              <w:pStyle w:val="TableLeft"/>
              <w:cnfStyle w:val="000000010000" w:firstRow="0" w:lastRow="0" w:firstColumn="0" w:lastColumn="0" w:oddVBand="0" w:evenVBand="0" w:oddHBand="0" w:evenHBand="1" w:firstRowFirstColumn="0" w:firstRowLastColumn="0" w:lastRowFirstColumn="0" w:lastRowLastColumn="0"/>
              <w:rPr>
                <w:sz w:val="13"/>
                <w:szCs w:val="13"/>
              </w:rPr>
            </w:pPr>
            <w:r>
              <w:rPr>
                <w:sz w:val="13"/>
                <w:szCs w:val="13"/>
              </w:rPr>
              <w:t>Yes</w:t>
            </w:r>
          </w:p>
        </w:tc>
        <w:tc>
          <w:tcPr>
            <w:tcW w:w="1367" w:type="dxa"/>
            <w:vAlign w:val="top"/>
          </w:tcPr>
          <w:p w14:paraId="4A7817D8" w14:textId="468CA66C" w:rsidR="00326B6A" w:rsidRPr="002F64A6" w:rsidRDefault="00305088" w:rsidP="00D714B9">
            <w:pPr>
              <w:pStyle w:val="TableLeft"/>
              <w:cnfStyle w:val="000000010000" w:firstRow="0" w:lastRow="0" w:firstColumn="0" w:lastColumn="0" w:oddVBand="0" w:evenVBand="0" w:oddHBand="0" w:evenHBand="1" w:firstRowFirstColumn="0" w:firstRowLastColumn="0" w:lastRowFirstColumn="0" w:lastRowLastColumn="0"/>
              <w:rPr>
                <w:sz w:val="13"/>
                <w:szCs w:val="13"/>
              </w:rPr>
            </w:pPr>
            <w:r>
              <w:rPr>
                <w:sz w:val="13"/>
                <w:szCs w:val="13"/>
              </w:rPr>
              <w:t>Yes</w:t>
            </w:r>
          </w:p>
        </w:tc>
        <w:tc>
          <w:tcPr>
            <w:tcW w:w="1367" w:type="dxa"/>
            <w:vAlign w:val="top"/>
          </w:tcPr>
          <w:p w14:paraId="7C37A909" w14:textId="1CD94F22" w:rsidR="00326B6A" w:rsidRPr="002F64A6" w:rsidRDefault="00305088" w:rsidP="000B3992">
            <w:pPr>
              <w:pStyle w:val="TableLeft"/>
              <w:cnfStyle w:val="000000010000" w:firstRow="0" w:lastRow="0" w:firstColumn="0" w:lastColumn="0" w:oddVBand="0" w:evenVBand="0" w:oddHBand="0" w:evenHBand="1" w:firstRowFirstColumn="0" w:firstRowLastColumn="0" w:lastRowFirstColumn="0" w:lastRowLastColumn="0"/>
              <w:rPr>
                <w:sz w:val="13"/>
                <w:szCs w:val="13"/>
              </w:rPr>
            </w:pPr>
            <w:r>
              <w:rPr>
                <w:sz w:val="13"/>
                <w:szCs w:val="13"/>
              </w:rPr>
              <w:t>No</w:t>
            </w:r>
          </w:p>
        </w:tc>
      </w:tr>
      <w:tr w:rsidR="00150799" w:rsidRPr="002F64A6" w14:paraId="281FEB1B" w14:textId="77777777" w:rsidTr="00513064">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182" w:type="dxa"/>
            <w:vAlign w:val="top"/>
            <w:hideMark/>
          </w:tcPr>
          <w:p w14:paraId="491D440C" w14:textId="70B3B247" w:rsidR="00DC194A" w:rsidRPr="002F64A6" w:rsidRDefault="00DC194A" w:rsidP="00E57E59">
            <w:pPr>
              <w:pStyle w:val="TableLeft"/>
              <w:rPr>
                <w:b/>
                <w:bCs/>
                <w:sz w:val="14"/>
                <w:szCs w:val="14"/>
              </w:rPr>
            </w:pPr>
            <w:r w:rsidRPr="002F64A6">
              <w:rPr>
                <w:b/>
                <w:bCs/>
                <w:sz w:val="14"/>
                <w:szCs w:val="14"/>
              </w:rPr>
              <w:t xml:space="preserve">Injury </w:t>
            </w:r>
            <w:r w:rsidR="00985BF1" w:rsidRPr="002F64A6">
              <w:rPr>
                <w:b/>
                <w:bCs/>
                <w:sz w:val="14"/>
                <w:szCs w:val="14"/>
              </w:rPr>
              <w:t>S</w:t>
            </w:r>
            <w:r w:rsidRPr="002F64A6">
              <w:rPr>
                <w:b/>
                <w:bCs/>
                <w:sz w:val="14"/>
                <w:szCs w:val="14"/>
              </w:rPr>
              <w:t>urveillance</w:t>
            </w:r>
          </w:p>
        </w:tc>
        <w:tc>
          <w:tcPr>
            <w:tcW w:w="1367" w:type="dxa"/>
            <w:vAlign w:val="top"/>
            <w:hideMark/>
          </w:tcPr>
          <w:p w14:paraId="02C85FE6" w14:textId="77777777" w:rsidR="00DC194A" w:rsidRPr="002F64A6" w:rsidRDefault="00DC194A" w:rsidP="00E57E59">
            <w:pPr>
              <w:pStyle w:val="TableLeft"/>
              <w:cnfStyle w:val="000000100000" w:firstRow="0" w:lastRow="0" w:firstColumn="0" w:lastColumn="0" w:oddVBand="0" w:evenVBand="0" w:oddHBand="1" w:evenHBand="0" w:firstRowFirstColumn="0" w:firstRowLastColumn="0" w:lastRowFirstColumn="0" w:lastRowLastColumn="0"/>
              <w:rPr>
                <w:sz w:val="13"/>
                <w:szCs w:val="13"/>
              </w:rPr>
            </w:pPr>
            <w:r w:rsidRPr="002F64A6">
              <w:rPr>
                <w:sz w:val="13"/>
                <w:szCs w:val="13"/>
              </w:rPr>
              <w:t>Yes</w:t>
            </w:r>
          </w:p>
        </w:tc>
        <w:tc>
          <w:tcPr>
            <w:tcW w:w="1367" w:type="dxa"/>
            <w:vAlign w:val="top"/>
            <w:hideMark/>
          </w:tcPr>
          <w:p w14:paraId="5C139E5E" w14:textId="77777777" w:rsidR="00DC194A" w:rsidRPr="002F64A6" w:rsidRDefault="00DC194A" w:rsidP="00E57E59">
            <w:pPr>
              <w:pStyle w:val="TableLeft"/>
              <w:cnfStyle w:val="000000100000" w:firstRow="0" w:lastRow="0" w:firstColumn="0" w:lastColumn="0" w:oddVBand="0" w:evenVBand="0" w:oddHBand="1" w:evenHBand="0" w:firstRowFirstColumn="0" w:firstRowLastColumn="0" w:lastRowFirstColumn="0" w:lastRowLastColumn="0"/>
              <w:rPr>
                <w:sz w:val="13"/>
                <w:szCs w:val="13"/>
              </w:rPr>
            </w:pPr>
            <w:r w:rsidRPr="002F64A6">
              <w:rPr>
                <w:sz w:val="13"/>
                <w:szCs w:val="13"/>
              </w:rPr>
              <w:t>Yes</w:t>
            </w:r>
          </w:p>
        </w:tc>
        <w:tc>
          <w:tcPr>
            <w:tcW w:w="1367" w:type="dxa"/>
            <w:vAlign w:val="top"/>
            <w:hideMark/>
          </w:tcPr>
          <w:p w14:paraId="77AF759B" w14:textId="77777777" w:rsidR="00DC194A" w:rsidRPr="002F64A6" w:rsidRDefault="00DC194A" w:rsidP="00E57E59">
            <w:pPr>
              <w:pStyle w:val="TableLeft"/>
              <w:cnfStyle w:val="000000100000" w:firstRow="0" w:lastRow="0" w:firstColumn="0" w:lastColumn="0" w:oddVBand="0" w:evenVBand="0" w:oddHBand="1" w:evenHBand="0" w:firstRowFirstColumn="0" w:firstRowLastColumn="0" w:lastRowFirstColumn="0" w:lastRowLastColumn="0"/>
              <w:rPr>
                <w:sz w:val="13"/>
                <w:szCs w:val="13"/>
              </w:rPr>
            </w:pPr>
            <w:r w:rsidRPr="002F64A6">
              <w:rPr>
                <w:sz w:val="13"/>
                <w:szCs w:val="13"/>
              </w:rPr>
              <w:t>No</w:t>
            </w:r>
          </w:p>
        </w:tc>
        <w:tc>
          <w:tcPr>
            <w:tcW w:w="1367" w:type="dxa"/>
            <w:vAlign w:val="top"/>
            <w:hideMark/>
          </w:tcPr>
          <w:p w14:paraId="213FBD03" w14:textId="0EE572D8" w:rsidR="00DC194A" w:rsidRPr="002F64A6" w:rsidRDefault="00775A42" w:rsidP="00E57E59">
            <w:pPr>
              <w:pStyle w:val="TableLeft"/>
              <w:cnfStyle w:val="000000100000" w:firstRow="0" w:lastRow="0" w:firstColumn="0" w:lastColumn="0" w:oddVBand="0" w:evenVBand="0" w:oddHBand="1" w:evenHBand="0" w:firstRowFirstColumn="0" w:firstRowLastColumn="0" w:lastRowFirstColumn="0" w:lastRowLastColumn="0"/>
              <w:rPr>
                <w:sz w:val="13"/>
                <w:szCs w:val="13"/>
              </w:rPr>
            </w:pPr>
            <w:r w:rsidRPr="002F64A6">
              <w:rPr>
                <w:sz w:val="13"/>
                <w:szCs w:val="13"/>
              </w:rPr>
              <w:t>Yes</w:t>
            </w:r>
          </w:p>
        </w:tc>
        <w:tc>
          <w:tcPr>
            <w:tcW w:w="1367" w:type="dxa"/>
            <w:vAlign w:val="top"/>
            <w:hideMark/>
          </w:tcPr>
          <w:p w14:paraId="2542DFC1" w14:textId="25ED752A" w:rsidR="00DC194A" w:rsidRPr="002F64A6" w:rsidRDefault="00456226" w:rsidP="00E57E59">
            <w:pPr>
              <w:pStyle w:val="TableLeft"/>
              <w:cnfStyle w:val="000000100000" w:firstRow="0" w:lastRow="0" w:firstColumn="0" w:lastColumn="0" w:oddVBand="0" w:evenVBand="0" w:oddHBand="1" w:evenHBand="0" w:firstRowFirstColumn="0" w:firstRowLastColumn="0" w:lastRowFirstColumn="0" w:lastRowLastColumn="0"/>
              <w:rPr>
                <w:sz w:val="13"/>
                <w:szCs w:val="13"/>
              </w:rPr>
            </w:pPr>
            <w:r w:rsidRPr="002F64A6">
              <w:rPr>
                <w:sz w:val="13"/>
                <w:szCs w:val="13"/>
              </w:rPr>
              <w:t>Yes</w:t>
            </w:r>
          </w:p>
        </w:tc>
        <w:tc>
          <w:tcPr>
            <w:tcW w:w="1367" w:type="dxa"/>
            <w:vAlign w:val="top"/>
            <w:hideMark/>
          </w:tcPr>
          <w:p w14:paraId="118EA36B" w14:textId="5E2C8299" w:rsidR="00DC194A" w:rsidRPr="002F64A6" w:rsidRDefault="00891249" w:rsidP="00E57E59">
            <w:pPr>
              <w:pStyle w:val="TableLeft"/>
              <w:cnfStyle w:val="000000100000" w:firstRow="0" w:lastRow="0" w:firstColumn="0" w:lastColumn="0" w:oddVBand="0" w:evenVBand="0" w:oddHBand="1" w:evenHBand="0" w:firstRowFirstColumn="0" w:firstRowLastColumn="0" w:lastRowFirstColumn="0" w:lastRowLastColumn="0"/>
              <w:rPr>
                <w:sz w:val="13"/>
                <w:szCs w:val="13"/>
              </w:rPr>
            </w:pPr>
            <w:r>
              <w:rPr>
                <w:sz w:val="13"/>
                <w:szCs w:val="13"/>
              </w:rPr>
              <w:t>No</w:t>
            </w:r>
          </w:p>
        </w:tc>
      </w:tr>
      <w:tr w:rsidR="00150799" w:rsidRPr="002F64A6" w14:paraId="50E26C8B" w14:textId="77777777" w:rsidTr="00513064">
        <w:trPr>
          <w:cnfStyle w:val="000000010000" w:firstRow="0" w:lastRow="0" w:firstColumn="0" w:lastColumn="0" w:oddVBand="0" w:evenVBand="0" w:oddHBand="0" w:evenHBand="1"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182" w:type="dxa"/>
            <w:vAlign w:val="top"/>
            <w:hideMark/>
          </w:tcPr>
          <w:p w14:paraId="6B8B3D3A" w14:textId="267E2C68" w:rsidR="00DC194A" w:rsidRPr="002F64A6" w:rsidRDefault="00DC194A" w:rsidP="00E57E59">
            <w:pPr>
              <w:pStyle w:val="TableLeft"/>
              <w:rPr>
                <w:b/>
                <w:bCs/>
                <w:sz w:val="14"/>
                <w:szCs w:val="14"/>
              </w:rPr>
            </w:pPr>
            <w:r w:rsidRPr="002F64A6">
              <w:rPr>
                <w:b/>
                <w:bCs/>
                <w:sz w:val="14"/>
                <w:szCs w:val="14"/>
              </w:rPr>
              <w:t>Record</w:t>
            </w:r>
            <w:r w:rsidR="007F7DFA" w:rsidRPr="002F64A6">
              <w:rPr>
                <w:b/>
                <w:bCs/>
                <w:sz w:val="14"/>
                <w:szCs w:val="14"/>
              </w:rPr>
              <w:t>-</w:t>
            </w:r>
            <w:r w:rsidRPr="002F64A6">
              <w:rPr>
                <w:b/>
                <w:bCs/>
                <w:sz w:val="14"/>
                <w:szCs w:val="14"/>
              </w:rPr>
              <w:t>keeping</w:t>
            </w:r>
          </w:p>
        </w:tc>
        <w:tc>
          <w:tcPr>
            <w:tcW w:w="1367" w:type="dxa"/>
            <w:vAlign w:val="top"/>
            <w:hideMark/>
          </w:tcPr>
          <w:p w14:paraId="57B8D2C7" w14:textId="77777777" w:rsidR="00DC194A" w:rsidRPr="002F64A6" w:rsidRDefault="00DC194A" w:rsidP="00E57E59">
            <w:pPr>
              <w:pStyle w:val="TableLeft"/>
              <w:cnfStyle w:val="000000010000" w:firstRow="0" w:lastRow="0" w:firstColumn="0" w:lastColumn="0" w:oddVBand="0" w:evenVBand="0" w:oddHBand="0" w:evenHBand="1" w:firstRowFirstColumn="0" w:firstRowLastColumn="0" w:lastRowFirstColumn="0" w:lastRowLastColumn="0"/>
              <w:rPr>
                <w:sz w:val="13"/>
                <w:szCs w:val="13"/>
              </w:rPr>
            </w:pPr>
            <w:r w:rsidRPr="002F64A6">
              <w:rPr>
                <w:sz w:val="13"/>
                <w:szCs w:val="13"/>
              </w:rPr>
              <w:t>Yes. Written exposure control and emergency response plan.</w:t>
            </w:r>
          </w:p>
        </w:tc>
        <w:tc>
          <w:tcPr>
            <w:tcW w:w="1367" w:type="dxa"/>
            <w:vAlign w:val="top"/>
            <w:hideMark/>
          </w:tcPr>
          <w:p w14:paraId="687B0E1B" w14:textId="77777777" w:rsidR="00DC194A" w:rsidRPr="002F64A6" w:rsidRDefault="00DC194A" w:rsidP="00E57E59">
            <w:pPr>
              <w:pStyle w:val="TableLeft"/>
              <w:cnfStyle w:val="000000010000" w:firstRow="0" w:lastRow="0" w:firstColumn="0" w:lastColumn="0" w:oddVBand="0" w:evenVBand="0" w:oddHBand="0" w:evenHBand="1" w:firstRowFirstColumn="0" w:firstRowLastColumn="0" w:lastRowFirstColumn="0" w:lastRowLastColumn="0"/>
              <w:rPr>
                <w:sz w:val="13"/>
                <w:szCs w:val="13"/>
              </w:rPr>
            </w:pPr>
            <w:r w:rsidRPr="002F64A6">
              <w:rPr>
                <w:sz w:val="13"/>
                <w:szCs w:val="13"/>
              </w:rPr>
              <w:t>Yes. Written accident prevention program and worker training.</w:t>
            </w:r>
          </w:p>
        </w:tc>
        <w:tc>
          <w:tcPr>
            <w:tcW w:w="1367" w:type="dxa"/>
            <w:vAlign w:val="top"/>
            <w:hideMark/>
          </w:tcPr>
          <w:p w14:paraId="53D91EA3" w14:textId="2B6F5922" w:rsidR="00DC194A" w:rsidRPr="002F64A6" w:rsidRDefault="008C6556" w:rsidP="002C2BBE">
            <w:pPr>
              <w:pStyle w:val="TableLeft"/>
              <w:cnfStyle w:val="000000010000" w:firstRow="0" w:lastRow="0" w:firstColumn="0" w:lastColumn="0" w:oddVBand="0" w:evenVBand="0" w:oddHBand="0" w:evenHBand="1" w:firstRowFirstColumn="0" w:firstRowLastColumn="0" w:lastRowFirstColumn="0" w:lastRowLastColumn="0"/>
              <w:rPr>
                <w:sz w:val="13"/>
                <w:szCs w:val="13"/>
              </w:rPr>
            </w:pPr>
            <w:r>
              <w:rPr>
                <w:sz w:val="13"/>
                <w:szCs w:val="13"/>
              </w:rPr>
              <w:t>General req</w:t>
            </w:r>
            <w:r w:rsidR="002C2BBE">
              <w:rPr>
                <w:sz w:val="13"/>
                <w:szCs w:val="13"/>
              </w:rPr>
              <w:t xml:space="preserve">. </w:t>
            </w:r>
            <w:r>
              <w:rPr>
                <w:sz w:val="13"/>
                <w:szCs w:val="13"/>
              </w:rPr>
              <w:t>for a</w:t>
            </w:r>
            <w:r w:rsidR="00DC194A" w:rsidRPr="002F64A6">
              <w:rPr>
                <w:sz w:val="13"/>
                <w:szCs w:val="13"/>
              </w:rPr>
              <w:t>ccident</w:t>
            </w:r>
            <w:r w:rsidR="00033324">
              <w:rPr>
                <w:sz w:val="13"/>
                <w:szCs w:val="13"/>
              </w:rPr>
              <w:t xml:space="preserve"> and in</w:t>
            </w:r>
            <w:r w:rsidR="00AE798C">
              <w:rPr>
                <w:sz w:val="13"/>
                <w:szCs w:val="13"/>
              </w:rPr>
              <w:t>jury</w:t>
            </w:r>
            <w:r w:rsidR="00F76AB3">
              <w:rPr>
                <w:sz w:val="13"/>
                <w:szCs w:val="13"/>
              </w:rPr>
              <w:t xml:space="preserve"> </w:t>
            </w:r>
            <w:r w:rsidR="00033324">
              <w:rPr>
                <w:sz w:val="13"/>
                <w:szCs w:val="13"/>
              </w:rPr>
              <w:t xml:space="preserve">reduction </w:t>
            </w:r>
            <w:r w:rsidR="00DC194A" w:rsidRPr="002F64A6">
              <w:rPr>
                <w:sz w:val="13"/>
                <w:szCs w:val="13"/>
              </w:rPr>
              <w:t>program</w:t>
            </w:r>
            <w:r>
              <w:rPr>
                <w:sz w:val="13"/>
                <w:szCs w:val="13"/>
              </w:rPr>
              <w:t>, not specific to heat</w:t>
            </w:r>
            <w:r w:rsidR="00DC194A" w:rsidRPr="002F64A6">
              <w:rPr>
                <w:sz w:val="13"/>
                <w:szCs w:val="13"/>
              </w:rPr>
              <w:t>.</w:t>
            </w:r>
          </w:p>
        </w:tc>
        <w:tc>
          <w:tcPr>
            <w:tcW w:w="1367" w:type="dxa"/>
            <w:vAlign w:val="top"/>
            <w:hideMark/>
          </w:tcPr>
          <w:p w14:paraId="4B794495" w14:textId="2C6E19B7" w:rsidR="00DC194A" w:rsidRPr="002F64A6" w:rsidRDefault="00DC194A" w:rsidP="00E57E59">
            <w:pPr>
              <w:pStyle w:val="TableLeft"/>
              <w:cnfStyle w:val="000000010000" w:firstRow="0" w:lastRow="0" w:firstColumn="0" w:lastColumn="0" w:oddVBand="0" w:evenVBand="0" w:oddHBand="0" w:evenHBand="1" w:firstRowFirstColumn="0" w:firstRowLastColumn="0" w:lastRowFirstColumn="0" w:lastRowLastColumn="0"/>
              <w:rPr>
                <w:sz w:val="13"/>
                <w:szCs w:val="13"/>
              </w:rPr>
            </w:pPr>
            <w:r w:rsidRPr="002F64A6">
              <w:rPr>
                <w:sz w:val="13"/>
                <w:szCs w:val="13"/>
              </w:rPr>
              <w:t>N/A</w:t>
            </w:r>
          </w:p>
        </w:tc>
        <w:tc>
          <w:tcPr>
            <w:tcW w:w="1367" w:type="dxa"/>
            <w:vAlign w:val="top"/>
            <w:hideMark/>
          </w:tcPr>
          <w:p w14:paraId="0648DB27" w14:textId="2B0DA992" w:rsidR="00DC194A" w:rsidRPr="002F64A6" w:rsidRDefault="00895024" w:rsidP="00E914E7">
            <w:pPr>
              <w:pStyle w:val="TableLeft"/>
              <w:cnfStyle w:val="000000010000" w:firstRow="0" w:lastRow="0" w:firstColumn="0" w:lastColumn="0" w:oddVBand="0" w:evenVBand="0" w:oddHBand="0" w:evenHBand="1" w:firstRowFirstColumn="0" w:firstRowLastColumn="0" w:lastRowFirstColumn="0" w:lastRowLastColumn="0"/>
              <w:rPr>
                <w:sz w:val="13"/>
                <w:szCs w:val="13"/>
              </w:rPr>
            </w:pPr>
            <w:r w:rsidRPr="002F64A6">
              <w:rPr>
                <w:sz w:val="13"/>
                <w:szCs w:val="13"/>
              </w:rPr>
              <w:t>Written Heat Alert Program</w:t>
            </w:r>
            <w:r w:rsidR="00BD68CE" w:rsidRPr="002F64A6">
              <w:rPr>
                <w:sz w:val="13"/>
                <w:szCs w:val="13"/>
              </w:rPr>
              <w:t>;</w:t>
            </w:r>
            <w:r w:rsidRPr="002F64A6">
              <w:rPr>
                <w:sz w:val="13"/>
                <w:szCs w:val="13"/>
              </w:rPr>
              <w:t xml:space="preserve"> </w:t>
            </w:r>
            <w:r w:rsidR="00DC194A" w:rsidRPr="002F64A6">
              <w:rPr>
                <w:sz w:val="13"/>
                <w:szCs w:val="13"/>
              </w:rPr>
              <w:t xml:space="preserve">record-keeping of </w:t>
            </w:r>
            <w:r w:rsidR="00BE4321" w:rsidRPr="002F64A6">
              <w:rPr>
                <w:sz w:val="13"/>
                <w:szCs w:val="13"/>
              </w:rPr>
              <w:t>heat measurements</w:t>
            </w:r>
            <w:r w:rsidR="00E914E7">
              <w:rPr>
                <w:sz w:val="13"/>
                <w:szCs w:val="13"/>
              </w:rPr>
              <w:t xml:space="preserve">, </w:t>
            </w:r>
            <w:r w:rsidR="00DC194A" w:rsidRPr="002F64A6">
              <w:rPr>
                <w:sz w:val="13"/>
                <w:szCs w:val="13"/>
              </w:rPr>
              <w:t>surveillance records.</w:t>
            </w:r>
          </w:p>
        </w:tc>
        <w:tc>
          <w:tcPr>
            <w:tcW w:w="1367" w:type="dxa"/>
            <w:vAlign w:val="top"/>
            <w:hideMark/>
          </w:tcPr>
          <w:p w14:paraId="340C2489" w14:textId="77777777" w:rsidR="00DC194A" w:rsidRPr="002F64A6" w:rsidRDefault="00DC194A" w:rsidP="00E57E59">
            <w:pPr>
              <w:pStyle w:val="TableLeft"/>
              <w:cnfStyle w:val="000000010000" w:firstRow="0" w:lastRow="0" w:firstColumn="0" w:lastColumn="0" w:oddVBand="0" w:evenVBand="0" w:oddHBand="0" w:evenHBand="1" w:firstRowFirstColumn="0" w:firstRowLastColumn="0" w:lastRowFirstColumn="0" w:lastRowLastColumn="0"/>
              <w:rPr>
                <w:sz w:val="13"/>
                <w:szCs w:val="13"/>
              </w:rPr>
            </w:pPr>
            <w:r w:rsidRPr="002F64A6">
              <w:rPr>
                <w:sz w:val="13"/>
                <w:szCs w:val="13"/>
              </w:rPr>
              <w:t>No speciﬁc guidelines on record-keeping.</w:t>
            </w:r>
          </w:p>
        </w:tc>
      </w:tr>
    </w:tbl>
    <w:p w14:paraId="2EC73532" w14:textId="2402B7A1" w:rsidR="00D714B9" w:rsidRPr="002F64A6" w:rsidRDefault="00D714B9" w:rsidP="00D714B9">
      <w:pPr>
        <w:pStyle w:val="Asterisks"/>
      </w:pPr>
      <w:r w:rsidRPr="002F64A6">
        <w:t>*</w:t>
      </w:r>
      <w:r w:rsidR="00B55E3A" w:rsidRPr="002F64A6">
        <w:t xml:space="preserve"> </w:t>
      </w:r>
      <w:r w:rsidRPr="002F64A6">
        <w:t xml:space="preserve">Cal/OSHA - Title 8, Section 3395. Heat Illness Prevention. </w:t>
      </w:r>
      <w:hyperlink r:id="rId14" w:history="1">
        <w:r w:rsidR="00D04CAC" w:rsidRPr="002F64A6">
          <w:rPr>
            <w:rStyle w:val="Hyperlink"/>
          </w:rPr>
          <w:t>https://www.dir.ca.gov/title8/3395.html</w:t>
        </w:r>
      </w:hyperlink>
      <w:r w:rsidRPr="002F64A6">
        <w:t>. Accessed March 14, 2018.</w:t>
      </w:r>
    </w:p>
    <w:p w14:paraId="2926A611" w14:textId="78CC6157" w:rsidR="00D714B9" w:rsidRPr="002F64A6" w:rsidRDefault="00D714B9" w:rsidP="00D714B9">
      <w:pPr>
        <w:pStyle w:val="Asterisks"/>
      </w:pPr>
      <w:r w:rsidRPr="002F64A6">
        <w:t>**</w:t>
      </w:r>
      <w:r w:rsidR="00B55E3A" w:rsidRPr="002F64A6">
        <w:t xml:space="preserve"> </w:t>
      </w:r>
      <w:r w:rsidRPr="002F64A6">
        <w:t xml:space="preserve">Washington State Legislature. General Occupational Health Standards. </w:t>
      </w:r>
      <w:r w:rsidR="00561BEC">
        <w:t xml:space="preserve">§ </w:t>
      </w:r>
      <w:r w:rsidRPr="002F64A6">
        <w:t>296-62-095</w:t>
      </w:r>
      <w:r w:rsidR="005D3FB3">
        <w:t>–</w:t>
      </w:r>
      <w:r w:rsidR="00561BEC">
        <w:t>296-62-09560</w:t>
      </w:r>
      <w:r w:rsidRPr="002F64A6">
        <w:t>. Outdoor heat exposure.</w:t>
      </w:r>
      <w:r w:rsidR="00D04CAC" w:rsidRPr="002F64A6">
        <w:t xml:space="preserve"> </w:t>
      </w:r>
      <w:hyperlink r:id="rId15" w:anchor="296-62-095" w:history="1">
        <w:r w:rsidR="00D04CAC" w:rsidRPr="002F64A6">
          <w:rPr>
            <w:rStyle w:val="Hyperlink"/>
          </w:rPr>
          <w:t>http://app.leg.wa.gov/WAC/default.aspx?cite=296-62&amp;full=true#296-62-095</w:t>
        </w:r>
      </w:hyperlink>
      <w:r w:rsidRPr="002F64A6">
        <w:t>. Accessed March 14, 2018.</w:t>
      </w:r>
    </w:p>
    <w:p w14:paraId="662C431D" w14:textId="189C59C3" w:rsidR="00D714B9" w:rsidRPr="002F64A6" w:rsidRDefault="00D714B9" w:rsidP="00D714B9">
      <w:pPr>
        <w:pStyle w:val="Asterisks"/>
      </w:pPr>
      <w:r w:rsidRPr="002F64A6">
        <w:t>**</w:t>
      </w:r>
      <w:r w:rsidR="00B55E3A" w:rsidRPr="002F64A6">
        <w:t xml:space="preserve"> </w:t>
      </w:r>
      <w:r w:rsidRPr="002F64A6">
        <w:t xml:space="preserve">Minnesota Administrative Rules. 5205.0110 Indoor Ventilation and Temperature in Places of Employment. </w:t>
      </w:r>
      <w:hyperlink r:id="rId16" w:history="1">
        <w:r w:rsidR="00D04CAC" w:rsidRPr="002F64A6">
          <w:rPr>
            <w:rStyle w:val="Hyperlink"/>
          </w:rPr>
          <w:t>https://www.revisor.mn.gov/rules/?id=5205.0110</w:t>
        </w:r>
      </w:hyperlink>
      <w:r w:rsidRPr="002F64A6">
        <w:t>. Accessed March 14, 2018.</w:t>
      </w:r>
    </w:p>
    <w:p w14:paraId="10FD8E42" w14:textId="748A011C" w:rsidR="00E62746" w:rsidRPr="002F64A6" w:rsidRDefault="004C4662" w:rsidP="00C46D21">
      <w:pPr>
        <w:pStyle w:val="Asterisks"/>
      </w:pPr>
      <w:r w:rsidRPr="002F64A6">
        <w:rPr>
          <w:rFonts w:eastAsia="Times New Roman"/>
          <w:szCs w:val="18"/>
          <w:vertAlign w:val="superscript"/>
        </w:rPr>
        <w:lastRenderedPageBreak/>
        <w:t>†</w:t>
      </w:r>
      <w:r w:rsidR="00B55E3A" w:rsidRPr="002F64A6">
        <w:rPr>
          <w:rFonts w:eastAsia="Times New Roman"/>
          <w:szCs w:val="18"/>
          <w:vertAlign w:val="superscript"/>
        </w:rPr>
        <w:t xml:space="preserve"> </w:t>
      </w:r>
      <w:r w:rsidR="00C46D21" w:rsidRPr="002F64A6">
        <w:t>Technical Bulletin: Heat Stress Control and Heat Casualty Management. Headquarters, Department</w:t>
      </w:r>
      <w:r w:rsidR="00930F79" w:rsidRPr="002F64A6">
        <w:t>s</w:t>
      </w:r>
      <w:r w:rsidR="00C46D21" w:rsidRPr="002F64A6">
        <w:t xml:space="preserve"> of the Army and Air Force. </w:t>
      </w:r>
      <w:r w:rsidR="00F748E1" w:rsidRPr="002F64A6">
        <w:t>TB MED 507 / AFPAM 48-152 (I</w:t>
      </w:r>
      <w:r w:rsidR="00C46D21" w:rsidRPr="002F64A6">
        <w:t>). March 7, 2003</w:t>
      </w:r>
      <w:r w:rsidR="006F6C83" w:rsidRPr="002F64A6">
        <w:t>.</w:t>
      </w:r>
    </w:p>
    <w:p w14:paraId="4AAC0D8E" w14:textId="5E1CA0B2" w:rsidR="004C4662" w:rsidRPr="002F64A6" w:rsidRDefault="004C4662" w:rsidP="004C4662">
      <w:pPr>
        <w:pStyle w:val="Asterisks"/>
      </w:pPr>
      <w:r w:rsidRPr="002F64A6">
        <w:rPr>
          <w:rFonts w:eastAsia="Times New Roman"/>
          <w:szCs w:val="18"/>
          <w:vertAlign w:val="superscript"/>
        </w:rPr>
        <w:t>‡</w:t>
      </w:r>
      <w:r w:rsidR="00B55E3A" w:rsidRPr="002F64A6">
        <w:rPr>
          <w:rFonts w:eastAsia="Times New Roman"/>
          <w:szCs w:val="18"/>
          <w:vertAlign w:val="superscript"/>
        </w:rPr>
        <w:t xml:space="preserve"> </w:t>
      </w:r>
      <w:r w:rsidRPr="002F64A6">
        <w:t>NIOSH 2016 Criteria Recommendations</w:t>
      </w:r>
      <w:r w:rsidR="008E433A" w:rsidRPr="002F64A6">
        <w:t>.</w:t>
      </w:r>
    </w:p>
    <w:p w14:paraId="78D9F448" w14:textId="0E2E6E5D" w:rsidR="00D714B9" w:rsidRDefault="004C4662" w:rsidP="00D714B9">
      <w:pPr>
        <w:pStyle w:val="Asterisks"/>
      </w:pPr>
      <w:r w:rsidRPr="002F64A6">
        <w:rPr>
          <w:vertAlign w:val="superscript"/>
        </w:rPr>
        <w:t>§</w:t>
      </w:r>
      <w:r w:rsidR="00B55E3A" w:rsidRPr="002F64A6">
        <w:rPr>
          <w:vertAlign w:val="superscript"/>
        </w:rPr>
        <w:t xml:space="preserve"> </w:t>
      </w:r>
      <w:r w:rsidRPr="002F64A6">
        <w:t xml:space="preserve">ACGIH </w:t>
      </w:r>
      <w:r w:rsidR="00B03A6A">
        <w:t>2018 Threshold Limit Values</w:t>
      </w:r>
      <w:r w:rsidRPr="002F64A6">
        <w:t>.</w:t>
      </w:r>
      <w:r w:rsidR="00B03A6A">
        <w:t xml:space="preserve"> pp. </w:t>
      </w:r>
      <w:r w:rsidR="007F0487">
        <w:t>227–36.</w:t>
      </w:r>
    </w:p>
    <w:p w14:paraId="3334FC9F" w14:textId="77777777" w:rsidR="00524CF2" w:rsidRPr="002F64A6" w:rsidRDefault="00524CF2" w:rsidP="00D714B9">
      <w:pPr>
        <w:pStyle w:val="Asterisks"/>
        <w:rPr>
          <w:vertAlign w:val="superscript"/>
        </w:rPr>
      </w:pPr>
    </w:p>
    <w:p w14:paraId="7464B78F" w14:textId="188AE127" w:rsidR="00EB1B25" w:rsidRPr="002F64A6" w:rsidRDefault="00EB1B25" w:rsidP="00E325F1">
      <w:pPr>
        <w:pStyle w:val="L2"/>
      </w:pPr>
      <w:bookmarkStart w:id="24" w:name="_Toc518979495"/>
      <w:r w:rsidRPr="002F64A6">
        <w:t xml:space="preserve">U.S. military </w:t>
      </w:r>
      <w:r w:rsidR="00DD0664" w:rsidRPr="002F64A6">
        <w:t>guidelines</w:t>
      </w:r>
      <w:bookmarkEnd w:id="24"/>
    </w:p>
    <w:p w14:paraId="24C65359" w14:textId="01C653E1" w:rsidR="00D25781" w:rsidRPr="002F64A6" w:rsidRDefault="00740114" w:rsidP="00D25781">
      <w:bookmarkStart w:id="25" w:name="_Ref514858328"/>
      <w:r w:rsidRPr="002F64A6">
        <w:t>The U.S. Navy first developed Physiological Heat Exposure Limit (PHEL) curves based on metabolic and environmental heat load in 1973.</w:t>
      </w:r>
      <w:r w:rsidRPr="002F64A6">
        <w:rPr>
          <w:rStyle w:val="FootnoteReference"/>
        </w:rPr>
        <w:footnoteReference w:id="90"/>
      </w:r>
      <w:r w:rsidRPr="002F64A6">
        <w:t xml:space="preserve"> The PHELs represent </w:t>
      </w:r>
      <w:r w:rsidR="00DB23CF">
        <w:t>“</w:t>
      </w:r>
      <w:r w:rsidRPr="002F64A6">
        <w:t>maximum allowable</w:t>
      </w:r>
      <w:r w:rsidR="00DB23CF">
        <w:t>”</w:t>
      </w:r>
      <w:r w:rsidRPr="002F64A6">
        <w:t xml:space="preserve"> exposure limits</w:t>
      </w:r>
      <w:r w:rsidR="00FA4131">
        <w:t>.</w:t>
      </w:r>
      <w:r w:rsidRPr="002F64A6">
        <w:rPr>
          <w:rStyle w:val="FootnoteReference"/>
        </w:rPr>
        <w:footnoteReference w:id="91"/>
      </w:r>
      <w:r w:rsidRPr="002F64A6">
        <w:t xml:space="preserve"> See </w:t>
      </w:r>
      <w:r w:rsidR="00F50E34">
        <w:fldChar w:fldCharType="begin"/>
      </w:r>
      <w:r w:rsidR="00F50E34">
        <w:instrText xml:space="preserve"> REF _Ref515982683 \h </w:instrText>
      </w:r>
      <w:r w:rsidR="00F50E34">
        <w:fldChar w:fldCharType="separate"/>
      </w:r>
      <w:r w:rsidR="00E35FAB" w:rsidRPr="002F64A6">
        <w:t xml:space="preserve">Figure </w:t>
      </w:r>
      <w:r w:rsidR="00E35FAB">
        <w:rPr>
          <w:noProof/>
        </w:rPr>
        <w:t>7</w:t>
      </w:r>
      <w:r w:rsidR="00F50E34">
        <w:fldChar w:fldCharType="end"/>
      </w:r>
      <w:r w:rsidR="00F50E34">
        <w:t xml:space="preserve"> </w:t>
      </w:r>
      <w:r w:rsidRPr="002F64A6">
        <w:t xml:space="preserve">and </w:t>
      </w:r>
      <w:r w:rsidRPr="002F64A6">
        <w:fldChar w:fldCharType="begin"/>
      </w:r>
      <w:r w:rsidRPr="002F64A6">
        <w:instrText xml:space="preserve"> REF _Ref514867648 \h </w:instrText>
      </w:r>
      <w:r w:rsidR="00942E83" w:rsidRPr="002F64A6">
        <w:instrText xml:space="preserve"> \* MERGEFORMAT </w:instrText>
      </w:r>
      <w:r w:rsidRPr="002F64A6">
        <w:fldChar w:fldCharType="separate"/>
      </w:r>
      <w:r w:rsidR="00E35FAB" w:rsidRPr="002F64A6">
        <w:t xml:space="preserve">Table </w:t>
      </w:r>
      <w:r w:rsidR="00E35FAB">
        <w:rPr>
          <w:noProof/>
        </w:rPr>
        <w:t>10</w:t>
      </w:r>
      <w:r w:rsidRPr="002F64A6">
        <w:fldChar w:fldCharType="end"/>
      </w:r>
      <w:r w:rsidRPr="002F64A6">
        <w:t xml:space="preserve"> in the Appendix for the Navy</w:t>
      </w:r>
      <w:r w:rsidR="00DB23CF">
        <w:t>’</w:t>
      </w:r>
      <w:r w:rsidRPr="002F64A6">
        <w:t>s PHEL curves and a table of time limits for each curve.</w:t>
      </w:r>
      <w:r w:rsidR="00D25781">
        <w:t xml:space="preserve"> In addition, the Navy curtails training</w:t>
      </w:r>
      <w:r w:rsidR="000A0EEC">
        <w:t xml:space="preserve"> as wet </w:t>
      </w:r>
      <w:r w:rsidR="00D25781" w:rsidRPr="002F64A6">
        <w:t>bulb globe temperatures (WBGTs) rise, signified by colored flags flown at installations, with all nonessential outdoor activity halting at WBGTs greater than 90°F (</w:t>
      </w:r>
      <w:r w:rsidR="00407D7D">
        <w:fldChar w:fldCharType="begin"/>
      </w:r>
      <w:r w:rsidR="00407D7D">
        <w:instrText xml:space="preserve"> REF _Ref515971347 \h </w:instrText>
      </w:r>
      <w:r w:rsidR="00407D7D">
        <w:fldChar w:fldCharType="separate"/>
      </w:r>
      <w:r w:rsidR="00E35FAB" w:rsidRPr="002F64A6">
        <w:t xml:space="preserve">Table </w:t>
      </w:r>
      <w:r w:rsidR="00E35FAB">
        <w:rPr>
          <w:noProof/>
        </w:rPr>
        <w:t>4</w:t>
      </w:r>
      <w:r w:rsidR="00407D7D">
        <w:fldChar w:fldCharType="end"/>
      </w:r>
      <w:r w:rsidR="00D25781" w:rsidRPr="002F64A6">
        <w:t>).</w:t>
      </w:r>
    </w:p>
    <w:p w14:paraId="59AD147C" w14:textId="047D78C4" w:rsidR="00740114" w:rsidRPr="002F64A6" w:rsidRDefault="00E942BE" w:rsidP="00740114">
      <w:r>
        <w:t>T</w:t>
      </w:r>
      <w:r w:rsidRPr="002F64A6">
        <w:t xml:space="preserve">he U.S. Marine Corps </w:t>
      </w:r>
      <w:r>
        <w:t xml:space="preserve">has </w:t>
      </w:r>
      <w:r w:rsidR="00280430">
        <w:t xml:space="preserve">issued </w:t>
      </w:r>
      <w:r>
        <w:t>heat stress guidelines in the past and</w:t>
      </w:r>
      <w:r w:rsidR="00F2300F">
        <w:t xml:space="preserve"> </w:t>
      </w:r>
      <w:r w:rsidR="00343C53">
        <w:t>has been fo</w:t>
      </w:r>
      <w:r>
        <w:t>llowing the Navy</w:t>
      </w:r>
      <w:r w:rsidR="00DB23CF">
        <w:t>’</w:t>
      </w:r>
      <w:r>
        <w:t>s on an interim basis</w:t>
      </w:r>
      <w:r w:rsidR="00F2300F">
        <w:t xml:space="preserve"> since 2015</w:t>
      </w:r>
      <w:r>
        <w:t>.</w:t>
      </w:r>
      <w:r>
        <w:rPr>
          <w:rStyle w:val="FootnoteReference"/>
        </w:rPr>
        <w:footnoteReference w:id="92"/>
      </w:r>
      <w:r>
        <w:t xml:space="preserve"> </w:t>
      </w:r>
      <w:r w:rsidRPr="002F64A6">
        <w:t xml:space="preserve">The order </w:t>
      </w:r>
      <w:r>
        <w:t xml:space="preserve">issued by Base Quantico to implement Marine Corps guidelines </w:t>
      </w:r>
      <w:r w:rsidR="00E44FB0">
        <w:t xml:space="preserve">in 2002 </w:t>
      </w:r>
      <w:r w:rsidRPr="002F64A6">
        <w:t>note</w:t>
      </w:r>
      <w:r>
        <w:t>d</w:t>
      </w:r>
      <w:r w:rsidR="00740114" w:rsidRPr="002F64A6">
        <w:t xml:space="preserve"> that </w:t>
      </w:r>
      <w:r w:rsidR="00DB23CF">
        <w:t>“</w:t>
      </w:r>
      <w:r w:rsidR="00740114" w:rsidRPr="002F64A6">
        <w:t>each year</w:t>
      </w:r>
      <w:r w:rsidR="00DB23CF">
        <w:t>”</w:t>
      </w:r>
      <w:r w:rsidR="00740114" w:rsidRPr="002F64A6">
        <w:t xml:space="preserve"> personnel at the base experience</w:t>
      </w:r>
      <w:r w:rsidR="001100DA">
        <w:t>d</w:t>
      </w:r>
      <w:r w:rsidR="00740114" w:rsidRPr="002F64A6">
        <w:t xml:space="preserve"> </w:t>
      </w:r>
      <w:r w:rsidR="00DB23CF">
        <w:t>“</w:t>
      </w:r>
      <w:r w:rsidR="00740114" w:rsidRPr="002F64A6">
        <w:t>several heat casualties with many resulting in emergency MEDEVAC</w:t>
      </w:r>
      <w:r w:rsidR="00DB23CF">
        <w:t>”</w:t>
      </w:r>
      <w:r w:rsidR="00740114" w:rsidRPr="002F64A6">
        <w:t xml:space="preserve"> between May and September.</w:t>
      </w:r>
      <w:r w:rsidR="00740114" w:rsidRPr="002F64A6">
        <w:rPr>
          <w:rStyle w:val="FootnoteReference"/>
        </w:rPr>
        <w:footnoteReference w:id="93"/>
      </w:r>
    </w:p>
    <w:p w14:paraId="44AB76C9" w14:textId="55D68D0E" w:rsidR="002549CB" w:rsidRPr="002F64A6" w:rsidRDefault="002549CB" w:rsidP="002549CB">
      <w:pPr>
        <w:pStyle w:val="Caption"/>
      </w:pPr>
      <w:bookmarkStart w:id="26" w:name="_Ref515971347"/>
      <w:r w:rsidRPr="002F64A6">
        <w:t xml:space="preserve">Table </w:t>
      </w:r>
      <w:r w:rsidR="00A46EC9">
        <w:fldChar w:fldCharType="begin"/>
      </w:r>
      <w:r w:rsidR="00A46EC9">
        <w:instrText xml:space="preserve"> SEQ Table \* ARABIC </w:instrText>
      </w:r>
      <w:r w:rsidR="00A46EC9">
        <w:fldChar w:fldCharType="separate"/>
      </w:r>
      <w:r w:rsidR="00E35FAB">
        <w:rPr>
          <w:noProof/>
        </w:rPr>
        <w:t>4</w:t>
      </w:r>
      <w:r w:rsidR="00A46EC9">
        <w:rPr>
          <w:noProof/>
        </w:rPr>
        <w:fldChar w:fldCharType="end"/>
      </w:r>
      <w:bookmarkEnd w:id="25"/>
      <w:bookmarkEnd w:id="26"/>
      <w:r w:rsidRPr="002F64A6">
        <w:t>: U.S. Navy heat/flag ind</w:t>
      </w:r>
      <w:r w:rsidR="00655603">
        <w:t>ex</w:t>
      </w:r>
    </w:p>
    <w:tbl>
      <w:tblPr>
        <w:tblStyle w:val="LightShading-Accent5"/>
        <w:tblW w:w="4750" w:type="pct"/>
        <w:jc w:val="center"/>
        <w:tblLayout w:type="fixed"/>
        <w:tblLook w:val="04A0" w:firstRow="1" w:lastRow="0" w:firstColumn="1" w:lastColumn="0" w:noHBand="0" w:noVBand="1"/>
      </w:tblPr>
      <w:tblGrid>
        <w:gridCol w:w="1457"/>
        <w:gridCol w:w="1497"/>
        <w:gridCol w:w="5929"/>
      </w:tblGrid>
      <w:tr w:rsidR="006A1638" w:rsidRPr="002F64A6" w14:paraId="4883528B" w14:textId="77777777" w:rsidTr="007133E5">
        <w:trPr>
          <w:cnfStyle w:val="100000000000" w:firstRow="1" w:lastRow="0" w:firstColumn="0" w:lastColumn="0" w:oddVBand="0" w:evenVBand="0" w:oddHBand="0" w:evenHBand="0" w:firstRowFirstColumn="0" w:firstRowLastColumn="0" w:lastRowFirstColumn="0" w:lastRowLastColumn="0"/>
          <w:trHeight w:val="600"/>
          <w:jc w:val="center"/>
        </w:trPr>
        <w:tc>
          <w:tcPr>
            <w:cnfStyle w:val="001000000000" w:firstRow="0" w:lastRow="0" w:firstColumn="1" w:lastColumn="0" w:oddVBand="0" w:evenVBand="0" w:oddHBand="0" w:evenHBand="0" w:firstRowFirstColumn="0" w:firstRowLastColumn="0" w:lastRowFirstColumn="0" w:lastRowLastColumn="0"/>
            <w:tcW w:w="1489" w:type="dxa"/>
            <w:hideMark/>
          </w:tcPr>
          <w:p w14:paraId="00F8E7B9" w14:textId="25E8E0FD" w:rsidR="006A1638" w:rsidRPr="002F64A6" w:rsidRDefault="006A1638" w:rsidP="0055085C">
            <w:pPr>
              <w:pStyle w:val="TableHeading"/>
            </w:pPr>
            <w:r w:rsidRPr="002F64A6">
              <w:t>Flag</w:t>
            </w:r>
            <w:r w:rsidRPr="002F64A6">
              <w:br/>
              <w:t>Condition</w:t>
            </w:r>
          </w:p>
        </w:tc>
        <w:tc>
          <w:tcPr>
            <w:tcW w:w="1530" w:type="dxa"/>
            <w:hideMark/>
          </w:tcPr>
          <w:p w14:paraId="67DE4A7E" w14:textId="7D7C7254" w:rsidR="006A1638" w:rsidRPr="002F64A6" w:rsidRDefault="00180EF0" w:rsidP="00180EF0">
            <w:pPr>
              <w:pStyle w:val="TableHeading"/>
              <w:cnfStyle w:val="100000000000" w:firstRow="1" w:lastRow="0" w:firstColumn="0" w:lastColumn="0" w:oddVBand="0" w:evenVBand="0" w:oddHBand="0" w:evenHBand="0" w:firstRowFirstColumn="0" w:firstRowLastColumn="0" w:lastRowFirstColumn="0" w:lastRowLastColumn="0"/>
            </w:pPr>
            <w:r>
              <w:t xml:space="preserve">Current </w:t>
            </w:r>
            <w:r w:rsidR="006A1638" w:rsidRPr="002F64A6">
              <w:t>WBGT (°F)</w:t>
            </w:r>
          </w:p>
        </w:tc>
        <w:tc>
          <w:tcPr>
            <w:tcW w:w="6078" w:type="dxa"/>
            <w:hideMark/>
          </w:tcPr>
          <w:p w14:paraId="55DCBD02" w14:textId="676EDA65" w:rsidR="006A1638" w:rsidRPr="002F64A6" w:rsidRDefault="001B258C" w:rsidP="0055085C">
            <w:pPr>
              <w:pStyle w:val="TableHeading"/>
              <w:cnfStyle w:val="100000000000" w:firstRow="1" w:lastRow="0" w:firstColumn="0" w:lastColumn="0" w:oddVBand="0" w:evenVBand="0" w:oddHBand="0" w:evenHBand="0" w:firstRowFirstColumn="0" w:firstRowLastColumn="0" w:lastRowFirstColumn="0" w:lastRowLastColumn="0"/>
            </w:pPr>
            <w:r>
              <w:t>Intensity of Physical Exercise</w:t>
            </w:r>
          </w:p>
        </w:tc>
      </w:tr>
      <w:tr w:rsidR="006A1638" w:rsidRPr="002F64A6" w14:paraId="4581D696" w14:textId="77777777" w:rsidTr="007133E5">
        <w:trPr>
          <w:cnfStyle w:val="000000100000" w:firstRow="0" w:lastRow="0" w:firstColumn="0" w:lastColumn="0" w:oddVBand="0" w:evenVBand="0" w:oddHBand="1" w:evenHBand="0" w:firstRowFirstColumn="0" w:firstRowLastColumn="0" w:lastRowFirstColumn="0" w:lastRowLastColumn="0"/>
          <w:trHeight w:val="600"/>
          <w:jc w:val="center"/>
        </w:trPr>
        <w:tc>
          <w:tcPr>
            <w:cnfStyle w:val="001000000000" w:firstRow="0" w:lastRow="0" w:firstColumn="1" w:lastColumn="0" w:oddVBand="0" w:evenVBand="0" w:oddHBand="0" w:evenHBand="0" w:firstRowFirstColumn="0" w:firstRowLastColumn="0" w:lastRowFirstColumn="0" w:lastRowLastColumn="0"/>
            <w:tcW w:w="1489" w:type="dxa"/>
            <w:hideMark/>
          </w:tcPr>
          <w:p w14:paraId="710285E5" w14:textId="77777777" w:rsidR="006A1638" w:rsidRPr="002F64A6" w:rsidRDefault="006A1638" w:rsidP="0055085C">
            <w:pPr>
              <w:pStyle w:val="TableCenter"/>
            </w:pPr>
            <w:r w:rsidRPr="002F64A6">
              <w:t>Green</w:t>
            </w:r>
          </w:p>
        </w:tc>
        <w:tc>
          <w:tcPr>
            <w:tcW w:w="1530" w:type="dxa"/>
            <w:hideMark/>
          </w:tcPr>
          <w:p w14:paraId="08D79582" w14:textId="77777777" w:rsidR="006A1638" w:rsidRPr="002F64A6" w:rsidRDefault="006A1638" w:rsidP="0055085C">
            <w:pPr>
              <w:pStyle w:val="TableCenter"/>
              <w:cnfStyle w:val="000000100000" w:firstRow="0" w:lastRow="0" w:firstColumn="0" w:lastColumn="0" w:oddVBand="0" w:evenVBand="0" w:oddHBand="1" w:evenHBand="0" w:firstRowFirstColumn="0" w:firstRowLastColumn="0" w:lastRowFirstColumn="0" w:lastRowLastColumn="0"/>
            </w:pPr>
            <w:r w:rsidRPr="002F64A6">
              <w:t>80.0 – 84.9</w:t>
            </w:r>
          </w:p>
        </w:tc>
        <w:tc>
          <w:tcPr>
            <w:tcW w:w="6078" w:type="dxa"/>
            <w:hideMark/>
          </w:tcPr>
          <w:p w14:paraId="518F64AE" w14:textId="77777777" w:rsidR="006A1638" w:rsidRPr="002F64A6" w:rsidRDefault="006A1638" w:rsidP="0055085C">
            <w:pPr>
              <w:pStyle w:val="TableLeft"/>
              <w:cnfStyle w:val="000000100000" w:firstRow="0" w:lastRow="0" w:firstColumn="0" w:lastColumn="0" w:oddVBand="0" w:evenVBand="0" w:oddHBand="1" w:evenHBand="0" w:firstRowFirstColumn="0" w:firstRowLastColumn="0" w:lastRowFirstColumn="0" w:lastRowLastColumn="0"/>
            </w:pPr>
            <w:r w:rsidRPr="002F64A6">
              <w:t>Discretion required in planning heavy exercise for unseasoned personnel.</w:t>
            </w:r>
          </w:p>
        </w:tc>
      </w:tr>
      <w:tr w:rsidR="006A1638" w:rsidRPr="002F64A6" w14:paraId="0B6F65A5" w14:textId="77777777" w:rsidTr="007133E5">
        <w:trPr>
          <w:cnfStyle w:val="000000010000" w:firstRow="0" w:lastRow="0" w:firstColumn="0" w:lastColumn="0" w:oddVBand="0" w:evenVBand="0" w:oddHBand="0" w:evenHBand="1" w:firstRowFirstColumn="0" w:firstRowLastColumn="0" w:lastRowFirstColumn="0" w:lastRowLastColumn="0"/>
          <w:trHeight w:val="900"/>
          <w:jc w:val="center"/>
        </w:trPr>
        <w:tc>
          <w:tcPr>
            <w:cnfStyle w:val="001000000000" w:firstRow="0" w:lastRow="0" w:firstColumn="1" w:lastColumn="0" w:oddVBand="0" w:evenVBand="0" w:oddHBand="0" w:evenHBand="0" w:firstRowFirstColumn="0" w:firstRowLastColumn="0" w:lastRowFirstColumn="0" w:lastRowLastColumn="0"/>
            <w:tcW w:w="1489" w:type="dxa"/>
            <w:hideMark/>
          </w:tcPr>
          <w:p w14:paraId="211222E4" w14:textId="77777777" w:rsidR="006A1638" w:rsidRPr="002F64A6" w:rsidRDefault="006A1638" w:rsidP="0055085C">
            <w:pPr>
              <w:pStyle w:val="TableCenter"/>
            </w:pPr>
            <w:r w:rsidRPr="002F64A6">
              <w:t>Yellow</w:t>
            </w:r>
          </w:p>
        </w:tc>
        <w:tc>
          <w:tcPr>
            <w:tcW w:w="1530" w:type="dxa"/>
            <w:hideMark/>
          </w:tcPr>
          <w:p w14:paraId="4FD15BF8" w14:textId="77777777" w:rsidR="006A1638" w:rsidRPr="002F64A6" w:rsidRDefault="006A1638" w:rsidP="0055085C">
            <w:pPr>
              <w:pStyle w:val="TableCenter"/>
              <w:cnfStyle w:val="000000010000" w:firstRow="0" w:lastRow="0" w:firstColumn="0" w:lastColumn="0" w:oddVBand="0" w:evenVBand="0" w:oddHBand="0" w:evenHBand="1" w:firstRowFirstColumn="0" w:firstRowLastColumn="0" w:lastRowFirstColumn="0" w:lastRowLastColumn="0"/>
            </w:pPr>
            <w:r w:rsidRPr="002F64A6">
              <w:t>85.0 – 87.9</w:t>
            </w:r>
          </w:p>
        </w:tc>
        <w:tc>
          <w:tcPr>
            <w:tcW w:w="6078" w:type="dxa"/>
            <w:hideMark/>
          </w:tcPr>
          <w:p w14:paraId="2DC21C73" w14:textId="77777777" w:rsidR="006A1638" w:rsidRPr="002F64A6" w:rsidRDefault="006A1638" w:rsidP="0055085C">
            <w:pPr>
              <w:pStyle w:val="TableLeft"/>
              <w:cnfStyle w:val="000000010000" w:firstRow="0" w:lastRow="0" w:firstColumn="0" w:lastColumn="0" w:oddVBand="0" w:evenVBand="0" w:oddHBand="0" w:evenHBand="1" w:firstRowFirstColumn="0" w:firstRowLastColumn="0" w:lastRowFirstColumn="0" w:lastRowLastColumn="0"/>
            </w:pPr>
            <w:r w:rsidRPr="002F64A6">
              <w:t>Strenuous exercise and activity (e.g., close order drill) should be curtailed for new and unacclimated personnel during the ﬁrst 3 weeks of heat exposure.</w:t>
            </w:r>
          </w:p>
        </w:tc>
      </w:tr>
      <w:tr w:rsidR="006A1638" w:rsidRPr="002F64A6" w14:paraId="79FA453E" w14:textId="77777777" w:rsidTr="007133E5">
        <w:trPr>
          <w:cnfStyle w:val="000000100000" w:firstRow="0" w:lastRow="0" w:firstColumn="0" w:lastColumn="0" w:oddVBand="0" w:evenVBand="0" w:oddHBand="1" w:evenHBand="0" w:firstRowFirstColumn="0" w:firstRowLastColumn="0" w:lastRowFirstColumn="0" w:lastRowLastColumn="0"/>
          <w:trHeight w:val="600"/>
          <w:jc w:val="center"/>
        </w:trPr>
        <w:tc>
          <w:tcPr>
            <w:cnfStyle w:val="001000000000" w:firstRow="0" w:lastRow="0" w:firstColumn="1" w:lastColumn="0" w:oddVBand="0" w:evenVBand="0" w:oddHBand="0" w:evenHBand="0" w:firstRowFirstColumn="0" w:firstRowLastColumn="0" w:lastRowFirstColumn="0" w:lastRowLastColumn="0"/>
            <w:tcW w:w="1489" w:type="dxa"/>
            <w:hideMark/>
          </w:tcPr>
          <w:p w14:paraId="4B9B1C05" w14:textId="77777777" w:rsidR="006A1638" w:rsidRPr="002F64A6" w:rsidRDefault="006A1638" w:rsidP="0055085C">
            <w:pPr>
              <w:pStyle w:val="TableCenter"/>
            </w:pPr>
            <w:r w:rsidRPr="002F64A6">
              <w:t>Red</w:t>
            </w:r>
          </w:p>
        </w:tc>
        <w:tc>
          <w:tcPr>
            <w:tcW w:w="1530" w:type="dxa"/>
            <w:hideMark/>
          </w:tcPr>
          <w:p w14:paraId="188EC4AF" w14:textId="77777777" w:rsidR="006A1638" w:rsidRPr="002F64A6" w:rsidRDefault="006A1638" w:rsidP="0055085C">
            <w:pPr>
              <w:pStyle w:val="TableCenter"/>
              <w:cnfStyle w:val="000000100000" w:firstRow="0" w:lastRow="0" w:firstColumn="0" w:lastColumn="0" w:oddVBand="0" w:evenVBand="0" w:oddHBand="1" w:evenHBand="0" w:firstRowFirstColumn="0" w:firstRowLastColumn="0" w:lastRowFirstColumn="0" w:lastRowLastColumn="0"/>
            </w:pPr>
            <w:r w:rsidRPr="002F64A6">
              <w:t>88.0 – 89.9</w:t>
            </w:r>
          </w:p>
        </w:tc>
        <w:tc>
          <w:tcPr>
            <w:tcW w:w="6078" w:type="dxa"/>
            <w:hideMark/>
          </w:tcPr>
          <w:p w14:paraId="381C3163" w14:textId="7664B904" w:rsidR="006A1638" w:rsidRPr="002F64A6" w:rsidRDefault="006A1638" w:rsidP="0050105E">
            <w:pPr>
              <w:pStyle w:val="TableLeft"/>
              <w:cnfStyle w:val="000000100000" w:firstRow="0" w:lastRow="0" w:firstColumn="0" w:lastColumn="0" w:oddVBand="0" w:evenVBand="0" w:oddHBand="1" w:evenHBand="0" w:firstRowFirstColumn="0" w:firstRowLastColumn="0" w:lastRowFirstColumn="0" w:lastRowLastColumn="0"/>
            </w:pPr>
            <w:r w:rsidRPr="002F64A6">
              <w:t>Strenuous exercise curtailed for all personnel with less than 12 weeks training in hot weather.</w:t>
            </w:r>
          </w:p>
        </w:tc>
      </w:tr>
      <w:tr w:rsidR="006A1638" w:rsidRPr="002F64A6" w14:paraId="2FE3C81E" w14:textId="77777777" w:rsidTr="007133E5">
        <w:trPr>
          <w:cnfStyle w:val="000000010000" w:firstRow="0" w:lastRow="0" w:firstColumn="0" w:lastColumn="0" w:oddVBand="0" w:evenVBand="0" w:oddHBand="0" w:evenHBand="1" w:firstRowFirstColumn="0" w:firstRowLastColumn="0" w:lastRowFirstColumn="0" w:lastRowLastColumn="0"/>
          <w:trHeight w:val="600"/>
          <w:jc w:val="center"/>
        </w:trPr>
        <w:tc>
          <w:tcPr>
            <w:cnfStyle w:val="001000000000" w:firstRow="0" w:lastRow="0" w:firstColumn="1" w:lastColumn="0" w:oddVBand="0" w:evenVBand="0" w:oddHBand="0" w:evenHBand="0" w:firstRowFirstColumn="0" w:firstRowLastColumn="0" w:lastRowFirstColumn="0" w:lastRowLastColumn="0"/>
            <w:tcW w:w="1489" w:type="dxa"/>
            <w:tcBorders>
              <w:bottom w:val="single" w:sz="4" w:space="0" w:color="FFFFFF" w:themeColor="background1"/>
            </w:tcBorders>
            <w:hideMark/>
          </w:tcPr>
          <w:p w14:paraId="113F550F" w14:textId="77777777" w:rsidR="006A1638" w:rsidRPr="002F64A6" w:rsidRDefault="006A1638" w:rsidP="0055085C">
            <w:pPr>
              <w:pStyle w:val="TableCenter"/>
            </w:pPr>
            <w:r w:rsidRPr="002F64A6">
              <w:t>Black</w:t>
            </w:r>
          </w:p>
        </w:tc>
        <w:tc>
          <w:tcPr>
            <w:tcW w:w="1530" w:type="dxa"/>
            <w:tcBorders>
              <w:bottom w:val="single" w:sz="4" w:space="0" w:color="FFFFFF" w:themeColor="background1"/>
            </w:tcBorders>
            <w:hideMark/>
          </w:tcPr>
          <w:p w14:paraId="45AEEBE7" w14:textId="77777777" w:rsidR="006A1638" w:rsidRPr="002F64A6" w:rsidRDefault="006A1638" w:rsidP="0055085C">
            <w:pPr>
              <w:pStyle w:val="TableCenter"/>
              <w:cnfStyle w:val="000000010000" w:firstRow="0" w:lastRow="0" w:firstColumn="0" w:lastColumn="0" w:oddVBand="0" w:evenVBand="0" w:oddHBand="0" w:evenHBand="1" w:firstRowFirstColumn="0" w:firstRowLastColumn="0" w:lastRowFirstColumn="0" w:lastRowLastColumn="0"/>
            </w:pPr>
            <w:r w:rsidRPr="002F64A6">
              <w:t>90.0+</w:t>
            </w:r>
          </w:p>
        </w:tc>
        <w:tc>
          <w:tcPr>
            <w:tcW w:w="6078" w:type="dxa"/>
            <w:tcBorders>
              <w:bottom w:val="single" w:sz="4" w:space="0" w:color="FFFFFF" w:themeColor="background1"/>
            </w:tcBorders>
            <w:hideMark/>
          </w:tcPr>
          <w:p w14:paraId="629CD362" w14:textId="77777777" w:rsidR="006A1638" w:rsidRPr="002F64A6" w:rsidRDefault="006A1638" w:rsidP="0055085C">
            <w:pPr>
              <w:pStyle w:val="TableLeft"/>
              <w:cnfStyle w:val="000000010000" w:firstRow="0" w:lastRow="0" w:firstColumn="0" w:lastColumn="0" w:oddVBand="0" w:evenVBand="0" w:oddHBand="0" w:evenHBand="1" w:firstRowFirstColumn="0" w:firstRowLastColumn="0" w:lastRowFirstColumn="0" w:lastRowLastColumn="0"/>
              <w:rPr>
                <w:color w:val="FFFFFF" w:themeColor="background1"/>
              </w:rPr>
            </w:pPr>
            <w:r w:rsidRPr="002F64A6">
              <w:t>Physical training and strenuous exercise suspended for all personnel (excludes operational commitment not for training purposes).</w:t>
            </w:r>
          </w:p>
        </w:tc>
      </w:tr>
      <w:tr w:rsidR="006A1638" w:rsidRPr="002F64A6" w14:paraId="7BC1D579" w14:textId="77777777" w:rsidTr="007133E5">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9097" w:type="dxa"/>
            <w:gridSpan w:val="3"/>
            <w:shd w:val="clear" w:color="auto" w:fill="auto"/>
            <w:noWrap/>
            <w:hideMark/>
          </w:tcPr>
          <w:p w14:paraId="2A233947" w14:textId="38878D3D" w:rsidR="006A1638" w:rsidRPr="002F64A6" w:rsidRDefault="00583B02" w:rsidP="0009019F">
            <w:pPr>
              <w:pStyle w:val="Asterisks"/>
              <w:jc w:val="left"/>
              <w:rPr>
                <w:bCs w:val="0"/>
              </w:rPr>
            </w:pPr>
            <w:r w:rsidRPr="002F64A6">
              <w:t xml:space="preserve">Adapted from </w:t>
            </w:r>
            <w:r w:rsidRPr="009A3EE0">
              <w:t>Manual of Naval Preventive Medicine</w:t>
            </w:r>
            <w:r>
              <w:rPr>
                <w:i/>
              </w:rPr>
              <w:t>.</w:t>
            </w:r>
            <w:r w:rsidRPr="002F64A6">
              <w:t xml:space="preserve"> </w:t>
            </w:r>
            <w:r w:rsidR="0009019F">
              <w:t xml:space="preserve">Department of the </w:t>
            </w:r>
            <w:r w:rsidR="0009019F" w:rsidRPr="002F64A6">
              <w:t>Navy</w:t>
            </w:r>
            <w:r w:rsidR="0009019F">
              <w:t xml:space="preserve">. </w:t>
            </w:r>
            <w:r w:rsidRPr="002F64A6">
              <w:t>NAVMED P-5010-3 (Rev. 2-2009)</w:t>
            </w:r>
            <w:r>
              <w:t>.</w:t>
            </w:r>
            <w:r w:rsidRPr="002F64A6">
              <w:t xml:space="preserve"> p. 3</w:t>
            </w:r>
            <w:r w:rsidR="001804B2">
              <w:t>–</w:t>
            </w:r>
            <w:r w:rsidRPr="002F64A6">
              <w:t>15, Table 3-3.</w:t>
            </w:r>
          </w:p>
        </w:tc>
      </w:tr>
    </w:tbl>
    <w:p w14:paraId="449266EB" w14:textId="630DE778" w:rsidR="00084722" w:rsidRPr="00625F62" w:rsidRDefault="00084722" w:rsidP="00084722">
      <w:pPr>
        <w:rPr>
          <w:highlight w:val="yellow"/>
        </w:rPr>
      </w:pPr>
      <w:r w:rsidRPr="002F64A6">
        <w:lastRenderedPageBreak/>
        <w:t xml:space="preserve">In 2003, the </w:t>
      </w:r>
      <w:r w:rsidR="00102CC4" w:rsidRPr="002D7042">
        <w:t xml:space="preserve">U.S. Army and U.S. Air Force </w:t>
      </w:r>
      <w:r w:rsidR="0095681B" w:rsidRPr="002D7042">
        <w:t xml:space="preserve">issued </w:t>
      </w:r>
      <w:r w:rsidRPr="002D7042">
        <w:t>a technical bulletin on heat stress and effective measures to</w:t>
      </w:r>
      <w:r w:rsidR="00102CC4" w:rsidRPr="002D7042">
        <w:t xml:space="preserve"> </w:t>
      </w:r>
      <w:r w:rsidRPr="002D7042">
        <w:t>prevent heat-related injury in soldiers in both outdoor and indoor workplaces.</w:t>
      </w:r>
      <w:r w:rsidRPr="002D7042">
        <w:rPr>
          <w:rStyle w:val="FootnoteReference"/>
        </w:rPr>
        <w:footnoteReference w:id="94"/>
      </w:r>
      <w:r w:rsidR="00102CC4" w:rsidRPr="002D7042">
        <w:t xml:space="preserve"> </w:t>
      </w:r>
      <w:r w:rsidRPr="002D7042">
        <w:t xml:space="preserve">The main </w:t>
      </w:r>
      <w:r w:rsidR="00BD2164">
        <w:t xml:space="preserve">features </w:t>
      </w:r>
      <w:r w:rsidRPr="002D7042">
        <w:t>of the guidelines are outlined in</w:t>
      </w:r>
      <w:r w:rsidR="004B426B" w:rsidRPr="002D7042">
        <w:t xml:space="preserve"> </w:t>
      </w:r>
      <w:r w:rsidR="00BD2164">
        <w:fldChar w:fldCharType="begin"/>
      </w:r>
      <w:r w:rsidR="00BD2164">
        <w:instrText xml:space="preserve"> REF _Ref514923987 \h </w:instrText>
      </w:r>
      <w:r w:rsidR="00BD2164">
        <w:fldChar w:fldCharType="separate"/>
      </w:r>
      <w:r w:rsidR="00E35FAB" w:rsidRPr="002F64A6">
        <w:t xml:space="preserve">Table </w:t>
      </w:r>
      <w:r w:rsidR="00E35FAB">
        <w:rPr>
          <w:noProof/>
        </w:rPr>
        <w:t>3</w:t>
      </w:r>
      <w:r w:rsidR="00BD2164">
        <w:fldChar w:fldCharType="end"/>
      </w:r>
      <w:r w:rsidRPr="003B5355">
        <w:t xml:space="preserve">. The </w:t>
      </w:r>
      <w:r w:rsidR="009A7BC2" w:rsidRPr="003B5355">
        <w:t xml:space="preserve">bulletin </w:t>
      </w:r>
      <w:r w:rsidRPr="003B5355">
        <w:t>provides detailed instructions on</w:t>
      </w:r>
      <w:r w:rsidR="00102CC4" w:rsidRPr="003B5355">
        <w:t xml:space="preserve"> </w:t>
      </w:r>
      <w:r w:rsidRPr="003B5355">
        <w:t>acclimatization, with gradually increasing workload and environmental heat exposure over a</w:t>
      </w:r>
      <w:r w:rsidR="00102CC4" w:rsidRPr="003B5355">
        <w:t xml:space="preserve"> </w:t>
      </w:r>
      <w:r w:rsidRPr="003B5355">
        <w:t>two-week period. A rigorous WBGT threshold is calculated for differing work intensities and</w:t>
      </w:r>
      <w:r w:rsidR="00102CC4" w:rsidRPr="003B5355">
        <w:t xml:space="preserve"> </w:t>
      </w:r>
      <w:r w:rsidRPr="003B5355">
        <w:t>environmental temperatures, with a recommended work-rest cycle developed based on these</w:t>
      </w:r>
      <w:r w:rsidR="00102CC4" w:rsidRPr="003B5355">
        <w:t xml:space="preserve"> </w:t>
      </w:r>
      <w:r w:rsidRPr="003B5355">
        <w:t>values.</w:t>
      </w:r>
      <w:r w:rsidRPr="003B5355">
        <w:rPr>
          <w:rStyle w:val="FootnoteReference"/>
        </w:rPr>
        <w:footnoteReference w:id="95"/>
      </w:r>
      <w:r w:rsidRPr="003B5355">
        <w:t xml:space="preserve"> The recommendations limit continuous work after temperatures rise above 82°F for </w:t>
      </w:r>
      <w:r w:rsidR="00DB23CF">
        <w:t>“</w:t>
      </w:r>
      <w:r w:rsidRPr="003B5355">
        <w:t>moderate</w:t>
      </w:r>
      <w:r w:rsidR="00DB23CF">
        <w:t>”</w:t>
      </w:r>
      <w:r w:rsidRPr="003B5355">
        <w:t xml:space="preserve"> intensity work and above 78°F for </w:t>
      </w:r>
      <w:r w:rsidR="00DB23CF">
        <w:t>“</w:t>
      </w:r>
      <w:r w:rsidRPr="003B5355">
        <w:t>hard</w:t>
      </w:r>
      <w:r w:rsidR="00DB23CF">
        <w:t>”</w:t>
      </w:r>
      <w:r w:rsidRPr="003B5355">
        <w:t xml:space="preserve"> work (</w:t>
      </w:r>
      <w:r w:rsidR="00AA1ED1">
        <w:fldChar w:fldCharType="begin"/>
      </w:r>
      <w:r w:rsidR="00AA1ED1">
        <w:instrText xml:space="preserve"> REF _Ref515971421 \h </w:instrText>
      </w:r>
      <w:r w:rsidR="00AA1ED1">
        <w:fldChar w:fldCharType="separate"/>
      </w:r>
      <w:r w:rsidR="00E35FAB" w:rsidRPr="002F64A6">
        <w:t xml:space="preserve">Table </w:t>
      </w:r>
      <w:r w:rsidR="00E35FAB">
        <w:rPr>
          <w:noProof/>
        </w:rPr>
        <w:t>5</w:t>
      </w:r>
      <w:r w:rsidR="00AA1ED1">
        <w:fldChar w:fldCharType="end"/>
      </w:r>
      <w:r w:rsidRPr="003B5355">
        <w:t>).</w:t>
      </w:r>
    </w:p>
    <w:p w14:paraId="2D14D94D" w14:textId="0136DB7C" w:rsidR="00D02393" w:rsidRPr="002F64A6" w:rsidRDefault="0070132B" w:rsidP="00D02393">
      <w:pPr>
        <w:pStyle w:val="Caption"/>
      </w:pPr>
      <w:bookmarkStart w:id="27" w:name="_Ref515971421"/>
      <w:r w:rsidRPr="002F64A6">
        <w:lastRenderedPageBreak/>
        <w:t xml:space="preserve">Table </w:t>
      </w:r>
      <w:r w:rsidR="00A46EC9">
        <w:fldChar w:fldCharType="begin"/>
      </w:r>
      <w:r w:rsidR="00A46EC9">
        <w:instrText xml:space="preserve"> SEQ Table \* ARABIC </w:instrText>
      </w:r>
      <w:r w:rsidR="00A46EC9">
        <w:fldChar w:fldCharType="separate"/>
      </w:r>
      <w:r w:rsidR="00E35FAB">
        <w:rPr>
          <w:noProof/>
        </w:rPr>
        <w:t>5</w:t>
      </w:r>
      <w:r w:rsidR="00A46EC9">
        <w:rPr>
          <w:noProof/>
        </w:rPr>
        <w:fldChar w:fldCharType="end"/>
      </w:r>
      <w:bookmarkEnd w:id="27"/>
      <w:r w:rsidRPr="002F64A6">
        <w:t>. U.S. Army</w:t>
      </w:r>
      <w:r w:rsidR="00AB571B">
        <w:t xml:space="preserve"> and</w:t>
      </w:r>
      <w:r w:rsidRPr="002F64A6">
        <w:t xml:space="preserve"> U.S. Air Force</w:t>
      </w:r>
      <w:r w:rsidR="00AB571B">
        <w:t xml:space="preserve"> </w:t>
      </w:r>
      <w:r w:rsidRPr="002F64A6">
        <w:t>fluid replacement and</w:t>
      </w:r>
      <w:r w:rsidRPr="002F64A6">
        <w:br/>
        <w:t>work/rest guidelines for warm weather training conditions</w:t>
      </w:r>
    </w:p>
    <w:tbl>
      <w:tblPr>
        <w:tblStyle w:val="LightShading-Accent5"/>
        <w:tblW w:w="4750" w:type="pct"/>
        <w:jc w:val="center"/>
        <w:tblLayout w:type="fixed"/>
        <w:tblLook w:val="04A0" w:firstRow="1" w:lastRow="0" w:firstColumn="1" w:lastColumn="0" w:noHBand="0" w:noVBand="1"/>
      </w:tblPr>
      <w:tblGrid>
        <w:gridCol w:w="1111"/>
        <w:gridCol w:w="1111"/>
        <w:gridCol w:w="741"/>
        <w:gridCol w:w="369"/>
        <w:gridCol w:w="1110"/>
        <w:gridCol w:w="1110"/>
        <w:gridCol w:w="371"/>
        <w:gridCol w:w="739"/>
        <w:gridCol w:w="1110"/>
        <w:gridCol w:w="1111"/>
      </w:tblGrid>
      <w:tr w:rsidR="00F91A87" w:rsidRPr="002F64A6" w14:paraId="12967387" w14:textId="77777777" w:rsidTr="00F21286">
        <w:trPr>
          <w:cnfStyle w:val="100000000000" w:firstRow="1" w:lastRow="0" w:firstColumn="0" w:lastColumn="0" w:oddVBand="0" w:evenVBand="0" w:oddHBand="0"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2274" w:type="dxa"/>
            <w:gridSpan w:val="2"/>
          </w:tcPr>
          <w:p w14:paraId="321F5598" w14:textId="77777777" w:rsidR="009653C6" w:rsidRPr="002F64A6" w:rsidRDefault="009653C6" w:rsidP="009653C6">
            <w:pPr>
              <w:pStyle w:val="TableHeading"/>
              <w:rPr>
                <w:sz w:val="20"/>
                <w:szCs w:val="20"/>
              </w:rPr>
            </w:pPr>
          </w:p>
        </w:tc>
        <w:tc>
          <w:tcPr>
            <w:tcW w:w="2274" w:type="dxa"/>
            <w:gridSpan w:val="3"/>
          </w:tcPr>
          <w:p w14:paraId="67CBFE9B" w14:textId="77777777" w:rsidR="009653C6" w:rsidRPr="002F64A6" w:rsidRDefault="009653C6" w:rsidP="009653C6">
            <w:pPr>
              <w:pStyle w:val="TableHeading"/>
              <w:cnfStyle w:val="100000000000" w:firstRow="1" w:lastRow="0" w:firstColumn="0" w:lastColumn="0" w:oddVBand="0" w:evenVBand="0" w:oddHBand="0" w:evenHBand="0" w:firstRowFirstColumn="0" w:firstRowLastColumn="0" w:lastRowFirstColumn="0" w:lastRowLastColumn="0"/>
              <w:rPr>
                <w:sz w:val="20"/>
                <w:szCs w:val="20"/>
              </w:rPr>
            </w:pPr>
            <w:r w:rsidRPr="002F64A6">
              <w:rPr>
                <w:sz w:val="20"/>
                <w:szCs w:val="20"/>
              </w:rPr>
              <w:t>Easy Work</w:t>
            </w:r>
          </w:p>
          <w:p w14:paraId="256CEBB7" w14:textId="17F3804A" w:rsidR="009653C6" w:rsidRPr="002F64A6" w:rsidRDefault="009653C6" w:rsidP="009653C6">
            <w:pPr>
              <w:pStyle w:val="TableHeading"/>
              <w:cnfStyle w:val="100000000000" w:firstRow="1" w:lastRow="0" w:firstColumn="0" w:lastColumn="0" w:oddVBand="0" w:evenVBand="0" w:oddHBand="0" w:evenHBand="0" w:firstRowFirstColumn="0" w:firstRowLastColumn="0" w:lastRowFirstColumn="0" w:lastRowLastColumn="0"/>
              <w:rPr>
                <w:sz w:val="20"/>
                <w:szCs w:val="20"/>
              </w:rPr>
            </w:pPr>
            <w:r w:rsidRPr="002F64A6">
              <w:rPr>
                <w:sz w:val="20"/>
                <w:szCs w:val="20"/>
              </w:rPr>
              <w:t>(250 W)</w:t>
            </w:r>
          </w:p>
        </w:tc>
        <w:tc>
          <w:tcPr>
            <w:tcW w:w="2274" w:type="dxa"/>
            <w:gridSpan w:val="3"/>
          </w:tcPr>
          <w:p w14:paraId="738D53A6" w14:textId="77777777" w:rsidR="009653C6" w:rsidRPr="002F64A6" w:rsidRDefault="009653C6" w:rsidP="009653C6">
            <w:pPr>
              <w:pStyle w:val="TableHeading"/>
              <w:cnfStyle w:val="100000000000" w:firstRow="1" w:lastRow="0" w:firstColumn="0" w:lastColumn="0" w:oddVBand="0" w:evenVBand="0" w:oddHBand="0" w:evenHBand="0" w:firstRowFirstColumn="0" w:firstRowLastColumn="0" w:lastRowFirstColumn="0" w:lastRowLastColumn="0"/>
              <w:rPr>
                <w:sz w:val="20"/>
                <w:szCs w:val="20"/>
              </w:rPr>
            </w:pPr>
            <w:r w:rsidRPr="002F64A6">
              <w:rPr>
                <w:sz w:val="20"/>
                <w:szCs w:val="20"/>
              </w:rPr>
              <w:t>Moderate Work</w:t>
            </w:r>
          </w:p>
          <w:p w14:paraId="0EBE4A8A" w14:textId="0FCEED10" w:rsidR="009653C6" w:rsidRPr="002F64A6" w:rsidRDefault="009653C6" w:rsidP="009653C6">
            <w:pPr>
              <w:pStyle w:val="TableHeading"/>
              <w:cnfStyle w:val="100000000000" w:firstRow="1" w:lastRow="0" w:firstColumn="0" w:lastColumn="0" w:oddVBand="0" w:evenVBand="0" w:oddHBand="0" w:evenHBand="0" w:firstRowFirstColumn="0" w:firstRowLastColumn="0" w:lastRowFirstColumn="0" w:lastRowLastColumn="0"/>
              <w:rPr>
                <w:sz w:val="20"/>
                <w:szCs w:val="20"/>
              </w:rPr>
            </w:pPr>
            <w:r w:rsidRPr="002F64A6">
              <w:rPr>
                <w:sz w:val="20"/>
                <w:szCs w:val="20"/>
              </w:rPr>
              <w:t>(425 W)</w:t>
            </w:r>
          </w:p>
        </w:tc>
        <w:tc>
          <w:tcPr>
            <w:tcW w:w="2275" w:type="dxa"/>
            <w:gridSpan w:val="2"/>
          </w:tcPr>
          <w:p w14:paraId="106925B4" w14:textId="77777777" w:rsidR="009653C6" w:rsidRPr="002F64A6" w:rsidRDefault="009653C6" w:rsidP="009653C6">
            <w:pPr>
              <w:pStyle w:val="TableHeading"/>
              <w:cnfStyle w:val="100000000000" w:firstRow="1" w:lastRow="0" w:firstColumn="0" w:lastColumn="0" w:oddVBand="0" w:evenVBand="0" w:oddHBand="0" w:evenHBand="0" w:firstRowFirstColumn="0" w:firstRowLastColumn="0" w:lastRowFirstColumn="0" w:lastRowLastColumn="0"/>
              <w:rPr>
                <w:sz w:val="20"/>
                <w:szCs w:val="20"/>
              </w:rPr>
            </w:pPr>
            <w:r w:rsidRPr="002F64A6">
              <w:rPr>
                <w:sz w:val="20"/>
                <w:szCs w:val="20"/>
              </w:rPr>
              <w:t>Hard Work</w:t>
            </w:r>
          </w:p>
          <w:p w14:paraId="33DF24E0" w14:textId="2CD82848" w:rsidR="009653C6" w:rsidRPr="002F64A6" w:rsidRDefault="009653C6" w:rsidP="009653C6">
            <w:pPr>
              <w:pStyle w:val="TableHeading"/>
              <w:cnfStyle w:val="100000000000" w:firstRow="1" w:lastRow="0" w:firstColumn="0" w:lastColumn="0" w:oddVBand="0" w:evenVBand="0" w:oddHBand="0" w:evenHBand="0" w:firstRowFirstColumn="0" w:firstRowLastColumn="0" w:lastRowFirstColumn="0" w:lastRowLastColumn="0"/>
              <w:rPr>
                <w:sz w:val="20"/>
                <w:szCs w:val="20"/>
              </w:rPr>
            </w:pPr>
            <w:r w:rsidRPr="002F64A6">
              <w:rPr>
                <w:sz w:val="20"/>
                <w:szCs w:val="20"/>
              </w:rPr>
              <w:t>(600 W)</w:t>
            </w:r>
          </w:p>
        </w:tc>
      </w:tr>
      <w:tr w:rsidR="008B693E" w:rsidRPr="002F64A6" w14:paraId="696820D8" w14:textId="77777777" w:rsidTr="00F21286">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137" w:type="dxa"/>
            <w:shd w:val="clear" w:color="auto" w:fill="4F81BD"/>
            <w:vAlign w:val="bottom"/>
          </w:tcPr>
          <w:p w14:paraId="30DAC6D4" w14:textId="74121F68" w:rsidR="009653C6" w:rsidRPr="002F64A6" w:rsidRDefault="00093CBA" w:rsidP="008B693E">
            <w:pPr>
              <w:pStyle w:val="TableHeading"/>
              <w:rPr>
                <w:sz w:val="20"/>
                <w:szCs w:val="20"/>
              </w:rPr>
            </w:pPr>
            <w:r w:rsidRPr="002F64A6">
              <w:rPr>
                <w:sz w:val="20"/>
                <w:szCs w:val="20"/>
              </w:rPr>
              <w:t>Heat</w:t>
            </w:r>
            <w:r w:rsidRPr="002F64A6">
              <w:rPr>
                <w:sz w:val="20"/>
                <w:szCs w:val="20"/>
              </w:rPr>
              <w:br/>
            </w:r>
            <w:r w:rsidR="009653C6" w:rsidRPr="002F64A6">
              <w:rPr>
                <w:sz w:val="20"/>
                <w:szCs w:val="20"/>
              </w:rPr>
              <w:t>Category</w:t>
            </w:r>
          </w:p>
        </w:tc>
        <w:tc>
          <w:tcPr>
            <w:tcW w:w="1137" w:type="dxa"/>
            <w:shd w:val="clear" w:color="auto" w:fill="4F81BD"/>
            <w:vAlign w:val="bottom"/>
          </w:tcPr>
          <w:p w14:paraId="540A831D" w14:textId="44EDB51D" w:rsidR="009653C6" w:rsidRPr="002F64A6" w:rsidRDefault="009653C6" w:rsidP="00A31FD1">
            <w:pPr>
              <w:pStyle w:val="TableHeading"/>
              <w:cnfStyle w:val="000000100000" w:firstRow="0" w:lastRow="0" w:firstColumn="0" w:lastColumn="0" w:oddVBand="0" w:evenVBand="0" w:oddHBand="1" w:evenHBand="0" w:firstRowFirstColumn="0" w:firstRowLastColumn="0" w:lastRowFirstColumn="0" w:lastRowLastColumn="0"/>
              <w:rPr>
                <w:sz w:val="20"/>
                <w:szCs w:val="20"/>
              </w:rPr>
            </w:pPr>
            <w:r w:rsidRPr="002F64A6">
              <w:rPr>
                <w:sz w:val="20"/>
                <w:szCs w:val="20"/>
              </w:rPr>
              <w:t>WBGT</w:t>
            </w:r>
            <w:r w:rsidR="00A31FD1" w:rsidRPr="002F64A6">
              <w:rPr>
                <w:sz w:val="20"/>
                <w:szCs w:val="20"/>
              </w:rPr>
              <w:t xml:space="preserve"> </w:t>
            </w:r>
            <w:r w:rsidRPr="002F64A6">
              <w:rPr>
                <w:sz w:val="20"/>
                <w:szCs w:val="20"/>
              </w:rPr>
              <w:t>Index (°F)</w:t>
            </w:r>
          </w:p>
        </w:tc>
        <w:tc>
          <w:tcPr>
            <w:tcW w:w="1137" w:type="dxa"/>
            <w:gridSpan w:val="2"/>
            <w:shd w:val="clear" w:color="auto" w:fill="4F81BD"/>
            <w:vAlign w:val="bottom"/>
          </w:tcPr>
          <w:p w14:paraId="3254D00B" w14:textId="27F6AADB" w:rsidR="009653C6" w:rsidRPr="002F64A6" w:rsidRDefault="009653C6" w:rsidP="00A31FD1">
            <w:pPr>
              <w:pStyle w:val="TableHeading"/>
              <w:cnfStyle w:val="000000100000" w:firstRow="0" w:lastRow="0" w:firstColumn="0" w:lastColumn="0" w:oddVBand="0" w:evenVBand="0" w:oddHBand="1" w:evenHBand="0" w:firstRowFirstColumn="0" w:firstRowLastColumn="0" w:lastRowFirstColumn="0" w:lastRowLastColumn="0"/>
              <w:rPr>
                <w:sz w:val="20"/>
                <w:szCs w:val="20"/>
                <w:vertAlign w:val="superscript"/>
              </w:rPr>
            </w:pPr>
            <w:r w:rsidRPr="002F64A6">
              <w:rPr>
                <w:sz w:val="20"/>
                <w:szCs w:val="20"/>
              </w:rPr>
              <w:t>Work</w:t>
            </w:r>
            <w:r w:rsidR="008B693E" w:rsidRPr="002F64A6">
              <w:rPr>
                <w:sz w:val="20"/>
                <w:szCs w:val="20"/>
              </w:rPr>
              <w:t xml:space="preserve"> </w:t>
            </w:r>
            <w:r w:rsidRPr="002F64A6">
              <w:rPr>
                <w:sz w:val="20"/>
                <w:szCs w:val="20"/>
              </w:rPr>
              <w:t>/</w:t>
            </w:r>
            <w:r w:rsidR="008B693E" w:rsidRPr="002F64A6">
              <w:rPr>
                <w:sz w:val="20"/>
                <w:szCs w:val="20"/>
              </w:rPr>
              <w:t xml:space="preserve"> </w:t>
            </w:r>
            <w:r w:rsidRPr="002F64A6">
              <w:rPr>
                <w:sz w:val="20"/>
                <w:szCs w:val="20"/>
              </w:rPr>
              <w:t>Rest</w:t>
            </w:r>
            <w:r w:rsidR="00A31FD1" w:rsidRPr="002F64A6">
              <w:rPr>
                <w:sz w:val="20"/>
                <w:szCs w:val="20"/>
              </w:rPr>
              <w:t xml:space="preserve"> (minutes)</w:t>
            </w:r>
          </w:p>
        </w:tc>
        <w:tc>
          <w:tcPr>
            <w:tcW w:w="1137" w:type="dxa"/>
            <w:shd w:val="clear" w:color="auto" w:fill="4F81BD"/>
            <w:vAlign w:val="bottom"/>
          </w:tcPr>
          <w:p w14:paraId="7ABE0E09" w14:textId="649F6913" w:rsidR="009653C6" w:rsidRPr="002F64A6" w:rsidRDefault="009653C6" w:rsidP="00A31FD1">
            <w:pPr>
              <w:pStyle w:val="TableHeading"/>
              <w:cnfStyle w:val="000000100000" w:firstRow="0" w:lastRow="0" w:firstColumn="0" w:lastColumn="0" w:oddVBand="0" w:evenVBand="0" w:oddHBand="1" w:evenHBand="0" w:firstRowFirstColumn="0" w:firstRowLastColumn="0" w:lastRowFirstColumn="0" w:lastRowLastColumn="0"/>
              <w:rPr>
                <w:sz w:val="20"/>
                <w:szCs w:val="20"/>
              </w:rPr>
            </w:pPr>
            <w:r w:rsidRPr="002F64A6">
              <w:rPr>
                <w:sz w:val="20"/>
                <w:szCs w:val="20"/>
              </w:rPr>
              <w:t>Water</w:t>
            </w:r>
            <w:r w:rsidR="00A31FD1" w:rsidRPr="002F64A6">
              <w:rPr>
                <w:sz w:val="20"/>
                <w:szCs w:val="20"/>
              </w:rPr>
              <w:t xml:space="preserve"> </w:t>
            </w:r>
            <w:r w:rsidRPr="002F64A6">
              <w:rPr>
                <w:sz w:val="20"/>
                <w:szCs w:val="20"/>
              </w:rPr>
              <w:t>Intake (qt/hr)</w:t>
            </w:r>
          </w:p>
        </w:tc>
        <w:tc>
          <w:tcPr>
            <w:tcW w:w="1137" w:type="dxa"/>
            <w:shd w:val="clear" w:color="auto" w:fill="4F81BD"/>
            <w:vAlign w:val="bottom"/>
          </w:tcPr>
          <w:p w14:paraId="5B0DEC84" w14:textId="77777777" w:rsidR="009653C6" w:rsidRPr="002F64A6" w:rsidRDefault="009653C6" w:rsidP="008B693E">
            <w:pPr>
              <w:pStyle w:val="TableHeading"/>
              <w:cnfStyle w:val="000000100000" w:firstRow="0" w:lastRow="0" w:firstColumn="0" w:lastColumn="0" w:oddVBand="0" w:evenVBand="0" w:oddHBand="1" w:evenHBand="0" w:firstRowFirstColumn="0" w:firstRowLastColumn="0" w:lastRowFirstColumn="0" w:lastRowLastColumn="0"/>
              <w:rPr>
                <w:sz w:val="20"/>
                <w:szCs w:val="20"/>
              </w:rPr>
            </w:pPr>
            <w:r w:rsidRPr="002F64A6">
              <w:rPr>
                <w:sz w:val="20"/>
                <w:szCs w:val="20"/>
              </w:rPr>
              <w:t>Work</w:t>
            </w:r>
            <w:r w:rsidR="008B693E" w:rsidRPr="002F64A6">
              <w:rPr>
                <w:sz w:val="20"/>
                <w:szCs w:val="20"/>
              </w:rPr>
              <w:t xml:space="preserve"> </w:t>
            </w:r>
            <w:r w:rsidRPr="002F64A6">
              <w:rPr>
                <w:sz w:val="20"/>
                <w:szCs w:val="20"/>
              </w:rPr>
              <w:t>/</w:t>
            </w:r>
            <w:r w:rsidR="008B693E" w:rsidRPr="002F64A6">
              <w:rPr>
                <w:sz w:val="20"/>
                <w:szCs w:val="20"/>
              </w:rPr>
              <w:t xml:space="preserve"> </w:t>
            </w:r>
            <w:r w:rsidRPr="002F64A6">
              <w:rPr>
                <w:sz w:val="20"/>
                <w:szCs w:val="20"/>
              </w:rPr>
              <w:t>Rest</w:t>
            </w:r>
          </w:p>
          <w:p w14:paraId="682D5984" w14:textId="403757B9" w:rsidR="00521BB8" w:rsidRPr="002F64A6" w:rsidRDefault="00521BB8" w:rsidP="008B693E">
            <w:pPr>
              <w:pStyle w:val="TableHeading"/>
              <w:cnfStyle w:val="000000100000" w:firstRow="0" w:lastRow="0" w:firstColumn="0" w:lastColumn="0" w:oddVBand="0" w:evenVBand="0" w:oddHBand="1" w:evenHBand="0" w:firstRowFirstColumn="0" w:firstRowLastColumn="0" w:lastRowFirstColumn="0" w:lastRowLastColumn="0"/>
              <w:rPr>
                <w:sz w:val="20"/>
                <w:szCs w:val="20"/>
              </w:rPr>
            </w:pPr>
            <w:r w:rsidRPr="002F64A6">
              <w:rPr>
                <w:sz w:val="20"/>
                <w:szCs w:val="20"/>
              </w:rPr>
              <w:t>(minutes)</w:t>
            </w:r>
          </w:p>
        </w:tc>
        <w:tc>
          <w:tcPr>
            <w:tcW w:w="1137" w:type="dxa"/>
            <w:gridSpan w:val="2"/>
            <w:shd w:val="clear" w:color="auto" w:fill="4F81BD"/>
            <w:vAlign w:val="bottom"/>
          </w:tcPr>
          <w:p w14:paraId="2ED00CAC" w14:textId="0B58FBF4" w:rsidR="009653C6" w:rsidRPr="002F64A6" w:rsidRDefault="009653C6" w:rsidP="008B693E">
            <w:pPr>
              <w:pStyle w:val="TableHeading"/>
              <w:cnfStyle w:val="000000100000" w:firstRow="0" w:lastRow="0" w:firstColumn="0" w:lastColumn="0" w:oddVBand="0" w:evenVBand="0" w:oddHBand="1" w:evenHBand="0" w:firstRowFirstColumn="0" w:firstRowLastColumn="0" w:lastRowFirstColumn="0" w:lastRowLastColumn="0"/>
              <w:rPr>
                <w:sz w:val="20"/>
                <w:szCs w:val="20"/>
              </w:rPr>
            </w:pPr>
            <w:r w:rsidRPr="002F64A6">
              <w:rPr>
                <w:sz w:val="20"/>
                <w:szCs w:val="20"/>
              </w:rPr>
              <w:t>Water Intake (qt/hr)</w:t>
            </w:r>
          </w:p>
        </w:tc>
        <w:tc>
          <w:tcPr>
            <w:tcW w:w="1137" w:type="dxa"/>
            <w:shd w:val="clear" w:color="auto" w:fill="4F81BD"/>
            <w:vAlign w:val="bottom"/>
          </w:tcPr>
          <w:p w14:paraId="7E82F5A7" w14:textId="6DB5C66F" w:rsidR="009653C6" w:rsidRPr="002F64A6" w:rsidRDefault="009653C6" w:rsidP="008B693E">
            <w:pPr>
              <w:pStyle w:val="TableHeading"/>
              <w:cnfStyle w:val="000000100000" w:firstRow="0" w:lastRow="0" w:firstColumn="0" w:lastColumn="0" w:oddVBand="0" w:evenVBand="0" w:oddHBand="1" w:evenHBand="0" w:firstRowFirstColumn="0" w:firstRowLastColumn="0" w:lastRowFirstColumn="0" w:lastRowLastColumn="0"/>
              <w:rPr>
                <w:sz w:val="20"/>
                <w:szCs w:val="20"/>
              </w:rPr>
            </w:pPr>
            <w:r w:rsidRPr="002F64A6">
              <w:rPr>
                <w:sz w:val="20"/>
                <w:szCs w:val="20"/>
              </w:rPr>
              <w:t>Work</w:t>
            </w:r>
            <w:r w:rsidR="008B693E" w:rsidRPr="002F64A6">
              <w:rPr>
                <w:sz w:val="20"/>
                <w:szCs w:val="20"/>
              </w:rPr>
              <w:t xml:space="preserve"> </w:t>
            </w:r>
            <w:r w:rsidRPr="002F64A6">
              <w:rPr>
                <w:sz w:val="20"/>
                <w:szCs w:val="20"/>
              </w:rPr>
              <w:t>/</w:t>
            </w:r>
            <w:r w:rsidR="008B693E" w:rsidRPr="002F64A6">
              <w:rPr>
                <w:sz w:val="20"/>
                <w:szCs w:val="20"/>
              </w:rPr>
              <w:t xml:space="preserve"> </w:t>
            </w:r>
            <w:r w:rsidRPr="002F64A6">
              <w:rPr>
                <w:sz w:val="20"/>
                <w:szCs w:val="20"/>
              </w:rPr>
              <w:t>Rest</w:t>
            </w:r>
            <w:r w:rsidR="008F350C" w:rsidRPr="002F64A6">
              <w:rPr>
                <w:sz w:val="20"/>
                <w:szCs w:val="20"/>
              </w:rPr>
              <w:t xml:space="preserve"> (minutes)</w:t>
            </w:r>
          </w:p>
        </w:tc>
        <w:tc>
          <w:tcPr>
            <w:tcW w:w="1138" w:type="dxa"/>
            <w:shd w:val="clear" w:color="auto" w:fill="4F81BD"/>
            <w:vAlign w:val="bottom"/>
          </w:tcPr>
          <w:p w14:paraId="0116F957" w14:textId="29AE696B" w:rsidR="009653C6" w:rsidRPr="002F64A6" w:rsidRDefault="009653C6" w:rsidP="008B693E">
            <w:pPr>
              <w:pStyle w:val="TableHeading"/>
              <w:cnfStyle w:val="000000100000" w:firstRow="0" w:lastRow="0" w:firstColumn="0" w:lastColumn="0" w:oddVBand="0" w:evenVBand="0" w:oddHBand="1" w:evenHBand="0" w:firstRowFirstColumn="0" w:firstRowLastColumn="0" w:lastRowFirstColumn="0" w:lastRowLastColumn="0"/>
              <w:rPr>
                <w:sz w:val="20"/>
                <w:szCs w:val="20"/>
              </w:rPr>
            </w:pPr>
            <w:r w:rsidRPr="002F64A6">
              <w:rPr>
                <w:sz w:val="20"/>
                <w:szCs w:val="20"/>
              </w:rPr>
              <w:t>Water Intake (at/hr)</w:t>
            </w:r>
          </w:p>
        </w:tc>
      </w:tr>
      <w:tr w:rsidR="00F91A87" w:rsidRPr="002F64A6" w14:paraId="0C46E4D3" w14:textId="77777777" w:rsidTr="00F21286">
        <w:trPr>
          <w:cnfStyle w:val="000000010000" w:firstRow="0" w:lastRow="0" w:firstColumn="0" w:lastColumn="0" w:oddVBand="0" w:evenVBand="0" w:oddHBand="0" w:evenHBand="1"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137" w:type="dxa"/>
            <w:vAlign w:val="bottom"/>
          </w:tcPr>
          <w:p w14:paraId="5AC0FF0C" w14:textId="413FE8FA" w:rsidR="009653C6" w:rsidRPr="002F64A6" w:rsidRDefault="009653C6" w:rsidP="009653C6">
            <w:pPr>
              <w:pStyle w:val="TableCenter"/>
              <w:rPr>
                <w:sz w:val="20"/>
                <w:szCs w:val="20"/>
              </w:rPr>
            </w:pPr>
            <w:r w:rsidRPr="002F64A6">
              <w:rPr>
                <w:sz w:val="20"/>
                <w:szCs w:val="20"/>
              </w:rPr>
              <w:t>1</w:t>
            </w:r>
          </w:p>
        </w:tc>
        <w:tc>
          <w:tcPr>
            <w:tcW w:w="1137" w:type="dxa"/>
            <w:vAlign w:val="bottom"/>
          </w:tcPr>
          <w:p w14:paraId="390548F9" w14:textId="79A8A4E3" w:rsidR="009653C6" w:rsidRPr="002F64A6" w:rsidRDefault="009653C6" w:rsidP="009653C6">
            <w:pPr>
              <w:pStyle w:val="TableCenter"/>
              <w:cnfStyle w:val="000000010000" w:firstRow="0" w:lastRow="0" w:firstColumn="0" w:lastColumn="0" w:oddVBand="0" w:evenVBand="0" w:oddHBand="0" w:evenHBand="1" w:firstRowFirstColumn="0" w:firstRowLastColumn="0" w:lastRowFirstColumn="0" w:lastRowLastColumn="0"/>
              <w:rPr>
                <w:sz w:val="20"/>
                <w:szCs w:val="20"/>
              </w:rPr>
            </w:pPr>
            <w:r w:rsidRPr="002F64A6">
              <w:rPr>
                <w:sz w:val="20"/>
                <w:szCs w:val="20"/>
              </w:rPr>
              <w:t>78 – 81.9</w:t>
            </w:r>
          </w:p>
        </w:tc>
        <w:tc>
          <w:tcPr>
            <w:tcW w:w="1137" w:type="dxa"/>
            <w:gridSpan w:val="2"/>
            <w:vAlign w:val="bottom"/>
          </w:tcPr>
          <w:p w14:paraId="1ACD5B97" w14:textId="4FCFC57C" w:rsidR="009653C6" w:rsidRPr="002F64A6" w:rsidRDefault="009653C6" w:rsidP="00A31FD1">
            <w:pPr>
              <w:pStyle w:val="TableCenter"/>
              <w:cnfStyle w:val="000000010000" w:firstRow="0" w:lastRow="0" w:firstColumn="0" w:lastColumn="0" w:oddVBand="0" w:evenVBand="0" w:oddHBand="0" w:evenHBand="1" w:firstRowFirstColumn="0" w:firstRowLastColumn="0" w:lastRowFirstColumn="0" w:lastRowLastColumn="0"/>
              <w:rPr>
                <w:sz w:val="20"/>
                <w:szCs w:val="20"/>
                <w:vertAlign w:val="superscript"/>
              </w:rPr>
            </w:pPr>
            <w:r w:rsidRPr="002F64A6">
              <w:rPr>
                <w:sz w:val="20"/>
                <w:szCs w:val="20"/>
              </w:rPr>
              <w:t>NL</w:t>
            </w:r>
            <w:r w:rsidR="00A31FD1" w:rsidRPr="002F64A6">
              <w:rPr>
                <w:sz w:val="20"/>
                <w:szCs w:val="20"/>
              </w:rPr>
              <w:t>*</w:t>
            </w:r>
          </w:p>
        </w:tc>
        <w:tc>
          <w:tcPr>
            <w:tcW w:w="1137" w:type="dxa"/>
            <w:vAlign w:val="bottom"/>
          </w:tcPr>
          <w:p w14:paraId="533F6F3E" w14:textId="7E95259E" w:rsidR="009653C6" w:rsidRPr="002F64A6" w:rsidRDefault="00917A48" w:rsidP="009653C6">
            <w:pPr>
              <w:pStyle w:val="TableCenter"/>
              <w:cnfStyle w:val="000000010000" w:firstRow="0" w:lastRow="0" w:firstColumn="0" w:lastColumn="0" w:oddVBand="0" w:evenVBand="0" w:oddHBand="0" w:evenHBand="1" w:firstRowFirstColumn="0" w:firstRowLastColumn="0" w:lastRowFirstColumn="0" w:lastRowLastColumn="0"/>
              <w:rPr>
                <w:sz w:val="20"/>
                <w:szCs w:val="20"/>
              </w:rPr>
            </w:pPr>
            <w:r w:rsidRPr="002F64A6">
              <w:rPr>
                <w:sz w:val="20"/>
                <w:szCs w:val="20"/>
              </w:rPr>
              <w:t>0.5</w:t>
            </w:r>
          </w:p>
        </w:tc>
        <w:tc>
          <w:tcPr>
            <w:tcW w:w="1137" w:type="dxa"/>
            <w:vAlign w:val="bottom"/>
          </w:tcPr>
          <w:p w14:paraId="439B90FD" w14:textId="7A8DA795" w:rsidR="009653C6" w:rsidRPr="002F64A6" w:rsidRDefault="009653C6" w:rsidP="009653C6">
            <w:pPr>
              <w:pStyle w:val="TableCenter"/>
              <w:cnfStyle w:val="000000010000" w:firstRow="0" w:lastRow="0" w:firstColumn="0" w:lastColumn="0" w:oddVBand="0" w:evenVBand="0" w:oddHBand="0" w:evenHBand="1" w:firstRowFirstColumn="0" w:firstRowLastColumn="0" w:lastRowFirstColumn="0" w:lastRowLastColumn="0"/>
              <w:rPr>
                <w:sz w:val="20"/>
                <w:szCs w:val="20"/>
              </w:rPr>
            </w:pPr>
            <w:r w:rsidRPr="002F64A6">
              <w:rPr>
                <w:sz w:val="20"/>
                <w:szCs w:val="20"/>
              </w:rPr>
              <w:t>NL</w:t>
            </w:r>
          </w:p>
        </w:tc>
        <w:tc>
          <w:tcPr>
            <w:tcW w:w="1137" w:type="dxa"/>
            <w:gridSpan w:val="2"/>
            <w:vAlign w:val="bottom"/>
          </w:tcPr>
          <w:p w14:paraId="4216103A" w14:textId="4F56015E" w:rsidR="009653C6" w:rsidRPr="002F64A6" w:rsidRDefault="00917A48" w:rsidP="009653C6">
            <w:pPr>
              <w:pStyle w:val="TableCenter"/>
              <w:cnfStyle w:val="000000010000" w:firstRow="0" w:lastRow="0" w:firstColumn="0" w:lastColumn="0" w:oddVBand="0" w:evenVBand="0" w:oddHBand="0" w:evenHBand="1" w:firstRowFirstColumn="0" w:firstRowLastColumn="0" w:lastRowFirstColumn="0" w:lastRowLastColumn="0"/>
              <w:rPr>
                <w:sz w:val="20"/>
                <w:szCs w:val="20"/>
              </w:rPr>
            </w:pPr>
            <w:r w:rsidRPr="002F64A6">
              <w:rPr>
                <w:sz w:val="20"/>
                <w:szCs w:val="20"/>
              </w:rPr>
              <w:t>0.75</w:t>
            </w:r>
          </w:p>
        </w:tc>
        <w:tc>
          <w:tcPr>
            <w:tcW w:w="1137" w:type="dxa"/>
            <w:vAlign w:val="bottom"/>
          </w:tcPr>
          <w:p w14:paraId="63796480" w14:textId="3F93A9AD" w:rsidR="009653C6" w:rsidRPr="002F64A6" w:rsidRDefault="008F350C" w:rsidP="008F350C">
            <w:pPr>
              <w:pStyle w:val="TableCenter"/>
              <w:cnfStyle w:val="000000010000" w:firstRow="0" w:lastRow="0" w:firstColumn="0" w:lastColumn="0" w:oddVBand="0" w:evenVBand="0" w:oddHBand="0" w:evenHBand="1" w:firstRowFirstColumn="0" w:firstRowLastColumn="0" w:lastRowFirstColumn="0" w:lastRowLastColumn="0"/>
              <w:rPr>
                <w:sz w:val="20"/>
                <w:szCs w:val="20"/>
              </w:rPr>
            </w:pPr>
            <w:r w:rsidRPr="002F64A6">
              <w:rPr>
                <w:sz w:val="20"/>
                <w:szCs w:val="20"/>
              </w:rPr>
              <w:t>40/20</w:t>
            </w:r>
            <w:r w:rsidR="00A31FD1" w:rsidRPr="002F64A6">
              <w:rPr>
                <w:sz w:val="20"/>
                <w:szCs w:val="20"/>
              </w:rPr>
              <w:t xml:space="preserve"> (70)**</w:t>
            </w:r>
          </w:p>
        </w:tc>
        <w:tc>
          <w:tcPr>
            <w:tcW w:w="1138" w:type="dxa"/>
            <w:vAlign w:val="bottom"/>
          </w:tcPr>
          <w:p w14:paraId="43115DC3" w14:textId="3D2549D4" w:rsidR="009653C6" w:rsidRPr="002F64A6" w:rsidRDefault="003A64D9" w:rsidP="009653C6">
            <w:pPr>
              <w:pStyle w:val="TableCenter"/>
              <w:cnfStyle w:val="000000010000" w:firstRow="0" w:lastRow="0" w:firstColumn="0" w:lastColumn="0" w:oddVBand="0" w:evenVBand="0" w:oddHBand="0" w:evenHBand="1" w:firstRowFirstColumn="0" w:firstRowLastColumn="0" w:lastRowFirstColumn="0" w:lastRowLastColumn="0"/>
              <w:rPr>
                <w:sz w:val="20"/>
                <w:szCs w:val="20"/>
              </w:rPr>
            </w:pPr>
            <w:r w:rsidRPr="002F64A6">
              <w:rPr>
                <w:sz w:val="20"/>
                <w:szCs w:val="20"/>
              </w:rPr>
              <w:t>0.75</w:t>
            </w:r>
            <w:r w:rsidR="00A31FD1" w:rsidRPr="002F64A6">
              <w:rPr>
                <w:sz w:val="20"/>
                <w:szCs w:val="20"/>
              </w:rPr>
              <w:t xml:space="preserve"> (1)**</w:t>
            </w:r>
          </w:p>
        </w:tc>
      </w:tr>
      <w:tr w:rsidR="00F91A87" w:rsidRPr="002F64A6" w14:paraId="46E05AA3" w14:textId="77777777" w:rsidTr="00F21286">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137" w:type="dxa"/>
            <w:vAlign w:val="bottom"/>
          </w:tcPr>
          <w:p w14:paraId="16C5241C" w14:textId="4BD999DC" w:rsidR="009653C6" w:rsidRPr="002F64A6" w:rsidRDefault="009653C6" w:rsidP="009653C6">
            <w:pPr>
              <w:pStyle w:val="TableCenter"/>
              <w:rPr>
                <w:sz w:val="20"/>
                <w:szCs w:val="20"/>
              </w:rPr>
            </w:pPr>
            <w:r w:rsidRPr="002F64A6">
              <w:rPr>
                <w:sz w:val="20"/>
                <w:szCs w:val="20"/>
              </w:rPr>
              <w:t>2 (green)</w:t>
            </w:r>
          </w:p>
        </w:tc>
        <w:tc>
          <w:tcPr>
            <w:tcW w:w="1137" w:type="dxa"/>
            <w:vAlign w:val="bottom"/>
          </w:tcPr>
          <w:p w14:paraId="2406F527" w14:textId="55CA9CF0" w:rsidR="009653C6" w:rsidRPr="002F64A6" w:rsidRDefault="009653C6" w:rsidP="009653C6">
            <w:pPr>
              <w:pStyle w:val="TableCenter"/>
              <w:cnfStyle w:val="000000100000" w:firstRow="0" w:lastRow="0" w:firstColumn="0" w:lastColumn="0" w:oddVBand="0" w:evenVBand="0" w:oddHBand="1" w:evenHBand="0" w:firstRowFirstColumn="0" w:firstRowLastColumn="0" w:lastRowFirstColumn="0" w:lastRowLastColumn="0"/>
              <w:rPr>
                <w:sz w:val="20"/>
                <w:szCs w:val="20"/>
              </w:rPr>
            </w:pPr>
            <w:r w:rsidRPr="002F64A6">
              <w:rPr>
                <w:sz w:val="20"/>
                <w:szCs w:val="20"/>
              </w:rPr>
              <w:t>82 – 84.9</w:t>
            </w:r>
          </w:p>
        </w:tc>
        <w:tc>
          <w:tcPr>
            <w:tcW w:w="1137" w:type="dxa"/>
            <w:gridSpan w:val="2"/>
            <w:vAlign w:val="bottom"/>
          </w:tcPr>
          <w:p w14:paraId="39F7AEBD" w14:textId="3BC8404D" w:rsidR="009653C6" w:rsidRPr="002F64A6" w:rsidRDefault="009653C6" w:rsidP="009653C6">
            <w:pPr>
              <w:pStyle w:val="TableCenter"/>
              <w:cnfStyle w:val="000000100000" w:firstRow="0" w:lastRow="0" w:firstColumn="0" w:lastColumn="0" w:oddVBand="0" w:evenVBand="0" w:oddHBand="1" w:evenHBand="0" w:firstRowFirstColumn="0" w:firstRowLastColumn="0" w:lastRowFirstColumn="0" w:lastRowLastColumn="0"/>
              <w:rPr>
                <w:sz w:val="20"/>
                <w:szCs w:val="20"/>
              </w:rPr>
            </w:pPr>
            <w:r w:rsidRPr="002F64A6">
              <w:rPr>
                <w:sz w:val="20"/>
                <w:szCs w:val="20"/>
              </w:rPr>
              <w:t>NL</w:t>
            </w:r>
          </w:p>
        </w:tc>
        <w:tc>
          <w:tcPr>
            <w:tcW w:w="1137" w:type="dxa"/>
            <w:vAlign w:val="bottom"/>
          </w:tcPr>
          <w:p w14:paraId="6DF74CC4" w14:textId="1F5D35FF" w:rsidR="009653C6" w:rsidRPr="002F64A6" w:rsidRDefault="00917A48" w:rsidP="009653C6">
            <w:pPr>
              <w:pStyle w:val="TableCenter"/>
              <w:cnfStyle w:val="000000100000" w:firstRow="0" w:lastRow="0" w:firstColumn="0" w:lastColumn="0" w:oddVBand="0" w:evenVBand="0" w:oddHBand="1" w:evenHBand="0" w:firstRowFirstColumn="0" w:firstRowLastColumn="0" w:lastRowFirstColumn="0" w:lastRowLastColumn="0"/>
              <w:rPr>
                <w:sz w:val="20"/>
                <w:szCs w:val="20"/>
              </w:rPr>
            </w:pPr>
            <w:r w:rsidRPr="002F64A6">
              <w:rPr>
                <w:sz w:val="20"/>
                <w:szCs w:val="20"/>
              </w:rPr>
              <w:t>0.5</w:t>
            </w:r>
          </w:p>
        </w:tc>
        <w:tc>
          <w:tcPr>
            <w:tcW w:w="1137" w:type="dxa"/>
            <w:vAlign w:val="bottom"/>
          </w:tcPr>
          <w:p w14:paraId="4348FFAD" w14:textId="19A37E80" w:rsidR="009653C6" w:rsidRPr="002F64A6" w:rsidRDefault="008F350C" w:rsidP="008F350C">
            <w:pPr>
              <w:pStyle w:val="TableCenter"/>
              <w:cnfStyle w:val="000000100000" w:firstRow="0" w:lastRow="0" w:firstColumn="0" w:lastColumn="0" w:oddVBand="0" w:evenVBand="0" w:oddHBand="1" w:evenHBand="0" w:firstRowFirstColumn="0" w:firstRowLastColumn="0" w:lastRowFirstColumn="0" w:lastRowLastColumn="0"/>
              <w:rPr>
                <w:sz w:val="20"/>
                <w:szCs w:val="20"/>
              </w:rPr>
            </w:pPr>
            <w:r w:rsidRPr="002F64A6">
              <w:rPr>
                <w:sz w:val="20"/>
                <w:szCs w:val="20"/>
              </w:rPr>
              <w:t>50/10</w:t>
            </w:r>
            <w:r w:rsidR="00A31FD1" w:rsidRPr="002F64A6">
              <w:rPr>
                <w:sz w:val="20"/>
                <w:szCs w:val="20"/>
              </w:rPr>
              <w:t xml:space="preserve"> (150)**</w:t>
            </w:r>
          </w:p>
        </w:tc>
        <w:tc>
          <w:tcPr>
            <w:tcW w:w="1137" w:type="dxa"/>
            <w:gridSpan w:val="2"/>
            <w:vAlign w:val="bottom"/>
          </w:tcPr>
          <w:p w14:paraId="62856F14" w14:textId="0BA1B031" w:rsidR="009653C6" w:rsidRPr="002F64A6" w:rsidRDefault="00917A48" w:rsidP="009653C6">
            <w:pPr>
              <w:pStyle w:val="TableCenter"/>
              <w:cnfStyle w:val="000000100000" w:firstRow="0" w:lastRow="0" w:firstColumn="0" w:lastColumn="0" w:oddVBand="0" w:evenVBand="0" w:oddHBand="1" w:evenHBand="0" w:firstRowFirstColumn="0" w:firstRowLastColumn="0" w:lastRowFirstColumn="0" w:lastRowLastColumn="0"/>
              <w:rPr>
                <w:sz w:val="20"/>
                <w:szCs w:val="20"/>
              </w:rPr>
            </w:pPr>
            <w:r w:rsidRPr="002F64A6">
              <w:rPr>
                <w:sz w:val="20"/>
                <w:szCs w:val="20"/>
              </w:rPr>
              <w:t>0.75</w:t>
            </w:r>
            <w:r w:rsidR="00A31FD1" w:rsidRPr="002F64A6">
              <w:rPr>
                <w:sz w:val="20"/>
                <w:szCs w:val="20"/>
              </w:rPr>
              <w:t xml:space="preserve"> (1)**</w:t>
            </w:r>
          </w:p>
        </w:tc>
        <w:tc>
          <w:tcPr>
            <w:tcW w:w="1137" w:type="dxa"/>
            <w:vAlign w:val="bottom"/>
          </w:tcPr>
          <w:p w14:paraId="34034D4D" w14:textId="39F35AD7" w:rsidR="009653C6" w:rsidRPr="002F64A6" w:rsidRDefault="009653C6" w:rsidP="008F350C">
            <w:pPr>
              <w:pStyle w:val="TableCenter"/>
              <w:cnfStyle w:val="000000100000" w:firstRow="0" w:lastRow="0" w:firstColumn="0" w:lastColumn="0" w:oddVBand="0" w:evenVBand="0" w:oddHBand="1" w:evenHBand="0" w:firstRowFirstColumn="0" w:firstRowLastColumn="0" w:lastRowFirstColumn="0" w:lastRowLastColumn="0"/>
              <w:rPr>
                <w:sz w:val="20"/>
                <w:szCs w:val="20"/>
              </w:rPr>
            </w:pPr>
            <w:r w:rsidRPr="002F64A6">
              <w:rPr>
                <w:sz w:val="20"/>
                <w:szCs w:val="20"/>
              </w:rPr>
              <w:t>30/30</w:t>
            </w:r>
            <w:r w:rsidR="00A31FD1" w:rsidRPr="002F64A6">
              <w:rPr>
                <w:sz w:val="20"/>
                <w:szCs w:val="20"/>
              </w:rPr>
              <w:t xml:space="preserve"> (65)**</w:t>
            </w:r>
          </w:p>
        </w:tc>
        <w:tc>
          <w:tcPr>
            <w:tcW w:w="1138" w:type="dxa"/>
            <w:vAlign w:val="bottom"/>
          </w:tcPr>
          <w:p w14:paraId="7DB94030" w14:textId="782468E8" w:rsidR="009653C6" w:rsidRPr="002F64A6" w:rsidRDefault="009653C6" w:rsidP="009653C6">
            <w:pPr>
              <w:pStyle w:val="TableCenter"/>
              <w:cnfStyle w:val="000000100000" w:firstRow="0" w:lastRow="0" w:firstColumn="0" w:lastColumn="0" w:oddVBand="0" w:evenVBand="0" w:oddHBand="1" w:evenHBand="0" w:firstRowFirstColumn="0" w:firstRowLastColumn="0" w:lastRowFirstColumn="0" w:lastRowLastColumn="0"/>
              <w:rPr>
                <w:sz w:val="20"/>
                <w:szCs w:val="20"/>
              </w:rPr>
            </w:pPr>
            <w:r w:rsidRPr="002F64A6">
              <w:rPr>
                <w:sz w:val="20"/>
                <w:szCs w:val="20"/>
              </w:rPr>
              <w:t>1</w:t>
            </w:r>
            <w:r w:rsidR="00A31FD1" w:rsidRPr="002F64A6">
              <w:rPr>
                <w:sz w:val="20"/>
                <w:szCs w:val="20"/>
              </w:rPr>
              <w:t xml:space="preserve"> (1.25)**</w:t>
            </w:r>
          </w:p>
        </w:tc>
      </w:tr>
      <w:tr w:rsidR="00F91A87" w:rsidRPr="002F64A6" w14:paraId="7CAC2D27" w14:textId="77777777" w:rsidTr="00F21286">
        <w:trPr>
          <w:cnfStyle w:val="000000010000" w:firstRow="0" w:lastRow="0" w:firstColumn="0" w:lastColumn="0" w:oddVBand="0" w:evenVBand="0" w:oddHBand="0" w:evenHBand="1"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137" w:type="dxa"/>
            <w:vAlign w:val="bottom"/>
          </w:tcPr>
          <w:p w14:paraId="2801F9F4" w14:textId="75F05AFF" w:rsidR="009653C6" w:rsidRPr="002F64A6" w:rsidRDefault="009653C6" w:rsidP="009653C6">
            <w:pPr>
              <w:pStyle w:val="TableCenter"/>
              <w:rPr>
                <w:sz w:val="20"/>
                <w:szCs w:val="20"/>
              </w:rPr>
            </w:pPr>
            <w:r w:rsidRPr="002F64A6">
              <w:rPr>
                <w:sz w:val="20"/>
                <w:szCs w:val="20"/>
              </w:rPr>
              <w:t>3 (yellow)</w:t>
            </w:r>
          </w:p>
        </w:tc>
        <w:tc>
          <w:tcPr>
            <w:tcW w:w="1137" w:type="dxa"/>
            <w:vAlign w:val="bottom"/>
          </w:tcPr>
          <w:p w14:paraId="6EDEDE34" w14:textId="58F3826C" w:rsidR="009653C6" w:rsidRPr="002F64A6" w:rsidRDefault="009653C6" w:rsidP="009653C6">
            <w:pPr>
              <w:pStyle w:val="TableCenter"/>
              <w:cnfStyle w:val="000000010000" w:firstRow="0" w:lastRow="0" w:firstColumn="0" w:lastColumn="0" w:oddVBand="0" w:evenVBand="0" w:oddHBand="0" w:evenHBand="1" w:firstRowFirstColumn="0" w:firstRowLastColumn="0" w:lastRowFirstColumn="0" w:lastRowLastColumn="0"/>
              <w:rPr>
                <w:sz w:val="20"/>
                <w:szCs w:val="20"/>
              </w:rPr>
            </w:pPr>
            <w:r w:rsidRPr="002F64A6">
              <w:rPr>
                <w:sz w:val="20"/>
                <w:szCs w:val="20"/>
              </w:rPr>
              <w:t>85 – 87.9</w:t>
            </w:r>
          </w:p>
        </w:tc>
        <w:tc>
          <w:tcPr>
            <w:tcW w:w="1137" w:type="dxa"/>
            <w:gridSpan w:val="2"/>
            <w:vAlign w:val="bottom"/>
          </w:tcPr>
          <w:p w14:paraId="76FF658D" w14:textId="0C579907" w:rsidR="009653C6" w:rsidRPr="002F64A6" w:rsidRDefault="009653C6" w:rsidP="009653C6">
            <w:pPr>
              <w:pStyle w:val="TableCenter"/>
              <w:cnfStyle w:val="000000010000" w:firstRow="0" w:lastRow="0" w:firstColumn="0" w:lastColumn="0" w:oddVBand="0" w:evenVBand="0" w:oddHBand="0" w:evenHBand="1" w:firstRowFirstColumn="0" w:firstRowLastColumn="0" w:lastRowFirstColumn="0" w:lastRowLastColumn="0"/>
              <w:rPr>
                <w:sz w:val="20"/>
                <w:szCs w:val="20"/>
              </w:rPr>
            </w:pPr>
            <w:r w:rsidRPr="002F64A6">
              <w:rPr>
                <w:sz w:val="20"/>
                <w:szCs w:val="20"/>
              </w:rPr>
              <w:t>NL</w:t>
            </w:r>
          </w:p>
        </w:tc>
        <w:tc>
          <w:tcPr>
            <w:tcW w:w="1137" w:type="dxa"/>
            <w:vAlign w:val="bottom"/>
          </w:tcPr>
          <w:p w14:paraId="3EE7CB62" w14:textId="3827D875" w:rsidR="009653C6" w:rsidRPr="002F64A6" w:rsidRDefault="00917A48" w:rsidP="009653C6">
            <w:pPr>
              <w:pStyle w:val="TableCenter"/>
              <w:cnfStyle w:val="000000010000" w:firstRow="0" w:lastRow="0" w:firstColumn="0" w:lastColumn="0" w:oddVBand="0" w:evenVBand="0" w:oddHBand="0" w:evenHBand="1" w:firstRowFirstColumn="0" w:firstRowLastColumn="0" w:lastRowFirstColumn="0" w:lastRowLastColumn="0"/>
              <w:rPr>
                <w:sz w:val="20"/>
                <w:szCs w:val="20"/>
              </w:rPr>
            </w:pPr>
            <w:r w:rsidRPr="002F64A6">
              <w:rPr>
                <w:sz w:val="20"/>
                <w:szCs w:val="20"/>
              </w:rPr>
              <w:t>0.75</w:t>
            </w:r>
          </w:p>
        </w:tc>
        <w:tc>
          <w:tcPr>
            <w:tcW w:w="1137" w:type="dxa"/>
            <w:vAlign w:val="bottom"/>
          </w:tcPr>
          <w:p w14:paraId="5D723D80" w14:textId="5D238312" w:rsidR="009653C6" w:rsidRPr="002F64A6" w:rsidRDefault="009653C6" w:rsidP="008F350C">
            <w:pPr>
              <w:pStyle w:val="TableCenter"/>
              <w:cnfStyle w:val="000000010000" w:firstRow="0" w:lastRow="0" w:firstColumn="0" w:lastColumn="0" w:oddVBand="0" w:evenVBand="0" w:oddHBand="0" w:evenHBand="1" w:firstRowFirstColumn="0" w:firstRowLastColumn="0" w:lastRowFirstColumn="0" w:lastRowLastColumn="0"/>
              <w:rPr>
                <w:sz w:val="20"/>
                <w:szCs w:val="20"/>
              </w:rPr>
            </w:pPr>
            <w:r w:rsidRPr="002F64A6">
              <w:rPr>
                <w:sz w:val="20"/>
                <w:szCs w:val="20"/>
              </w:rPr>
              <w:t>40/20</w:t>
            </w:r>
            <w:r w:rsidR="00A31FD1" w:rsidRPr="002F64A6">
              <w:rPr>
                <w:sz w:val="20"/>
                <w:szCs w:val="20"/>
              </w:rPr>
              <w:t xml:space="preserve"> (100)**</w:t>
            </w:r>
          </w:p>
        </w:tc>
        <w:tc>
          <w:tcPr>
            <w:tcW w:w="1137" w:type="dxa"/>
            <w:gridSpan w:val="2"/>
            <w:vAlign w:val="bottom"/>
          </w:tcPr>
          <w:p w14:paraId="02AE3B9C" w14:textId="54B4AB50" w:rsidR="009653C6" w:rsidRPr="002F64A6" w:rsidRDefault="00917A48" w:rsidP="009653C6">
            <w:pPr>
              <w:pStyle w:val="TableCenter"/>
              <w:cnfStyle w:val="000000010000" w:firstRow="0" w:lastRow="0" w:firstColumn="0" w:lastColumn="0" w:oddVBand="0" w:evenVBand="0" w:oddHBand="0" w:evenHBand="1" w:firstRowFirstColumn="0" w:firstRowLastColumn="0" w:lastRowFirstColumn="0" w:lastRowLastColumn="0"/>
              <w:rPr>
                <w:sz w:val="20"/>
                <w:szCs w:val="20"/>
              </w:rPr>
            </w:pPr>
            <w:r w:rsidRPr="002F64A6">
              <w:rPr>
                <w:sz w:val="20"/>
                <w:szCs w:val="20"/>
              </w:rPr>
              <w:t>0.75</w:t>
            </w:r>
            <w:r w:rsidR="00A31FD1" w:rsidRPr="002F64A6">
              <w:rPr>
                <w:sz w:val="20"/>
                <w:szCs w:val="20"/>
              </w:rPr>
              <w:t xml:space="preserve"> (1)**</w:t>
            </w:r>
          </w:p>
        </w:tc>
        <w:tc>
          <w:tcPr>
            <w:tcW w:w="1137" w:type="dxa"/>
            <w:vAlign w:val="bottom"/>
          </w:tcPr>
          <w:p w14:paraId="7131768F" w14:textId="1F00AED7" w:rsidR="009653C6" w:rsidRPr="002F64A6" w:rsidRDefault="009653C6" w:rsidP="008F350C">
            <w:pPr>
              <w:pStyle w:val="TableCenter"/>
              <w:cnfStyle w:val="000000010000" w:firstRow="0" w:lastRow="0" w:firstColumn="0" w:lastColumn="0" w:oddVBand="0" w:evenVBand="0" w:oddHBand="0" w:evenHBand="1" w:firstRowFirstColumn="0" w:firstRowLastColumn="0" w:lastRowFirstColumn="0" w:lastRowLastColumn="0"/>
              <w:rPr>
                <w:sz w:val="20"/>
                <w:szCs w:val="20"/>
              </w:rPr>
            </w:pPr>
            <w:r w:rsidRPr="002F64A6">
              <w:rPr>
                <w:sz w:val="20"/>
                <w:szCs w:val="20"/>
              </w:rPr>
              <w:t>30/30</w:t>
            </w:r>
            <w:r w:rsidR="00A31FD1" w:rsidRPr="002F64A6">
              <w:rPr>
                <w:sz w:val="20"/>
                <w:szCs w:val="20"/>
              </w:rPr>
              <w:t xml:space="preserve"> (55)**</w:t>
            </w:r>
          </w:p>
        </w:tc>
        <w:tc>
          <w:tcPr>
            <w:tcW w:w="1138" w:type="dxa"/>
            <w:vAlign w:val="bottom"/>
          </w:tcPr>
          <w:p w14:paraId="119E3035" w14:textId="4F0D4609" w:rsidR="009653C6" w:rsidRPr="002F64A6" w:rsidRDefault="009653C6" w:rsidP="009653C6">
            <w:pPr>
              <w:pStyle w:val="TableCenter"/>
              <w:cnfStyle w:val="000000010000" w:firstRow="0" w:lastRow="0" w:firstColumn="0" w:lastColumn="0" w:oddVBand="0" w:evenVBand="0" w:oddHBand="0" w:evenHBand="1" w:firstRowFirstColumn="0" w:firstRowLastColumn="0" w:lastRowFirstColumn="0" w:lastRowLastColumn="0"/>
              <w:rPr>
                <w:sz w:val="20"/>
                <w:szCs w:val="20"/>
              </w:rPr>
            </w:pPr>
            <w:r w:rsidRPr="002F64A6">
              <w:rPr>
                <w:sz w:val="20"/>
                <w:szCs w:val="20"/>
              </w:rPr>
              <w:t>1</w:t>
            </w:r>
            <w:r w:rsidR="00A31FD1" w:rsidRPr="002F64A6">
              <w:rPr>
                <w:sz w:val="20"/>
                <w:szCs w:val="20"/>
              </w:rPr>
              <w:t xml:space="preserve"> (1.25)**</w:t>
            </w:r>
          </w:p>
        </w:tc>
      </w:tr>
      <w:tr w:rsidR="00F91A87" w:rsidRPr="002F64A6" w14:paraId="72B79F1F" w14:textId="77777777" w:rsidTr="00F21286">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137" w:type="dxa"/>
            <w:vAlign w:val="bottom"/>
          </w:tcPr>
          <w:p w14:paraId="744D3171" w14:textId="20DFCCD1" w:rsidR="009653C6" w:rsidRPr="002F64A6" w:rsidRDefault="009653C6" w:rsidP="009653C6">
            <w:pPr>
              <w:pStyle w:val="TableCenter"/>
              <w:rPr>
                <w:sz w:val="20"/>
                <w:szCs w:val="20"/>
              </w:rPr>
            </w:pPr>
            <w:r w:rsidRPr="002F64A6">
              <w:rPr>
                <w:sz w:val="20"/>
                <w:szCs w:val="20"/>
              </w:rPr>
              <w:t>4 (red)</w:t>
            </w:r>
          </w:p>
        </w:tc>
        <w:tc>
          <w:tcPr>
            <w:tcW w:w="1137" w:type="dxa"/>
            <w:vAlign w:val="bottom"/>
          </w:tcPr>
          <w:p w14:paraId="506EBB0E" w14:textId="10DF3DE8" w:rsidR="009653C6" w:rsidRPr="002F64A6" w:rsidRDefault="009653C6" w:rsidP="009653C6">
            <w:pPr>
              <w:pStyle w:val="TableCenter"/>
              <w:cnfStyle w:val="000000100000" w:firstRow="0" w:lastRow="0" w:firstColumn="0" w:lastColumn="0" w:oddVBand="0" w:evenVBand="0" w:oddHBand="1" w:evenHBand="0" w:firstRowFirstColumn="0" w:firstRowLastColumn="0" w:lastRowFirstColumn="0" w:lastRowLastColumn="0"/>
              <w:rPr>
                <w:sz w:val="20"/>
                <w:szCs w:val="20"/>
              </w:rPr>
            </w:pPr>
            <w:r w:rsidRPr="002F64A6">
              <w:rPr>
                <w:sz w:val="20"/>
                <w:szCs w:val="20"/>
              </w:rPr>
              <w:t>88 – 89.9</w:t>
            </w:r>
          </w:p>
        </w:tc>
        <w:tc>
          <w:tcPr>
            <w:tcW w:w="1137" w:type="dxa"/>
            <w:gridSpan w:val="2"/>
            <w:vAlign w:val="bottom"/>
          </w:tcPr>
          <w:p w14:paraId="430ADD6E" w14:textId="179646DC" w:rsidR="009653C6" w:rsidRPr="002F64A6" w:rsidRDefault="009653C6" w:rsidP="009653C6">
            <w:pPr>
              <w:pStyle w:val="TableCenter"/>
              <w:cnfStyle w:val="000000100000" w:firstRow="0" w:lastRow="0" w:firstColumn="0" w:lastColumn="0" w:oddVBand="0" w:evenVBand="0" w:oddHBand="1" w:evenHBand="0" w:firstRowFirstColumn="0" w:firstRowLastColumn="0" w:lastRowFirstColumn="0" w:lastRowLastColumn="0"/>
              <w:rPr>
                <w:sz w:val="20"/>
                <w:szCs w:val="20"/>
              </w:rPr>
            </w:pPr>
            <w:r w:rsidRPr="002F64A6">
              <w:rPr>
                <w:sz w:val="20"/>
                <w:szCs w:val="20"/>
              </w:rPr>
              <w:t>NL</w:t>
            </w:r>
          </w:p>
        </w:tc>
        <w:tc>
          <w:tcPr>
            <w:tcW w:w="1137" w:type="dxa"/>
            <w:vAlign w:val="bottom"/>
          </w:tcPr>
          <w:p w14:paraId="12DD9A88" w14:textId="7646A4FD" w:rsidR="009653C6" w:rsidRPr="002F64A6" w:rsidRDefault="00917A48" w:rsidP="009653C6">
            <w:pPr>
              <w:pStyle w:val="TableCenter"/>
              <w:cnfStyle w:val="000000100000" w:firstRow="0" w:lastRow="0" w:firstColumn="0" w:lastColumn="0" w:oddVBand="0" w:evenVBand="0" w:oddHBand="1" w:evenHBand="0" w:firstRowFirstColumn="0" w:firstRowLastColumn="0" w:lastRowFirstColumn="0" w:lastRowLastColumn="0"/>
              <w:rPr>
                <w:sz w:val="20"/>
                <w:szCs w:val="20"/>
              </w:rPr>
            </w:pPr>
            <w:r w:rsidRPr="002F64A6">
              <w:rPr>
                <w:sz w:val="20"/>
                <w:szCs w:val="20"/>
              </w:rPr>
              <w:t>0.75</w:t>
            </w:r>
          </w:p>
        </w:tc>
        <w:tc>
          <w:tcPr>
            <w:tcW w:w="1137" w:type="dxa"/>
            <w:vAlign w:val="bottom"/>
          </w:tcPr>
          <w:p w14:paraId="5A7E1784" w14:textId="21085650" w:rsidR="009653C6" w:rsidRPr="002F64A6" w:rsidRDefault="008F350C" w:rsidP="008F350C">
            <w:pPr>
              <w:pStyle w:val="TableCenter"/>
              <w:cnfStyle w:val="000000100000" w:firstRow="0" w:lastRow="0" w:firstColumn="0" w:lastColumn="0" w:oddVBand="0" w:evenVBand="0" w:oddHBand="1" w:evenHBand="0" w:firstRowFirstColumn="0" w:firstRowLastColumn="0" w:lastRowFirstColumn="0" w:lastRowLastColumn="0"/>
              <w:rPr>
                <w:sz w:val="20"/>
                <w:szCs w:val="20"/>
              </w:rPr>
            </w:pPr>
            <w:r w:rsidRPr="002F64A6">
              <w:rPr>
                <w:sz w:val="20"/>
                <w:szCs w:val="20"/>
              </w:rPr>
              <w:t>30/30</w:t>
            </w:r>
            <w:r w:rsidR="00A31FD1" w:rsidRPr="002F64A6">
              <w:rPr>
                <w:sz w:val="20"/>
                <w:szCs w:val="20"/>
              </w:rPr>
              <w:t xml:space="preserve"> (80)**</w:t>
            </w:r>
          </w:p>
        </w:tc>
        <w:tc>
          <w:tcPr>
            <w:tcW w:w="1137" w:type="dxa"/>
            <w:gridSpan w:val="2"/>
            <w:vAlign w:val="bottom"/>
          </w:tcPr>
          <w:p w14:paraId="32590110" w14:textId="62FA3F7C" w:rsidR="009653C6" w:rsidRPr="002F64A6" w:rsidRDefault="00917A48" w:rsidP="009653C6">
            <w:pPr>
              <w:pStyle w:val="TableCenter"/>
              <w:cnfStyle w:val="000000100000" w:firstRow="0" w:lastRow="0" w:firstColumn="0" w:lastColumn="0" w:oddVBand="0" w:evenVBand="0" w:oddHBand="1" w:evenHBand="0" w:firstRowFirstColumn="0" w:firstRowLastColumn="0" w:lastRowFirstColumn="0" w:lastRowLastColumn="0"/>
              <w:rPr>
                <w:sz w:val="20"/>
                <w:szCs w:val="20"/>
              </w:rPr>
            </w:pPr>
            <w:r w:rsidRPr="002F64A6">
              <w:rPr>
                <w:sz w:val="20"/>
                <w:szCs w:val="20"/>
              </w:rPr>
              <w:t>0.75</w:t>
            </w:r>
            <w:r w:rsidR="00A31FD1" w:rsidRPr="002F64A6">
              <w:rPr>
                <w:sz w:val="20"/>
                <w:szCs w:val="20"/>
              </w:rPr>
              <w:t xml:space="preserve"> (1.25)**</w:t>
            </w:r>
          </w:p>
        </w:tc>
        <w:tc>
          <w:tcPr>
            <w:tcW w:w="1137" w:type="dxa"/>
            <w:vAlign w:val="bottom"/>
          </w:tcPr>
          <w:p w14:paraId="1B8AA20D" w14:textId="1CEE4976" w:rsidR="009653C6" w:rsidRPr="002F64A6" w:rsidRDefault="008F350C" w:rsidP="008F350C">
            <w:pPr>
              <w:pStyle w:val="TableCenter"/>
              <w:cnfStyle w:val="000000100000" w:firstRow="0" w:lastRow="0" w:firstColumn="0" w:lastColumn="0" w:oddVBand="0" w:evenVBand="0" w:oddHBand="1" w:evenHBand="0" w:firstRowFirstColumn="0" w:firstRowLastColumn="0" w:lastRowFirstColumn="0" w:lastRowLastColumn="0"/>
              <w:rPr>
                <w:sz w:val="20"/>
                <w:szCs w:val="20"/>
              </w:rPr>
            </w:pPr>
            <w:r w:rsidRPr="002F64A6">
              <w:rPr>
                <w:sz w:val="20"/>
                <w:szCs w:val="20"/>
              </w:rPr>
              <w:t>20/40</w:t>
            </w:r>
            <w:r w:rsidR="00A31FD1" w:rsidRPr="002F64A6">
              <w:rPr>
                <w:sz w:val="20"/>
                <w:szCs w:val="20"/>
              </w:rPr>
              <w:t xml:space="preserve"> (50)**</w:t>
            </w:r>
          </w:p>
        </w:tc>
        <w:tc>
          <w:tcPr>
            <w:tcW w:w="1138" w:type="dxa"/>
            <w:vAlign w:val="bottom"/>
          </w:tcPr>
          <w:p w14:paraId="30777B08" w14:textId="121EE778" w:rsidR="009653C6" w:rsidRPr="002F64A6" w:rsidRDefault="009653C6" w:rsidP="009653C6">
            <w:pPr>
              <w:pStyle w:val="TableCenter"/>
              <w:cnfStyle w:val="000000100000" w:firstRow="0" w:lastRow="0" w:firstColumn="0" w:lastColumn="0" w:oddVBand="0" w:evenVBand="0" w:oddHBand="1" w:evenHBand="0" w:firstRowFirstColumn="0" w:firstRowLastColumn="0" w:lastRowFirstColumn="0" w:lastRowLastColumn="0"/>
              <w:rPr>
                <w:sz w:val="20"/>
                <w:szCs w:val="20"/>
              </w:rPr>
            </w:pPr>
            <w:r w:rsidRPr="002F64A6">
              <w:rPr>
                <w:sz w:val="20"/>
                <w:szCs w:val="20"/>
              </w:rPr>
              <w:t>1</w:t>
            </w:r>
            <w:r w:rsidR="00A31FD1" w:rsidRPr="002F64A6">
              <w:rPr>
                <w:sz w:val="20"/>
                <w:szCs w:val="20"/>
              </w:rPr>
              <w:t xml:space="preserve"> (1.25)**</w:t>
            </w:r>
          </w:p>
        </w:tc>
      </w:tr>
      <w:tr w:rsidR="00F91A87" w:rsidRPr="002F64A6" w14:paraId="2EC84B68" w14:textId="77777777" w:rsidTr="00F21286">
        <w:trPr>
          <w:cnfStyle w:val="000000010000" w:firstRow="0" w:lastRow="0" w:firstColumn="0" w:lastColumn="0" w:oddVBand="0" w:evenVBand="0" w:oddHBand="0" w:evenHBand="1"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137" w:type="dxa"/>
            <w:tcBorders>
              <w:bottom w:val="single" w:sz="4" w:space="0" w:color="FFFFFF" w:themeColor="background1"/>
            </w:tcBorders>
            <w:vAlign w:val="bottom"/>
          </w:tcPr>
          <w:p w14:paraId="09605177" w14:textId="44C14238" w:rsidR="009653C6" w:rsidRPr="002F64A6" w:rsidRDefault="009653C6" w:rsidP="009653C6">
            <w:pPr>
              <w:pStyle w:val="TableCenter"/>
              <w:rPr>
                <w:sz w:val="20"/>
                <w:szCs w:val="20"/>
              </w:rPr>
            </w:pPr>
            <w:r w:rsidRPr="002F64A6">
              <w:rPr>
                <w:sz w:val="20"/>
                <w:szCs w:val="20"/>
              </w:rPr>
              <w:t>5 (black)</w:t>
            </w:r>
          </w:p>
        </w:tc>
        <w:tc>
          <w:tcPr>
            <w:tcW w:w="1137" w:type="dxa"/>
            <w:tcBorders>
              <w:bottom w:val="single" w:sz="4" w:space="0" w:color="FFFFFF" w:themeColor="background1"/>
            </w:tcBorders>
            <w:vAlign w:val="bottom"/>
          </w:tcPr>
          <w:p w14:paraId="4F21F69B" w14:textId="5F56AA7F" w:rsidR="009653C6" w:rsidRPr="002F64A6" w:rsidRDefault="009653C6" w:rsidP="009653C6">
            <w:pPr>
              <w:pStyle w:val="TableCenter"/>
              <w:cnfStyle w:val="000000010000" w:firstRow="0" w:lastRow="0" w:firstColumn="0" w:lastColumn="0" w:oddVBand="0" w:evenVBand="0" w:oddHBand="0" w:evenHBand="1" w:firstRowFirstColumn="0" w:firstRowLastColumn="0" w:lastRowFirstColumn="0" w:lastRowLastColumn="0"/>
              <w:rPr>
                <w:sz w:val="20"/>
                <w:szCs w:val="20"/>
              </w:rPr>
            </w:pPr>
            <w:r w:rsidRPr="002F64A6">
              <w:rPr>
                <w:sz w:val="20"/>
                <w:szCs w:val="20"/>
              </w:rPr>
              <w:t>&gt;90</w:t>
            </w:r>
          </w:p>
        </w:tc>
        <w:tc>
          <w:tcPr>
            <w:tcW w:w="1137" w:type="dxa"/>
            <w:gridSpan w:val="2"/>
            <w:tcBorders>
              <w:bottom w:val="single" w:sz="4" w:space="0" w:color="FFFFFF" w:themeColor="background1"/>
            </w:tcBorders>
            <w:vAlign w:val="bottom"/>
          </w:tcPr>
          <w:p w14:paraId="551AD023" w14:textId="77777777" w:rsidR="009653C6" w:rsidRPr="002F64A6" w:rsidRDefault="008F350C" w:rsidP="008F350C">
            <w:pPr>
              <w:pStyle w:val="TableCenter"/>
              <w:cnfStyle w:val="000000010000" w:firstRow="0" w:lastRow="0" w:firstColumn="0" w:lastColumn="0" w:oddVBand="0" w:evenVBand="0" w:oddHBand="0" w:evenHBand="1" w:firstRowFirstColumn="0" w:firstRowLastColumn="0" w:lastRowFirstColumn="0" w:lastRowLastColumn="0"/>
              <w:rPr>
                <w:sz w:val="20"/>
                <w:szCs w:val="20"/>
              </w:rPr>
            </w:pPr>
            <w:r w:rsidRPr="002F64A6">
              <w:rPr>
                <w:sz w:val="20"/>
                <w:szCs w:val="20"/>
              </w:rPr>
              <w:t>50/10</w:t>
            </w:r>
          </w:p>
          <w:p w14:paraId="64FE70DF" w14:textId="6AFCC82B" w:rsidR="00A31FD1" w:rsidRPr="002F64A6" w:rsidRDefault="00A31FD1" w:rsidP="008F350C">
            <w:pPr>
              <w:pStyle w:val="TableCenter"/>
              <w:cnfStyle w:val="000000010000" w:firstRow="0" w:lastRow="0" w:firstColumn="0" w:lastColumn="0" w:oddVBand="0" w:evenVBand="0" w:oddHBand="0" w:evenHBand="1" w:firstRowFirstColumn="0" w:firstRowLastColumn="0" w:lastRowFirstColumn="0" w:lastRowLastColumn="0"/>
              <w:rPr>
                <w:sz w:val="20"/>
                <w:szCs w:val="20"/>
              </w:rPr>
            </w:pPr>
            <w:r w:rsidRPr="002F64A6">
              <w:rPr>
                <w:sz w:val="20"/>
                <w:szCs w:val="20"/>
              </w:rPr>
              <w:t>(180)**</w:t>
            </w:r>
          </w:p>
        </w:tc>
        <w:tc>
          <w:tcPr>
            <w:tcW w:w="1137" w:type="dxa"/>
            <w:tcBorders>
              <w:bottom w:val="single" w:sz="4" w:space="0" w:color="FFFFFF" w:themeColor="background1"/>
            </w:tcBorders>
            <w:vAlign w:val="bottom"/>
          </w:tcPr>
          <w:p w14:paraId="103D0FAE" w14:textId="5113AAD6" w:rsidR="009653C6" w:rsidRPr="002F64A6" w:rsidRDefault="009653C6" w:rsidP="009653C6">
            <w:pPr>
              <w:pStyle w:val="TableCenter"/>
              <w:cnfStyle w:val="000000010000" w:firstRow="0" w:lastRow="0" w:firstColumn="0" w:lastColumn="0" w:oddVBand="0" w:evenVBand="0" w:oddHBand="0" w:evenHBand="1" w:firstRowFirstColumn="0" w:firstRowLastColumn="0" w:lastRowFirstColumn="0" w:lastRowLastColumn="0"/>
              <w:rPr>
                <w:sz w:val="20"/>
                <w:szCs w:val="20"/>
              </w:rPr>
            </w:pPr>
            <w:r w:rsidRPr="002F64A6">
              <w:rPr>
                <w:sz w:val="20"/>
                <w:szCs w:val="20"/>
              </w:rPr>
              <w:t>1</w:t>
            </w:r>
          </w:p>
        </w:tc>
        <w:tc>
          <w:tcPr>
            <w:tcW w:w="1137" w:type="dxa"/>
            <w:tcBorders>
              <w:bottom w:val="single" w:sz="4" w:space="0" w:color="FFFFFF" w:themeColor="background1"/>
            </w:tcBorders>
            <w:vAlign w:val="bottom"/>
          </w:tcPr>
          <w:p w14:paraId="118F3292" w14:textId="2AADD637" w:rsidR="009653C6" w:rsidRPr="002F64A6" w:rsidRDefault="008F350C" w:rsidP="009653C6">
            <w:pPr>
              <w:pStyle w:val="TableCenter"/>
              <w:cnfStyle w:val="000000010000" w:firstRow="0" w:lastRow="0" w:firstColumn="0" w:lastColumn="0" w:oddVBand="0" w:evenVBand="0" w:oddHBand="0" w:evenHBand="1" w:firstRowFirstColumn="0" w:firstRowLastColumn="0" w:lastRowFirstColumn="0" w:lastRowLastColumn="0"/>
              <w:rPr>
                <w:sz w:val="20"/>
                <w:szCs w:val="20"/>
              </w:rPr>
            </w:pPr>
            <w:r w:rsidRPr="002F64A6">
              <w:rPr>
                <w:sz w:val="20"/>
                <w:szCs w:val="20"/>
              </w:rPr>
              <w:t>20/40</w:t>
            </w:r>
            <w:r w:rsidR="00A31FD1" w:rsidRPr="002F64A6">
              <w:rPr>
                <w:sz w:val="20"/>
                <w:szCs w:val="20"/>
              </w:rPr>
              <w:t xml:space="preserve"> (70)**</w:t>
            </w:r>
          </w:p>
        </w:tc>
        <w:tc>
          <w:tcPr>
            <w:tcW w:w="1137" w:type="dxa"/>
            <w:gridSpan w:val="2"/>
            <w:tcBorders>
              <w:bottom w:val="single" w:sz="4" w:space="0" w:color="FFFFFF" w:themeColor="background1"/>
            </w:tcBorders>
            <w:vAlign w:val="bottom"/>
          </w:tcPr>
          <w:p w14:paraId="3D93D2E5" w14:textId="11C42420" w:rsidR="009653C6" w:rsidRPr="002F64A6" w:rsidRDefault="009653C6" w:rsidP="009653C6">
            <w:pPr>
              <w:pStyle w:val="TableCenter"/>
              <w:cnfStyle w:val="000000010000" w:firstRow="0" w:lastRow="0" w:firstColumn="0" w:lastColumn="0" w:oddVBand="0" w:evenVBand="0" w:oddHBand="0" w:evenHBand="1" w:firstRowFirstColumn="0" w:firstRowLastColumn="0" w:lastRowFirstColumn="0" w:lastRowLastColumn="0"/>
              <w:rPr>
                <w:sz w:val="20"/>
                <w:szCs w:val="20"/>
              </w:rPr>
            </w:pPr>
            <w:r w:rsidRPr="002F64A6">
              <w:rPr>
                <w:sz w:val="20"/>
                <w:szCs w:val="20"/>
              </w:rPr>
              <w:t>1</w:t>
            </w:r>
            <w:r w:rsidR="00A31FD1" w:rsidRPr="002F64A6">
              <w:rPr>
                <w:sz w:val="20"/>
                <w:szCs w:val="20"/>
              </w:rPr>
              <w:t xml:space="preserve"> (1.25)**</w:t>
            </w:r>
          </w:p>
        </w:tc>
        <w:tc>
          <w:tcPr>
            <w:tcW w:w="1137" w:type="dxa"/>
            <w:tcBorders>
              <w:bottom w:val="single" w:sz="4" w:space="0" w:color="FFFFFF" w:themeColor="background1"/>
            </w:tcBorders>
            <w:vAlign w:val="bottom"/>
          </w:tcPr>
          <w:p w14:paraId="6B0E7C72" w14:textId="298BFF15" w:rsidR="009653C6" w:rsidRPr="002F64A6" w:rsidRDefault="008F350C" w:rsidP="008F350C">
            <w:pPr>
              <w:pStyle w:val="TableCenter"/>
              <w:cnfStyle w:val="000000010000" w:firstRow="0" w:lastRow="0" w:firstColumn="0" w:lastColumn="0" w:oddVBand="0" w:evenVBand="0" w:oddHBand="0" w:evenHBand="1" w:firstRowFirstColumn="0" w:firstRowLastColumn="0" w:lastRowFirstColumn="0" w:lastRowLastColumn="0"/>
              <w:rPr>
                <w:sz w:val="20"/>
                <w:szCs w:val="20"/>
              </w:rPr>
            </w:pPr>
            <w:r w:rsidRPr="002F64A6">
              <w:rPr>
                <w:sz w:val="20"/>
                <w:szCs w:val="20"/>
              </w:rPr>
              <w:t>10/50</w:t>
            </w:r>
            <w:r w:rsidR="00A31FD1" w:rsidRPr="002F64A6">
              <w:rPr>
                <w:sz w:val="20"/>
                <w:szCs w:val="20"/>
              </w:rPr>
              <w:t xml:space="preserve"> (45)**</w:t>
            </w:r>
          </w:p>
        </w:tc>
        <w:tc>
          <w:tcPr>
            <w:tcW w:w="1138" w:type="dxa"/>
            <w:tcBorders>
              <w:bottom w:val="single" w:sz="4" w:space="0" w:color="FFFFFF" w:themeColor="background1"/>
            </w:tcBorders>
            <w:vAlign w:val="bottom"/>
          </w:tcPr>
          <w:p w14:paraId="25C918C7" w14:textId="06679BC7" w:rsidR="009653C6" w:rsidRPr="002F64A6" w:rsidRDefault="009653C6" w:rsidP="009653C6">
            <w:pPr>
              <w:pStyle w:val="TableCenter"/>
              <w:cnfStyle w:val="000000010000" w:firstRow="0" w:lastRow="0" w:firstColumn="0" w:lastColumn="0" w:oddVBand="0" w:evenVBand="0" w:oddHBand="0" w:evenHBand="1" w:firstRowFirstColumn="0" w:firstRowLastColumn="0" w:lastRowFirstColumn="0" w:lastRowLastColumn="0"/>
              <w:rPr>
                <w:sz w:val="20"/>
                <w:szCs w:val="20"/>
              </w:rPr>
            </w:pPr>
            <w:r w:rsidRPr="002F64A6">
              <w:rPr>
                <w:sz w:val="20"/>
                <w:szCs w:val="20"/>
              </w:rPr>
              <w:t>1</w:t>
            </w:r>
            <w:r w:rsidR="00A31FD1" w:rsidRPr="002F64A6">
              <w:rPr>
                <w:sz w:val="20"/>
                <w:szCs w:val="20"/>
              </w:rPr>
              <w:t xml:space="preserve"> (1.5)**</w:t>
            </w:r>
          </w:p>
        </w:tc>
      </w:tr>
      <w:tr w:rsidR="00E16990" w:rsidRPr="002F64A6" w14:paraId="2215C5A1" w14:textId="77777777" w:rsidTr="00F21286">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3032" w:type="dxa"/>
            <w:gridSpan w:val="3"/>
            <w:tcBorders>
              <w:bottom w:val="single" w:sz="4" w:space="0" w:color="FFFFFF" w:themeColor="background1"/>
            </w:tcBorders>
            <w:vAlign w:val="bottom"/>
          </w:tcPr>
          <w:p w14:paraId="7463AC79" w14:textId="57A57CFC" w:rsidR="00E16990" w:rsidRPr="002F64A6" w:rsidRDefault="00E16990" w:rsidP="009653C6">
            <w:pPr>
              <w:pStyle w:val="TableCenter"/>
              <w:rPr>
                <w:bCs/>
                <w:sz w:val="20"/>
                <w:szCs w:val="20"/>
              </w:rPr>
            </w:pPr>
            <w:r w:rsidRPr="002F64A6">
              <w:rPr>
                <w:bCs/>
                <w:sz w:val="20"/>
                <w:szCs w:val="20"/>
              </w:rPr>
              <w:t>Easy Work</w:t>
            </w:r>
          </w:p>
        </w:tc>
        <w:tc>
          <w:tcPr>
            <w:tcW w:w="3032" w:type="dxa"/>
            <w:gridSpan w:val="4"/>
            <w:tcBorders>
              <w:bottom w:val="single" w:sz="4" w:space="0" w:color="FFFFFF" w:themeColor="background1"/>
            </w:tcBorders>
            <w:vAlign w:val="bottom"/>
          </w:tcPr>
          <w:p w14:paraId="2EDC98EA" w14:textId="02B8B5AE" w:rsidR="00E16990" w:rsidRPr="002F64A6" w:rsidRDefault="00E16990" w:rsidP="009653C6">
            <w:pPr>
              <w:pStyle w:val="TableCenter"/>
              <w:cnfStyle w:val="000000100000" w:firstRow="0" w:lastRow="0" w:firstColumn="0" w:lastColumn="0" w:oddVBand="0" w:evenVBand="0" w:oddHBand="1" w:evenHBand="0" w:firstRowFirstColumn="0" w:firstRowLastColumn="0" w:lastRowFirstColumn="0" w:lastRowLastColumn="0"/>
              <w:rPr>
                <w:bCs w:val="0"/>
                <w:sz w:val="20"/>
                <w:szCs w:val="20"/>
              </w:rPr>
            </w:pPr>
            <w:r w:rsidRPr="002F64A6">
              <w:rPr>
                <w:bCs w:val="0"/>
                <w:sz w:val="20"/>
                <w:szCs w:val="20"/>
              </w:rPr>
              <w:t>Moderate Work</w:t>
            </w:r>
          </w:p>
        </w:tc>
        <w:tc>
          <w:tcPr>
            <w:tcW w:w="3033" w:type="dxa"/>
            <w:gridSpan w:val="3"/>
            <w:tcBorders>
              <w:bottom w:val="single" w:sz="4" w:space="0" w:color="FFFFFF" w:themeColor="background1"/>
            </w:tcBorders>
            <w:vAlign w:val="bottom"/>
          </w:tcPr>
          <w:p w14:paraId="2C9D1AB1" w14:textId="031E776E" w:rsidR="00E16990" w:rsidRPr="002F64A6" w:rsidRDefault="00E16990" w:rsidP="009653C6">
            <w:pPr>
              <w:pStyle w:val="TableCenter"/>
              <w:cnfStyle w:val="000000100000" w:firstRow="0" w:lastRow="0" w:firstColumn="0" w:lastColumn="0" w:oddVBand="0" w:evenVBand="0" w:oddHBand="1" w:evenHBand="0" w:firstRowFirstColumn="0" w:firstRowLastColumn="0" w:lastRowFirstColumn="0" w:lastRowLastColumn="0"/>
              <w:rPr>
                <w:sz w:val="20"/>
                <w:szCs w:val="20"/>
              </w:rPr>
            </w:pPr>
            <w:r w:rsidRPr="002F64A6">
              <w:rPr>
                <w:sz w:val="20"/>
                <w:szCs w:val="20"/>
              </w:rPr>
              <w:t>Hard Work</w:t>
            </w:r>
          </w:p>
        </w:tc>
      </w:tr>
      <w:tr w:rsidR="00E16990" w:rsidRPr="002F64A6" w14:paraId="5441BB3C" w14:textId="77777777" w:rsidTr="00F21286">
        <w:trPr>
          <w:cnfStyle w:val="000000010000" w:firstRow="0" w:lastRow="0" w:firstColumn="0" w:lastColumn="0" w:oddVBand="0" w:evenVBand="0" w:oddHBand="0" w:evenHBand="1"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3032" w:type="dxa"/>
            <w:gridSpan w:val="3"/>
            <w:tcBorders>
              <w:bottom w:val="single" w:sz="4" w:space="0" w:color="FFFFFF" w:themeColor="background1"/>
            </w:tcBorders>
            <w:vAlign w:val="top"/>
          </w:tcPr>
          <w:p w14:paraId="199B9D71" w14:textId="77777777" w:rsidR="00E16990" w:rsidRPr="002F64A6" w:rsidRDefault="00E16990" w:rsidP="00E16990">
            <w:pPr>
              <w:pStyle w:val="TableBullet"/>
              <w:rPr>
                <w:bCs/>
                <w:sz w:val="20"/>
                <w:szCs w:val="20"/>
              </w:rPr>
            </w:pPr>
            <w:r w:rsidRPr="002F64A6">
              <w:rPr>
                <w:bCs/>
                <w:sz w:val="20"/>
                <w:szCs w:val="20"/>
              </w:rPr>
              <w:t>Weapon maintenance</w:t>
            </w:r>
          </w:p>
          <w:p w14:paraId="01F3BAF7" w14:textId="35EE5210" w:rsidR="00E16990" w:rsidRPr="002F64A6" w:rsidRDefault="00E16990" w:rsidP="00E16990">
            <w:pPr>
              <w:pStyle w:val="TableBullet"/>
              <w:rPr>
                <w:bCs/>
                <w:sz w:val="20"/>
                <w:szCs w:val="20"/>
              </w:rPr>
            </w:pPr>
            <w:r w:rsidRPr="002F64A6">
              <w:rPr>
                <w:bCs/>
                <w:sz w:val="20"/>
                <w:szCs w:val="20"/>
              </w:rPr>
              <w:t>Walking hard surface at 2.5 mph, &lt; 30 pound (lb) load</w:t>
            </w:r>
            <w:r w:rsidR="00AA1C0F" w:rsidRPr="002F64A6">
              <w:rPr>
                <w:bCs/>
                <w:sz w:val="20"/>
                <w:szCs w:val="20"/>
              </w:rPr>
              <w:t xml:space="preserve"> </w:t>
            </w:r>
          </w:p>
          <w:p w14:paraId="7E585112" w14:textId="77777777" w:rsidR="00E16990" w:rsidRPr="002F64A6" w:rsidRDefault="00E16990" w:rsidP="00E16990">
            <w:pPr>
              <w:pStyle w:val="TableBullet"/>
              <w:rPr>
                <w:bCs/>
                <w:sz w:val="20"/>
                <w:szCs w:val="20"/>
              </w:rPr>
            </w:pPr>
            <w:r w:rsidRPr="002F64A6">
              <w:rPr>
                <w:bCs/>
                <w:sz w:val="20"/>
                <w:szCs w:val="20"/>
              </w:rPr>
              <w:t>Manual of arms</w:t>
            </w:r>
          </w:p>
          <w:p w14:paraId="1D2B1A5A" w14:textId="77777777" w:rsidR="00E16990" w:rsidRPr="002F64A6" w:rsidRDefault="00E16990" w:rsidP="00E16990">
            <w:pPr>
              <w:pStyle w:val="TableBullet"/>
              <w:rPr>
                <w:bCs/>
                <w:sz w:val="20"/>
                <w:szCs w:val="20"/>
              </w:rPr>
            </w:pPr>
            <w:r w:rsidRPr="002F64A6">
              <w:rPr>
                <w:bCs/>
                <w:sz w:val="20"/>
                <w:szCs w:val="20"/>
              </w:rPr>
              <w:t xml:space="preserve">Marksmanship training </w:t>
            </w:r>
          </w:p>
          <w:p w14:paraId="04009392" w14:textId="199EAE03" w:rsidR="00E16990" w:rsidRPr="002F64A6" w:rsidRDefault="00E16990" w:rsidP="00E16990">
            <w:pPr>
              <w:pStyle w:val="TableBullet"/>
              <w:rPr>
                <w:bCs/>
                <w:sz w:val="20"/>
                <w:szCs w:val="20"/>
              </w:rPr>
            </w:pPr>
            <w:r w:rsidRPr="002F64A6">
              <w:rPr>
                <w:bCs/>
                <w:sz w:val="20"/>
                <w:szCs w:val="20"/>
              </w:rPr>
              <w:t>Drill and ceremony</w:t>
            </w:r>
          </w:p>
        </w:tc>
        <w:tc>
          <w:tcPr>
            <w:tcW w:w="3032" w:type="dxa"/>
            <w:gridSpan w:val="4"/>
            <w:tcBorders>
              <w:bottom w:val="single" w:sz="4" w:space="0" w:color="FFFFFF" w:themeColor="background1"/>
            </w:tcBorders>
            <w:vAlign w:val="top"/>
          </w:tcPr>
          <w:p w14:paraId="2C3364F2" w14:textId="5BAD96D4" w:rsidR="00E16990" w:rsidRPr="002F64A6" w:rsidRDefault="00E16990" w:rsidP="00E16990">
            <w:pPr>
              <w:pStyle w:val="TableBullet"/>
              <w:cnfStyle w:val="000000010000" w:firstRow="0" w:lastRow="0" w:firstColumn="0" w:lastColumn="0" w:oddVBand="0" w:evenVBand="0" w:oddHBand="0" w:evenHBand="1" w:firstRowFirstColumn="0" w:firstRowLastColumn="0" w:lastRowFirstColumn="0" w:lastRowLastColumn="0"/>
              <w:rPr>
                <w:sz w:val="20"/>
                <w:szCs w:val="20"/>
              </w:rPr>
            </w:pPr>
            <w:r w:rsidRPr="002F64A6">
              <w:rPr>
                <w:sz w:val="20"/>
                <w:szCs w:val="20"/>
              </w:rPr>
              <w:t>Walking loose sand at 2.5 mph,</w:t>
            </w:r>
            <w:r w:rsidR="00AA1C0F" w:rsidRPr="002F64A6">
              <w:rPr>
                <w:sz w:val="20"/>
                <w:szCs w:val="20"/>
              </w:rPr>
              <w:t xml:space="preserve"> </w:t>
            </w:r>
            <w:r w:rsidRPr="002F64A6">
              <w:rPr>
                <w:sz w:val="20"/>
                <w:szCs w:val="20"/>
              </w:rPr>
              <w:t>no</w:t>
            </w:r>
            <w:r w:rsidR="00AA1C0F" w:rsidRPr="002F64A6">
              <w:rPr>
                <w:sz w:val="20"/>
                <w:szCs w:val="20"/>
              </w:rPr>
              <w:t xml:space="preserve"> </w:t>
            </w:r>
            <w:r w:rsidRPr="002F64A6">
              <w:rPr>
                <w:sz w:val="20"/>
                <w:szCs w:val="20"/>
              </w:rPr>
              <w:t xml:space="preserve">load </w:t>
            </w:r>
          </w:p>
          <w:p w14:paraId="4AB4628B" w14:textId="77777777" w:rsidR="00E16990" w:rsidRPr="002F64A6" w:rsidRDefault="00E16990" w:rsidP="00E16990">
            <w:pPr>
              <w:pStyle w:val="TableBullet"/>
              <w:cnfStyle w:val="000000010000" w:firstRow="0" w:lastRow="0" w:firstColumn="0" w:lastColumn="0" w:oddVBand="0" w:evenVBand="0" w:oddHBand="0" w:evenHBand="1" w:firstRowFirstColumn="0" w:firstRowLastColumn="0" w:lastRowFirstColumn="0" w:lastRowLastColumn="0"/>
              <w:rPr>
                <w:sz w:val="20"/>
                <w:szCs w:val="20"/>
              </w:rPr>
            </w:pPr>
            <w:r w:rsidRPr="002F64A6">
              <w:rPr>
                <w:sz w:val="20"/>
                <w:szCs w:val="20"/>
              </w:rPr>
              <w:t>Walking hard surface at 3.5 mph, &lt; 40lb load</w:t>
            </w:r>
          </w:p>
          <w:p w14:paraId="0535450B" w14:textId="77777777" w:rsidR="00E16990" w:rsidRPr="002F64A6" w:rsidRDefault="00E16990" w:rsidP="00E16990">
            <w:pPr>
              <w:pStyle w:val="TableBullet"/>
              <w:cnfStyle w:val="000000010000" w:firstRow="0" w:lastRow="0" w:firstColumn="0" w:lastColumn="0" w:oddVBand="0" w:evenVBand="0" w:oddHBand="0" w:evenHBand="1" w:firstRowFirstColumn="0" w:firstRowLastColumn="0" w:lastRowFirstColumn="0" w:lastRowLastColumn="0"/>
              <w:rPr>
                <w:sz w:val="20"/>
                <w:szCs w:val="20"/>
              </w:rPr>
            </w:pPr>
            <w:r w:rsidRPr="002F64A6">
              <w:rPr>
                <w:sz w:val="20"/>
                <w:szCs w:val="20"/>
              </w:rPr>
              <w:t>Calisthenics</w:t>
            </w:r>
          </w:p>
          <w:p w14:paraId="67A6629A" w14:textId="77777777" w:rsidR="00E16990" w:rsidRPr="002F64A6" w:rsidRDefault="00E16990" w:rsidP="00E16990">
            <w:pPr>
              <w:pStyle w:val="TableBullet"/>
              <w:cnfStyle w:val="000000010000" w:firstRow="0" w:lastRow="0" w:firstColumn="0" w:lastColumn="0" w:oddVBand="0" w:evenVBand="0" w:oddHBand="0" w:evenHBand="1" w:firstRowFirstColumn="0" w:firstRowLastColumn="0" w:lastRowFirstColumn="0" w:lastRowLastColumn="0"/>
              <w:rPr>
                <w:sz w:val="20"/>
                <w:szCs w:val="20"/>
              </w:rPr>
            </w:pPr>
            <w:r w:rsidRPr="002F64A6">
              <w:rPr>
                <w:sz w:val="20"/>
                <w:szCs w:val="20"/>
              </w:rPr>
              <w:t>Patrolling</w:t>
            </w:r>
          </w:p>
          <w:p w14:paraId="7521A335" w14:textId="77777777" w:rsidR="00E16990" w:rsidRPr="002F64A6" w:rsidRDefault="00E16990" w:rsidP="00E16990">
            <w:pPr>
              <w:pStyle w:val="TableBullet"/>
              <w:cnfStyle w:val="000000010000" w:firstRow="0" w:lastRow="0" w:firstColumn="0" w:lastColumn="0" w:oddVBand="0" w:evenVBand="0" w:oddHBand="0" w:evenHBand="1" w:firstRowFirstColumn="0" w:firstRowLastColumn="0" w:lastRowFirstColumn="0" w:lastRowLastColumn="0"/>
              <w:rPr>
                <w:sz w:val="20"/>
                <w:szCs w:val="20"/>
              </w:rPr>
            </w:pPr>
            <w:r w:rsidRPr="002F64A6">
              <w:rPr>
                <w:sz w:val="20"/>
                <w:szCs w:val="20"/>
              </w:rPr>
              <w:t>Individual movement techniques, that is low crawl, high crawl</w:t>
            </w:r>
          </w:p>
          <w:p w14:paraId="252A0243" w14:textId="267F0C5C" w:rsidR="00E16990" w:rsidRPr="002F64A6" w:rsidRDefault="00E16990" w:rsidP="00E16990">
            <w:pPr>
              <w:pStyle w:val="TableBullet"/>
              <w:cnfStyle w:val="000000010000" w:firstRow="0" w:lastRow="0" w:firstColumn="0" w:lastColumn="0" w:oddVBand="0" w:evenVBand="0" w:oddHBand="0" w:evenHBand="1" w:firstRowFirstColumn="0" w:firstRowLastColumn="0" w:lastRowFirstColumn="0" w:lastRowLastColumn="0"/>
              <w:rPr>
                <w:sz w:val="20"/>
                <w:szCs w:val="20"/>
              </w:rPr>
            </w:pPr>
            <w:r w:rsidRPr="002F64A6">
              <w:rPr>
                <w:sz w:val="20"/>
                <w:szCs w:val="20"/>
              </w:rPr>
              <w:t>Defensive position construction</w:t>
            </w:r>
          </w:p>
        </w:tc>
        <w:tc>
          <w:tcPr>
            <w:tcW w:w="3033" w:type="dxa"/>
            <w:gridSpan w:val="3"/>
            <w:tcBorders>
              <w:bottom w:val="single" w:sz="4" w:space="0" w:color="FFFFFF" w:themeColor="background1"/>
            </w:tcBorders>
            <w:vAlign w:val="top"/>
          </w:tcPr>
          <w:p w14:paraId="14C0A7CA" w14:textId="77777777" w:rsidR="00E16990" w:rsidRPr="002F64A6" w:rsidRDefault="00E16990" w:rsidP="00E16990">
            <w:pPr>
              <w:pStyle w:val="TableBullet"/>
              <w:cnfStyle w:val="000000010000" w:firstRow="0" w:lastRow="0" w:firstColumn="0" w:lastColumn="0" w:oddVBand="0" w:evenVBand="0" w:oddHBand="0" w:evenHBand="1" w:firstRowFirstColumn="0" w:firstRowLastColumn="0" w:lastRowFirstColumn="0" w:lastRowLastColumn="0"/>
              <w:rPr>
                <w:sz w:val="20"/>
                <w:szCs w:val="20"/>
              </w:rPr>
            </w:pPr>
            <w:r w:rsidRPr="002F64A6">
              <w:rPr>
                <w:sz w:val="20"/>
                <w:szCs w:val="20"/>
              </w:rPr>
              <w:t xml:space="preserve">Walking hard surface at 3.5 mph, ≥ 40 lb load </w:t>
            </w:r>
          </w:p>
          <w:p w14:paraId="3DF1BBFC" w14:textId="77777777" w:rsidR="00E16990" w:rsidRPr="002F64A6" w:rsidRDefault="00E16990" w:rsidP="00E16990">
            <w:pPr>
              <w:pStyle w:val="TableBullet"/>
              <w:cnfStyle w:val="000000010000" w:firstRow="0" w:lastRow="0" w:firstColumn="0" w:lastColumn="0" w:oddVBand="0" w:evenVBand="0" w:oddHBand="0" w:evenHBand="1" w:firstRowFirstColumn="0" w:firstRowLastColumn="0" w:lastRowFirstColumn="0" w:lastRowLastColumn="0"/>
              <w:rPr>
                <w:sz w:val="20"/>
                <w:szCs w:val="20"/>
              </w:rPr>
            </w:pPr>
            <w:r w:rsidRPr="002F64A6">
              <w:rPr>
                <w:sz w:val="20"/>
                <w:szCs w:val="20"/>
              </w:rPr>
              <w:t xml:space="preserve">Walking loose sand at 2.5 mph with load </w:t>
            </w:r>
          </w:p>
          <w:p w14:paraId="0EF47BE5" w14:textId="7DC596F3" w:rsidR="00E16990" w:rsidRPr="002F64A6" w:rsidRDefault="00E16990" w:rsidP="00E16990">
            <w:pPr>
              <w:pStyle w:val="TableBullet"/>
              <w:cnfStyle w:val="000000010000" w:firstRow="0" w:lastRow="0" w:firstColumn="0" w:lastColumn="0" w:oddVBand="0" w:evenVBand="0" w:oddHBand="0" w:evenHBand="1" w:firstRowFirstColumn="0" w:firstRowLastColumn="0" w:lastRowFirstColumn="0" w:lastRowLastColumn="0"/>
              <w:rPr>
                <w:sz w:val="20"/>
                <w:szCs w:val="20"/>
              </w:rPr>
            </w:pPr>
            <w:r w:rsidRPr="002F64A6">
              <w:rPr>
                <w:sz w:val="20"/>
                <w:szCs w:val="20"/>
              </w:rPr>
              <w:t>Field Assaults</w:t>
            </w:r>
          </w:p>
        </w:tc>
      </w:tr>
      <w:tr w:rsidR="009653C6" w:rsidRPr="002F64A6" w14:paraId="410BD464" w14:textId="77777777" w:rsidTr="00F21286">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9097" w:type="dxa"/>
            <w:gridSpan w:val="10"/>
            <w:shd w:val="clear" w:color="auto" w:fill="auto"/>
          </w:tcPr>
          <w:p w14:paraId="07D4E481" w14:textId="4119146E" w:rsidR="00A31FD1" w:rsidRPr="002F64A6" w:rsidRDefault="00A31FD1" w:rsidP="00C262A6">
            <w:pPr>
              <w:pStyle w:val="Asterisks"/>
              <w:jc w:val="left"/>
            </w:pPr>
            <w:r w:rsidRPr="002F64A6">
              <w:t>*</w:t>
            </w:r>
            <w:r w:rsidR="009E05D0" w:rsidRPr="002F64A6">
              <w:t xml:space="preserve"> </w:t>
            </w:r>
            <w:r w:rsidRPr="002F64A6">
              <w:t xml:space="preserve">NL = No limit equals no limit to work time per hour for up to 4 continuous hours. </w:t>
            </w:r>
          </w:p>
          <w:p w14:paraId="523D8525" w14:textId="7B614798" w:rsidR="00421195" w:rsidRPr="002F64A6" w:rsidRDefault="00A31FD1" w:rsidP="00421195">
            <w:pPr>
              <w:pStyle w:val="Asterisks"/>
              <w:jc w:val="left"/>
            </w:pPr>
            <w:r w:rsidRPr="002F64A6">
              <w:t>**</w:t>
            </w:r>
            <w:r w:rsidR="009E05D0" w:rsidRPr="002F64A6">
              <w:t xml:space="preserve"> </w:t>
            </w:r>
            <w:r w:rsidR="00421195" w:rsidRPr="002F64A6">
              <w:t>Use the amounts in parentheses for continuous work when rest breaks are not possible.</w:t>
            </w:r>
          </w:p>
          <w:p w14:paraId="74A03485" w14:textId="25F65068" w:rsidR="00D31B71" w:rsidRPr="002F64A6" w:rsidRDefault="00C262A6" w:rsidP="0009019F">
            <w:pPr>
              <w:pStyle w:val="Asterisks"/>
              <w:jc w:val="left"/>
            </w:pPr>
            <w:r w:rsidRPr="002F64A6">
              <w:t>Source</w:t>
            </w:r>
            <w:r w:rsidR="00F92B52" w:rsidRPr="002F64A6">
              <w:t>s</w:t>
            </w:r>
            <w:r w:rsidRPr="002F64A6">
              <w:t xml:space="preserve">: </w:t>
            </w:r>
            <w:r w:rsidR="001C47C9" w:rsidRPr="001C47C9">
              <w:t xml:space="preserve">Adapted from </w:t>
            </w:r>
            <w:r w:rsidR="00FA24DA" w:rsidRPr="00FA24DA">
              <w:t>Technical Bulletin: Heat Stress Control and Heat Casualty Management. Headquarters, Departments of the Army and Air Force. TB MED 507 / AFPAM 48-152 (I). March 7, 2003.</w:t>
            </w:r>
            <w:r w:rsidR="001C47C9" w:rsidRPr="001C47C9">
              <w:t xml:space="preserve"> p. 13, Table 3-1, p. 17, Table 3-3; Defense Health Agency. Work/Rest Times and Fluid Replacement Guide. Medical Mo</w:t>
            </w:r>
            <w:r w:rsidR="00DB23CF">
              <w:t>’</w:t>
            </w:r>
            <w:r w:rsidR="001C47C9" w:rsidRPr="001C47C9">
              <w:t>ly Surveillance Report Vol. 25 No. 4. April 2018. p. 12.</w:t>
            </w:r>
          </w:p>
        </w:tc>
      </w:tr>
    </w:tbl>
    <w:p w14:paraId="63B8ED43" w14:textId="43421FD9" w:rsidR="00594C78" w:rsidRPr="002F64A6" w:rsidRDefault="00A65C52" w:rsidP="004B1046">
      <w:r w:rsidRPr="002F64A6">
        <w:t>Weaknesses of the military</w:t>
      </w:r>
      <w:r w:rsidR="00B41197" w:rsidRPr="00625F62">
        <w:t xml:space="preserve"> guidelines </w:t>
      </w:r>
      <w:r w:rsidRPr="00625F62">
        <w:t xml:space="preserve">include </w:t>
      </w:r>
      <w:r w:rsidR="00EF574E" w:rsidRPr="00625F62">
        <w:t xml:space="preserve">the </w:t>
      </w:r>
      <w:r w:rsidR="00A57262" w:rsidRPr="00625F62">
        <w:t>absence</w:t>
      </w:r>
      <w:r w:rsidR="00EF574E" w:rsidRPr="00625F62">
        <w:t xml:space="preserve"> </w:t>
      </w:r>
      <w:r w:rsidR="00427025" w:rsidRPr="00625F62">
        <w:t xml:space="preserve">of </w:t>
      </w:r>
      <w:r w:rsidR="00EF574E" w:rsidRPr="00625F62">
        <w:t xml:space="preserve">record-keeping </w:t>
      </w:r>
      <w:r w:rsidRPr="00625F62">
        <w:t xml:space="preserve">requirements to verify compliance, </w:t>
      </w:r>
      <w:r w:rsidR="00BD6803" w:rsidRPr="00625F62">
        <w:t>the</w:t>
      </w:r>
      <w:r w:rsidR="00F6493C" w:rsidRPr="00625F62">
        <w:t xml:space="preserve"> lack of </w:t>
      </w:r>
      <w:r w:rsidRPr="00625F62">
        <w:t xml:space="preserve">shade requirements, </w:t>
      </w:r>
      <w:r w:rsidR="00F6493C" w:rsidRPr="00625F62">
        <w:t xml:space="preserve">and the lack of </w:t>
      </w:r>
      <w:r w:rsidRPr="00625F62">
        <w:t>exposure limit</w:t>
      </w:r>
      <w:r w:rsidR="00B138A0" w:rsidRPr="00625F62">
        <w:t>s</w:t>
      </w:r>
      <w:r w:rsidRPr="00625F62">
        <w:t xml:space="preserve"> </w:t>
      </w:r>
      <w:r w:rsidR="00FE5A67">
        <w:t>(</w:t>
      </w:r>
      <w:r w:rsidRPr="00625F62">
        <w:t>with the exception of the Navy</w:t>
      </w:r>
      <w:r w:rsidR="00DB23CF">
        <w:t>’</w:t>
      </w:r>
      <w:r w:rsidRPr="00625F62">
        <w:t>s PHEL</w:t>
      </w:r>
      <w:r w:rsidR="00FE5A67">
        <w:t>)</w:t>
      </w:r>
      <w:r w:rsidRPr="00625F62">
        <w:t xml:space="preserve">. Also, it is unclear on reading the </w:t>
      </w:r>
      <w:r w:rsidR="005559DD" w:rsidRPr="00625F62">
        <w:t xml:space="preserve">military materials </w:t>
      </w:r>
      <w:r w:rsidR="001E50AA" w:rsidRPr="00625F62">
        <w:t xml:space="preserve">whether they </w:t>
      </w:r>
      <w:r w:rsidR="005559DD" w:rsidRPr="00625F62">
        <w:t>are merely advisory and, if so, the extent of compliance.</w:t>
      </w:r>
      <w:r w:rsidRPr="00625F62">
        <w:t xml:space="preserve"> Nevertheless, the military</w:t>
      </w:r>
      <w:r w:rsidR="00DB23CF">
        <w:t>’</w:t>
      </w:r>
      <w:r w:rsidRPr="00625F62">
        <w:t>s work-rest cycle and acclimatization protocols, in addition to the Navy</w:t>
      </w:r>
      <w:r w:rsidR="00DB23CF">
        <w:t>’</w:t>
      </w:r>
      <w:r w:rsidRPr="00625F62">
        <w:t xml:space="preserve">s PHEL, clearly represent rigorous and feasible model provisions on which to base a </w:t>
      </w:r>
      <w:r w:rsidR="006F1140" w:rsidRPr="00625F62">
        <w:t xml:space="preserve">nationwide </w:t>
      </w:r>
      <w:r w:rsidRPr="00625F62">
        <w:t>federal standard.</w:t>
      </w:r>
    </w:p>
    <w:p w14:paraId="5174CC9E" w14:textId="49D90C7B" w:rsidR="00E325F1" w:rsidRPr="002F64A6" w:rsidRDefault="00ED710D" w:rsidP="00E325F1">
      <w:pPr>
        <w:pStyle w:val="L2"/>
      </w:pPr>
      <w:bookmarkStart w:id="28" w:name="_Toc518979496"/>
      <w:r w:rsidRPr="002F64A6">
        <w:lastRenderedPageBreak/>
        <w:t>Heat stress standards in other countries</w:t>
      </w:r>
      <w:bookmarkEnd w:id="28"/>
    </w:p>
    <w:p w14:paraId="1F8D0A39" w14:textId="50D45C6A" w:rsidR="0068084A" w:rsidRDefault="00ED710D" w:rsidP="00765087">
      <w:pPr>
        <w:rPr>
          <w:rFonts w:asciiTheme="majorBidi" w:hAnsiTheme="majorBidi" w:cstheme="majorBidi"/>
          <w:szCs w:val="24"/>
        </w:rPr>
      </w:pPr>
      <w:r w:rsidRPr="002F64A6">
        <w:rPr>
          <w:rFonts w:asciiTheme="majorBidi" w:hAnsiTheme="majorBidi" w:cstheme="majorBidi"/>
          <w:szCs w:val="24"/>
        </w:rPr>
        <w:t xml:space="preserve">Other industrialized countries also have implemented heat stress standards. </w:t>
      </w:r>
      <w:r w:rsidR="003F0B72">
        <w:rPr>
          <w:rFonts w:asciiTheme="majorBidi" w:hAnsiTheme="majorBidi" w:cstheme="majorBidi"/>
          <w:szCs w:val="24"/>
        </w:rPr>
        <w:t xml:space="preserve">Most </w:t>
      </w:r>
      <w:r w:rsidR="003F0B72" w:rsidRPr="002F64A6">
        <w:rPr>
          <w:rFonts w:asciiTheme="majorBidi" w:hAnsiTheme="majorBidi" w:cstheme="majorBidi"/>
          <w:szCs w:val="24"/>
        </w:rPr>
        <w:t xml:space="preserve">Canadian provinces have </w:t>
      </w:r>
      <w:r w:rsidR="003F0B72">
        <w:rPr>
          <w:rFonts w:asciiTheme="majorBidi" w:hAnsiTheme="majorBidi" w:cstheme="majorBidi"/>
          <w:szCs w:val="24"/>
        </w:rPr>
        <w:t>adopted, as either rules or guidelines, Threshold Limit Values based on those recommended by the American Conference of Governmental and Industrial Hygienists</w:t>
      </w:r>
      <w:r w:rsidR="009145A2">
        <w:rPr>
          <w:rFonts w:asciiTheme="majorBidi" w:hAnsiTheme="majorBidi" w:cstheme="majorBidi"/>
          <w:szCs w:val="24"/>
        </w:rPr>
        <w:t xml:space="preserve"> (ACGIH)</w:t>
      </w:r>
      <w:r w:rsidR="003F0B72">
        <w:rPr>
          <w:rFonts w:asciiTheme="majorBidi" w:hAnsiTheme="majorBidi" w:cstheme="majorBidi"/>
          <w:szCs w:val="24"/>
        </w:rPr>
        <w:t xml:space="preserve"> (</w:t>
      </w:r>
      <w:r w:rsidR="003F0B72">
        <w:rPr>
          <w:rFonts w:asciiTheme="majorBidi" w:hAnsiTheme="majorBidi" w:cstheme="majorBidi"/>
          <w:szCs w:val="24"/>
        </w:rPr>
        <w:fldChar w:fldCharType="begin"/>
      </w:r>
      <w:r w:rsidR="003F0B72">
        <w:rPr>
          <w:rFonts w:asciiTheme="majorBidi" w:hAnsiTheme="majorBidi" w:cstheme="majorBidi"/>
          <w:szCs w:val="24"/>
        </w:rPr>
        <w:instrText xml:space="preserve"> REF _Ref515980640 \h </w:instrText>
      </w:r>
      <w:r w:rsidR="003F0B72">
        <w:rPr>
          <w:rFonts w:asciiTheme="majorBidi" w:hAnsiTheme="majorBidi" w:cstheme="majorBidi"/>
          <w:szCs w:val="24"/>
        </w:rPr>
      </w:r>
      <w:r w:rsidR="003F0B72">
        <w:rPr>
          <w:rFonts w:asciiTheme="majorBidi" w:hAnsiTheme="majorBidi" w:cstheme="majorBidi"/>
          <w:szCs w:val="24"/>
        </w:rPr>
        <w:fldChar w:fldCharType="separate"/>
      </w:r>
      <w:r w:rsidR="00E35FAB">
        <w:t xml:space="preserve">Table </w:t>
      </w:r>
      <w:r w:rsidR="00E35FAB">
        <w:rPr>
          <w:noProof/>
        </w:rPr>
        <w:t>6</w:t>
      </w:r>
      <w:r w:rsidR="003F0B72">
        <w:rPr>
          <w:rFonts w:asciiTheme="majorBidi" w:hAnsiTheme="majorBidi" w:cstheme="majorBidi"/>
          <w:szCs w:val="24"/>
        </w:rPr>
        <w:fldChar w:fldCharType="end"/>
      </w:r>
      <w:r w:rsidR="003F0B72">
        <w:rPr>
          <w:rFonts w:asciiTheme="majorBidi" w:hAnsiTheme="majorBidi" w:cstheme="majorBidi"/>
          <w:szCs w:val="24"/>
        </w:rPr>
        <w:t>)</w:t>
      </w:r>
      <w:r w:rsidR="003F0B72" w:rsidRPr="002F64A6">
        <w:rPr>
          <w:rFonts w:asciiTheme="majorBidi" w:hAnsiTheme="majorBidi" w:cstheme="majorBidi"/>
          <w:szCs w:val="24"/>
        </w:rPr>
        <w:t>.</w:t>
      </w:r>
      <w:r w:rsidR="003F0B72" w:rsidRPr="002F64A6">
        <w:rPr>
          <w:rStyle w:val="FootnoteReference"/>
          <w:rFonts w:asciiTheme="majorBidi" w:hAnsiTheme="majorBidi" w:cstheme="majorBidi"/>
          <w:szCs w:val="24"/>
        </w:rPr>
        <w:footnoteReference w:id="96"/>
      </w:r>
      <w:r w:rsidR="003F0B72">
        <w:rPr>
          <w:rFonts w:asciiTheme="majorBidi" w:hAnsiTheme="majorBidi" w:cstheme="majorBidi"/>
          <w:szCs w:val="24"/>
        </w:rPr>
        <w:t xml:space="preserve"> For the basic provisions of the Canadian provinces</w:t>
      </w:r>
      <w:r w:rsidR="00DB23CF">
        <w:rPr>
          <w:rFonts w:asciiTheme="majorBidi" w:hAnsiTheme="majorBidi" w:cstheme="majorBidi"/>
          <w:szCs w:val="24"/>
        </w:rPr>
        <w:t>’</w:t>
      </w:r>
      <w:r w:rsidR="003F0B72">
        <w:rPr>
          <w:rFonts w:asciiTheme="majorBidi" w:hAnsiTheme="majorBidi" w:cstheme="majorBidi"/>
          <w:szCs w:val="24"/>
        </w:rPr>
        <w:t xml:space="preserve"> heat stress standards, see </w:t>
      </w:r>
      <w:r w:rsidR="003F0B72">
        <w:rPr>
          <w:rFonts w:asciiTheme="majorBidi" w:hAnsiTheme="majorBidi" w:cstheme="majorBidi"/>
          <w:szCs w:val="24"/>
        </w:rPr>
        <w:fldChar w:fldCharType="begin"/>
      </w:r>
      <w:r w:rsidR="003F0B72">
        <w:rPr>
          <w:rFonts w:asciiTheme="majorBidi" w:hAnsiTheme="majorBidi" w:cstheme="majorBidi"/>
          <w:szCs w:val="24"/>
        </w:rPr>
        <w:instrText xml:space="preserve"> REF _Ref515982349 \h </w:instrText>
      </w:r>
      <w:r w:rsidR="003F0B72">
        <w:rPr>
          <w:rFonts w:asciiTheme="majorBidi" w:hAnsiTheme="majorBidi" w:cstheme="majorBidi"/>
          <w:szCs w:val="24"/>
        </w:rPr>
      </w:r>
      <w:r w:rsidR="003F0B72">
        <w:rPr>
          <w:rFonts w:asciiTheme="majorBidi" w:hAnsiTheme="majorBidi" w:cstheme="majorBidi"/>
          <w:szCs w:val="24"/>
        </w:rPr>
        <w:fldChar w:fldCharType="separate"/>
      </w:r>
      <w:r w:rsidR="00E35FAB">
        <w:t xml:space="preserve">Table </w:t>
      </w:r>
      <w:r w:rsidR="00E35FAB">
        <w:rPr>
          <w:noProof/>
        </w:rPr>
        <w:t>9</w:t>
      </w:r>
      <w:r w:rsidR="003F0B72">
        <w:rPr>
          <w:rFonts w:asciiTheme="majorBidi" w:hAnsiTheme="majorBidi" w:cstheme="majorBidi"/>
          <w:szCs w:val="24"/>
        </w:rPr>
        <w:fldChar w:fldCharType="end"/>
      </w:r>
      <w:r w:rsidR="003F0B72">
        <w:rPr>
          <w:rFonts w:asciiTheme="majorBidi" w:hAnsiTheme="majorBidi" w:cstheme="majorBidi"/>
          <w:szCs w:val="24"/>
        </w:rPr>
        <w:t xml:space="preserve"> in the Appendix.</w:t>
      </w:r>
      <w:r w:rsidR="0046650A">
        <w:rPr>
          <w:rFonts w:asciiTheme="majorBidi" w:hAnsiTheme="majorBidi" w:cstheme="majorBidi"/>
          <w:szCs w:val="24"/>
        </w:rPr>
        <w:t xml:space="preserve"> </w:t>
      </w:r>
      <w:r w:rsidR="0046650A" w:rsidRPr="002F64A6">
        <w:rPr>
          <w:rFonts w:asciiTheme="majorBidi" w:hAnsiTheme="majorBidi" w:cstheme="majorBidi"/>
          <w:szCs w:val="24"/>
        </w:rPr>
        <w:t>Canada</w:t>
      </w:r>
      <w:r w:rsidR="00DB23CF">
        <w:rPr>
          <w:rFonts w:asciiTheme="majorBidi" w:hAnsiTheme="majorBidi" w:cstheme="majorBidi"/>
          <w:szCs w:val="24"/>
        </w:rPr>
        <w:t>’</w:t>
      </w:r>
      <w:r w:rsidR="0046650A" w:rsidRPr="002F64A6">
        <w:rPr>
          <w:rFonts w:asciiTheme="majorBidi" w:hAnsiTheme="majorBidi" w:cstheme="majorBidi"/>
          <w:szCs w:val="24"/>
        </w:rPr>
        <w:t xml:space="preserve">s federal government has </w:t>
      </w:r>
      <w:r w:rsidR="0046650A">
        <w:rPr>
          <w:rFonts w:asciiTheme="majorBidi" w:hAnsiTheme="majorBidi" w:cstheme="majorBidi"/>
          <w:szCs w:val="24"/>
        </w:rPr>
        <w:t>established permissible temperature ranges for food service workers</w:t>
      </w:r>
      <w:r w:rsidR="0046650A">
        <w:rPr>
          <w:rStyle w:val="FootnoteReference"/>
          <w:rFonts w:asciiTheme="majorBidi" w:hAnsiTheme="majorBidi" w:cstheme="majorBidi"/>
          <w:szCs w:val="24"/>
        </w:rPr>
        <w:footnoteReference w:id="97"/>
      </w:r>
      <w:r w:rsidR="0046650A">
        <w:rPr>
          <w:rFonts w:asciiTheme="majorBidi" w:hAnsiTheme="majorBidi" w:cstheme="majorBidi"/>
          <w:szCs w:val="24"/>
        </w:rPr>
        <w:t xml:space="preserve"> and workplace first aid rooms,</w:t>
      </w:r>
      <w:r w:rsidR="0046650A">
        <w:rPr>
          <w:rStyle w:val="FootnoteReference"/>
          <w:rFonts w:asciiTheme="majorBidi" w:hAnsiTheme="majorBidi" w:cstheme="majorBidi"/>
          <w:szCs w:val="24"/>
        </w:rPr>
        <w:footnoteReference w:id="98"/>
      </w:r>
      <w:r w:rsidR="0046650A">
        <w:rPr>
          <w:rFonts w:asciiTheme="majorBidi" w:hAnsiTheme="majorBidi" w:cstheme="majorBidi"/>
          <w:szCs w:val="24"/>
        </w:rPr>
        <w:t xml:space="preserve"> as well as a temperature at which a heat barrier must be provided to protect the operator of motorized materials handling equipment.</w:t>
      </w:r>
      <w:r w:rsidR="0046650A">
        <w:rPr>
          <w:rStyle w:val="FootnoteReference"/>
          <w:rFonts w:asciiTheme="majorBidi" w:hAnsiTheme="majorBidi" w:cstheme="majorBidi"/>
          <w:szCs w:val="24"/>
        </w:rPr>
        <w:footnoteReference w:id="99"/>
      </w:r>
    </w:p>
    <w:p w14:paraId="31F43313" w14:textId="3D31CF5C" w:rsidR="001F1E3A" w:rsidRDefault="001F1E3A" w:rsidP="005A54A2">
      <w:pPr>
        <w:pStyle w:val="Caption"/>
        <w:ind w:left="720" w:right="720"/>
      </w:pPr>
      <w:bookmarkStart w:id="29" w:name="_Ref515980640"/>
      <w:r>
        <w:t xml:space="preserve">Table </w:t>
      </w:r>
      <w:r w:rsidR="00A46EC9">
        <w:fldChar w:fldCharType="begin"/>
      </w:r>
      <w:r w:rsidR="00A46EC9">
        <w:instrText xml:space="preserve"> SEQ Table \* ARABIC </w:instrText>
      </w:r>
      <w:r w:rsidR="00A46EC9">
        <w:fldChar w:fldCharType="separate"/>
      </w:r>
      <w:r w:rsidR="00E35FAB">
        <w:rPr>
          <w:noProof/>
        </w:rPr>
        <w:t>6</w:t>
      </w:r>
      <w:r w:rsidR="00A46EC9">
        <w:rPr>
          <w:noProof/>
        </w:rPr>
        <w:fldChar w:fldCharType="end"/>
      </w:r>
      <w:bookmarkEnd w:id="29"/>
      <w:r>
        <w:t xml:space="preserve">. </w:t>
      </w:r>
      <w:r w:rsidR="004E3EC6">
        <w:t>Canadian t</w:t>
      </w:r>
      <w:r>
        <w:t>hreshold limit values for W</w:t>
      </w:r>
      <w:r w:rsidR="005A54A2">
        <w:t>BGTs</w:t>
      </w:r>
      <w:r w:rsidR="007239EE">
        <w:t xml:space="preserve"> </w:t>
      </w:r>
      <w:r>
        <w:t>in hot conditions</w:t>
      </w:r>
      <w:r w:rsidR="007239EE">
        <w:br/>
      </w:r>
      <w:r w:rsidR="00EE7C2F">
        <w:t>(</w:t>
      </w:r>
      <w:r w:rsidR="005A54A2">
        <w:t>based on ACGIH recommendations</w:t>
      </w:r>
      <w:r w:rsidR="00EE7C2F">
        <w:t>)</w:t>
      </w:r>
    </w:p>
    <w:tbl>
      <w:tblPr>
        <w:tblStyle w:val="LightShading-Accent5"/>
        <w:tblW w:w="4500" w:type="pct"/>
        <w:jc w:val="center"/>
        <w:tblLayout w:type="fixed"/>
        <w:tblLook w:val="04A0" w:firstRow="1" w:lastRow="0" w:firstColumn="1" w:lastColumn="0" w:noHBand="0" w:noVBand="1"/>
      </w:tblPr>
      <w:tblGrid>
        <w:gridCol w:w="1872"/>
        <w:gridCol w:w="1635"/>
        <w:gridCol w:w="1636"/>
        <w:gridCol w:w="1636"/>
        <w:gridCol w:w="1636"/>
      </w:tblGrid>
      <w:tr w:rsidR="00937F43" w:rsidRPr="00BD3868" w14:paraId="7C20DBAE" w14:textId="77777777" w:rsidTr="00937F43">
        <w:trPr>
          <w:cnfStyle w:val="100000000000" w:firstRow="1" w:lastRow="0" w:firstColumn="0" w:lastColumn="0" w:oddVBand="0" w:evenVBand="0" w:oddHBand="0" w:evenHBand="0" w:firstRowFirstColumn="0" w:firstRowLastColumn="0" w:lastRowFirstColumn="0" w:lastRowLastColumn="0"/>
          <w:trHeight w:val="345"/>
          <w:jc w:val="center"/>
        </w:trPr>
        <w:tc>
          <w:tcPr>
            <w:cnfStyle w:val="001000000000" w:firstRow="0" w:lastRow="0" w:firstColumn="1" w:lastColumn="0" w:oddVBand="0" w:evenVBand="0" w:oddHBand="0" w:evenHBand="0" w:firstRowFirstColumn="0" w:firstRowLastColumn="0" w:lastRowFirstColumn="0" w:lastRowLastColumn="0"/>
            <w:tcW w:w="1919" w:type="dxa"/>
            <w:noWrap/>
            <w:hideMark/>
          </w:tcPr>
          <w:p w14:paraId="273499EC" w14:textId="1F5BCF4C" w:rsidR="00BD3868" w:rsidRPr="00BD3868" w:rsidRDefault="00BD3868" w:rsidP="00055FBF">
            <w:pPr>
              <w:pStyle w:val="TableHeading"/>
            </w:pPr>
            <w:r w:rsidRPr="00BD3868">
              <w:t xml:space="preserve">Work/rest ratio </w:t>
            </w:r>
            <w:r w:rsidR="00055FBF">
              <w:t>(mins</w:t>
            </w:r>
            <w:r w:rsidRPr="00BD3868">
              <w:t xml:space="preserve"> per hour)</w:t>
            </w:r>
          </w:p>
        </w:tc>
        <w:tc>
          <w:tcPr>
            <w:tcW w:w="1674" w:type="dxa"/>
            <w:noWrap/>
            <w:hideMark/>
          </w:tcPr>
          <w:p w14:paraId="2801ADB4" w14:textId="375B7A82" w:rsidR="00BD3868" w:rsidRPr="00BD3868" w:rsidRDefault="00BD3868" w:rsidP="00812EBE">
            <w:pPr>
              <w:pStyle w:val="TableHeading"/>
              <w:cnfStyle w:val="100000000000" w:firstRow="1" w:lastRow="0" w:firstColumn="0" w:lastColumn="0" w:oddVBand="0" w:evenVBand="0" w:oddHBand="0" w:evenHBand="0" w:firstRowFirstColumn="0" w:firstRowLastColumn="0" w:lastRowFirstColumn="0" w:lastRowLastColumn="0"/>
            </w:pPr>
            <w:r w:rsidRPr="00BD3868">
              <w:t>Light, °C (65</w:t>
            </w:r>
            <w:r w:rsidR="00812EBE">
              <w:t>–</w:t>
            </w:r>
            <w:r w:rsidRPr="00BD3868">
              <w:t>130 W/m</w:t>
            </w:r>
            <w:r w:rsidRPr="00BD3868">
              <w:rPr>
                <w:vertAlign w:val="superscript"/>
              </w:rPr>
              <w:t>2</w:t>
            </w:r>
            <w:r w:rsidRPr="00BD3868">
              <w:t>)</w:t>
            </w:r>
          </w:p>
        </w:tc>
        <w:tc>
          <w:tcPr>
            <w:tcW w:w="1675" w:type="dxa"/>
            <w:noWrap/>
            <w:hideMark/>
          </w:tcPr>
          <w:p w14:paraId="6371AA5B" w14:textId="77777777" w:rsidR="00BD3868" w:rsidRPr="00BD3868" w:rsidRDefault="00BD3868" w:rsidP="00BD3868">
            <w:pPr>
              <w:pStyle w:val="TableHeading"/>
              <w:cnfStyle w:val="100000000000" w:firstRow="1" w:lastRow="0" w:firstColumn="0" w:lastColumn="0" w:oddVBand="0" w:evenVBand="0" w:oddHBand="0" w:evenHBand="0" w:firstRowFirstColumn="0" w:firstRowLastColumn="0" w:lastRowFirstColumn="0" w:lastRowLastColumn="0"/>
            </w:pPr>
            <w:r w:rsidRPr="00BD3868">
              <w:t>Moderate, °C (130–200 W/m</w:t>
            </w:r>
            <w:r w:rsidRPr="00BD3868">
              <w:rPr>
                <w:vertAlign w:val="superscript"/>
              </w:rPr>
              <w:t>2</w:t>
            </w:r>
            <w:r w:rsidRPr="00BD3868">
              <w:t>)</w:t>
            </w:r>
          </w:p>
        </w:tc>
        <w:tc>
          <w:tcPr>
            <w:tcW w:w="1675" w:type="dxa"/>
            <w:noWrap/>
            <w:hideMark/>
          </w:tcPr>
          <w:p w14:paraId="1AA14857" w14:textId="77777777" w:rsidR="00BD3868" w:rsidRPr="00BD3868" w:rsidRDefault="00BD3868" w:rsidP="00BD3868">
            <w:pPr>
              <w:pStyle w:val="TableHeading"/>
              <w:cnfStyle w:val="100000000000" w:firstRow="1" w:lastRow="0" w:firstColumn="0" w:lastColumn="0" w:oddVBand="0" w:evenVBand="0" w:oddHBand="0" w:evenHBand="0" w:firstRowFirstColumn="0" w:firstRowLastColumn="0" w:lastRowFirstColumn="0" w:lastRowLastColumn="0"/>
            </w:pPr>
            <w:r w:rsidRPr="00BD3868">
              <w:t>Heavy, °C (200–260 W/m</w:t>
            </w:r>
            <w:r w:rsidRPr="00BD3868">
              <w:rPr>
                <w:vertAlign w:val="superscript"/>
              </w:rPr>
              <w:t>2</w:t>
            </w:r>
            <w:r w:rsidRPr="00BD3868">
              <w:t>)</w:t>
            </w:r>
          </w:p>
        </w:tc>
        <w:tc>
          <w:tcPr>
            <w:tcW w:w="1675" w:type="dxa"/>
            <w:noWrap/>
            <w:hideMark/>
          </w:tcPr>
          <w:p w14:paraId="3860FEEF" w14:textId="280E6243" w:rsidR="00BD3868" w:rsidRPr="00BD3868" w:rsidRDefault="00BD3868" w:rsidP="00BD3868">
            <w:pPr>
              <w:pStyle w:val="TableHeading"/>
              <w:cnfStyle w:val="100000000000" w:firstRow="1" w:lastRow="0" w:firstColumn="0" w:lastColumn="0" w:oddVBand="0" w:evenVBand="0" w:oddHBand="0" w:evenHBand="0" w:firstRowFirstColumn="0" w:firstRowLastColumn="0" w:lastRowFirstColumn="0" w:lastRowLastColumn="0"/>
            </w:pPr>
            <w:r w:rsidRPr="00BD3868">
              <w:t>Very heavy, °C (&gt;260</w:t>
            </w:r>
            <w:r>
              <w:t xml:space="preserve"> </w:t>
            </w:r>
            <w:r w:rsidRPr="00BD3868">
              <w:t>W/m</w:t>
            </w:r>
            <w:r w:rsidRPr="00BD3868">
              <w:rPr>
                <w:vertAlign w:val="superscript"/>
              </w:rPr>
              <w:t>2</w:t>
            </w:r>
            <w:r w:rsidRPr="00BD3868">
              <w:t>)</w:t>
            </w:r>
          </w:p>
        </w:tc>
      </w:tr>
      <w:tr w:rsidR="00BD3868" w:rsidRPr="00BD3868" w14:paraId="0CE30CFE" w14:textId="77777777" w:rsidTr="00937F4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618" w:type="dxa"/>
            <w:gridSpan w:val="5"/>
            <w:noWrap/>
            <w:hideMark/>
          </w:tcPr>
          <w:p w14:paraId="2EEE73F3" w14:textId="2F1447F8" w:rsidR="00BD3868" w:rsidRPr="00BD3868" w:rsidRDefault="00BD3868" w:rsidP="00BD3868">
            <w:pPr>
              <w:pStyle w:val="TableLeft"/>
              <w:rPr>
                <w:rFonts w:eastAsia="Times New Roman"/>
                <w:sz w:val="20"/>
                <w:szCs w:val="20"/>
              </w:rPr>
            </w:pPr>
            <w:r w:rsidRPr="00BD3868">
              <w:t>Acclimatized</w:t>
            </w:r>
            <w:r w:rsidR="000941A6">
              <w:t xml:space="preserve"> population</w:t>
            </w:r>
          </w:p>
        </w:tc>
      </w:tr>
      <w:tr w:rsidR="00937F43" w:rsidRPr="00BD3868" w14:paraId="213CE272" w14:textId="77777777" w:rsidTr="00937F43">
        <w:trPr>
          <w:cnfStyle w:val="000000010000" w:firstRow="0" w:lastRow="0" w:firstColumn="0" w:lastColumn="0" w:oddVBand="0" w:evenVBand="0" w:oddHBand="0" w:evenHBand="1"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919" w:type="dxa"/>
            <w:noWrap/>
            <w:hideMark/>
          </w:tcPr>
          <w:p w14:paraId="7D762C55" w14:textId="77777777" w:rsidR="00BD3868" w:rsidRPr="00BD3868" w:rsidRDefault="00BD3868" w:rsidP="00BD3868">
            <w:pPr>
              <w:pStyle w:val="TableCenter"/>
            </w:pPr>
            <w:r w:rsidRPr="00BD3868">
              <w:t>60/0</w:t>
            </w:r>
          </w:p>
        </w:tc>
        <w:tc>
          <w:tcPr>
            <w:tcW w:w="1674" w:type="dxa"/>
            <w:noWrap/>
            <w:hideMark/>
          </w:tcPr>
          <w:p w14:paraId="398FC4B2" w14:textId="77777777" w:rsidR="00BD3868" w:rsidRPr="00BD3868" w:rsidRDefault="00BD3868" w:rsidP="00BD3868">
            <w:pPr>
              <w:pStyle w:val="TableCenter"/>
              <w:cnfStyle w:val="000000010000" w:firstRow="0" w:lastRow="0" w:firstColumn="0" w:lastColumn="0" w:oddVBand="0" w:evenVBand="0" w:oddHBand="0" w:evenHBand="1" w:firstRowFirstColumn="0" w:firstRowLastColumn="0" w:lastRowFirstColumn="0" w:lastRowLastColumn="0"/>
            </w:pPr>
            <w:r w:rsidRPr="00BD3868">
              <w:t>29.5</w:t>
            </w:r>
          </w:p>
        </w:tc>
        <w:tc>
          <w:tcPr>
            <w:tcW w:w="1675" w:type="dxa"/>
            <w:noWrap/>
            <w:hideMark/>
          </w:tcPr>
          <w:p w14:paraId="5B79B867" w14:textId="77777777" w:rsidR="00BD3868" w:rsidRPr="00BD3868" w:rsidRDefault="00BD3868" w:rsidP="00BD3868">
            <w:pPr>
              <w:pStyle w:val="TableCenter"/>
              <w:cnfStyle w:val="000000010000" w:firstRow="0" w:lastRow="0" w:firstColumn="0" w:lastColumn="0" w:oddVBand="0" w:evenVBand="0" w:oddHBand="0" w:evenHBand="1" w:firstRowFirstColumn="0" w:firstRowLastColumn="0" w:lastRowFirstColumn="0" w:lastRowLastColumn="0"/>
            </w:pPr>
            <w:r w:rsidRPr="00BD3868">
              <w:t>27.5</w:t>
            </w:r>
          </w:p>
        </w:tc>
        <w:tc>
          <w:tcPr>
            <w:tcW w:w="1675" w:type="dxa"/>
            <w:noWrap/>
            <w:hideMark/>
          </w:tcPr>
          <w:p w14:paraId="67A43C27" w14:textId="77777777" w:rsidR="00BD3868" w:rsidRPr="00BD3868" w:rsidRDefault="00BD3868" w:rsidP="00BD3868">
            <w:pPr>
              <w:pStyle w:val="TableCenter"/>
              <w:cnfStyle w:val="000000010000" w:firstRow="0" w:lastRow="0" w:firstColumn="0" w:lastColumn="0" w:oddVBand="0" w:evenVBand="0" w:oddHBand="0" w:evenHBand="1" w:firstRowFirstColumn="0" w:firstRowLastColumn="0" w:lastRowFirstColumn="0" w:lastRowLastColumn="0"/>
            </w:pPr>
            <w:r w:rsidRPr="00BD3868">
              <w:t>26</w:t>
            </w:r>
          </w:p>
        </w:tc>
        <w:tc>
          <w:tcPr>
            <w:tcW w:w="1675" w:type="dxa"/>
            <w:noWrap/>
            <w:hideMark/>
          </w:tcPr>
          <w:p w14:paraId="22A4A439" w14:textId="6EDEBA85" w:rsidR="00BD3868" w:rsidRPr="00BD3868" w:rsidRDefault="00BD3868" w:rsidP="00BD3868">
            <w:pPr>
              <w:pStyle w:val="TableCenter"/>
              <w:cnfStyle w:val="000000010000" w:firstRow="0" w:lastRow="0" w:firstColumn="0" w:lastColumn="0" w:oddVBand="0" w:evenVBand="0" w:oddHBand="0" w:evenHBand="1" w:firstRowFirstColumn="0" w:firstRowLastColumn="0" w:lastRowFirstColumn="0" w:lastRowLastColumn="0"/>
            </w:pPr>
            <w:r>
              <w:t>–</w:t>
            </w:r>
          </w:p>
        </w:tc>
      </w:tr>
      <w:tr w:rsidR="00937F43" w:rsidRPr="00BD3868" w14:paraId="508BA05A" w14:textId="77777777" w:rsidTr="00937F4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919" w:type="dxa"/>
            <w:noWrap/>
            <w:hideMark/>
          </w:tcPr>
          <w:p w14:paraId="37C7EAAF" w14:textId="77777777" w:rsidR="00BD3868" w:rsidRPr="00BD3868" w:rsidRDefault="00BD3868" w:rsidP="00BD3868">
            <w:pPr>
              <w:pStyle w:val="TableCenter"/>
            </w:pPr>
            <w:r w:rsidRPr="00BD3868">
              <w:t>45/15</w:t>
            </w:r>
          </w:p>
        </w:tc>
        <w:tc>
          <w:tcPr>
            <w:tcW w:w="1674" w:type="dxa"/>
            <w:noWrap/>
            <w:hideMark/>
          </w:tcPr>
          <w:p w14:paraId="0B83090E" w14:textId="77777777" w:rsidR="00BD3868" w:rsidRPr="00BD3868" w:rsidRDefault="00BD3868" w:rsidP="00BD3868">
            <w:pPr>
              <w:pStyle w:val="TableCenter"/>
              <w:cnfStyle w:val="000000100000" w:firstRow="0" w:lastRow="0" w:firstColumn="0" w:lastColumn="0" w:oddVBand="0" w:evenVBand="0" w:oddHBand="1" w:evenHBand="0" w:firstRowFirstColumn="0" w:firstRowLastColumn="0" w:lastRowFirstColumn="0" w:lastRowLastColumn="0"/>
            </w:pPr>
            <w:r w:rsidRPr="00BD3868">
              <w:t>30.5</w:t>
            </w:r>
          </w:p>
        </w:tc>
        <w:tc>
          <w:tcPr>
            <w:tcW w:w="1675" w:type="dxa"/>
            <w:noWrap/>
            <w:hideMark/>
          </w:tcPr>
          <w:p w14:paraId="3CFF0A85" w14:textId="77777777" w:rsidR="00BD3868" w:rsidRPr="00BD3868" w:rsidRDefault="00BD3868" w:rsidP="00BD3868">
            <w:pPr>
              <w:pStyle w:val="TableCenter"/>
              <w:cnfStyle w:val="000000100000" w:firstRow="0" w:lastRow="0" w:firstColumn="0" w:lastColumn="0" w:oddVBand="0" w:evenVBand="0" w:oddHBand="1" w:evenHBand="0" w:firstRowFirstColumn="0" w:firstRowLastColumn="0" w:lastRowFirstColumn="0" w:lastRowLastColumn="0"/>
            </w:pPr>
            <w:r w:rsidRPr="00BD3868">
              <w:t>28.5</w:t>
            </w:r>
          </w:p>
        </w:tc>
        <w:tc>
          <w:tcPr>
            <w:tcW w:w="1675" w:type="dxa"/>
            <w:noWrap/>
            <w:hideMark/>
          </w:tcPr>
          <w:p w14:paraId="1F435F25" w14:textId="77777777" w:rsidR="00BD3868" w:rsidRPr="00BD3868" w:rsidRDefault="00BD3868" w:rsidP="00BD3868">
            <w:pPr>
              <w:pStyle w:val="TableCenter"/>
              <w:cnfStyle w:val="000000100000" w:firstRow="0" w:lastRow="0" w:firstColumn="0" w:lastColumn="0" w:oddVBand="0" w:evenVBand="0" w:oddHBand="1" w:evenHBand="0" w:firstRowFirstColumn="0" w:firstRowLastColumn="0" w:lastRowFirstColumn="0" w:lastRowLastColumn="0"/>
            </w:pPr>
            <w:r w:rsidRPr="00BD3868">
              <w:t>27.5</w:t>
            </w:r>
          </w:p>
        </w:tc>
        <w:tc>
          <w:tcPr>
            <w:tcW w:w="1675" w:type="dxa"/>
            <w:noWrap/>
            <w:hideMark/>
          </w:tcPr>
          <w:p w14:paraId="76A5C536" w14:textId="35496676" w:rsidR="00BD3868" w:rsidRPr="00BD3868" w:rsidRDefault="00BD3868" w:rsidP="00BD3868">
            <w:pPr>
              <w:pStyle w:val="TableCenter"/>
              <w:cnfStyle w:val="000000100000" w:firstRow="0" w:lastRow="0" w:firstColumn="0" w:lastColumn="0" w:oddVBand="0" w:evenVBand="0" w:oddHBand="1" w:evenHBand="0" w:firstRowFirstColumn="0" w:firstRowLastColumn="0" w:lastRowFirstColumn="0" w:lastRowLastColumn="0"/>
            </w:pPr>
            <w:r>
              <w:t>–</w:t>
            </w:r>
          </w:p>
        </w:tc>
      </w:tr>
      <w:tr w:rsidR="00937F43" w:rsidRPr="00BD3868" w14:paraId="4C5ED91D" w14:textId="77777777" w:rsidTr="00937F43">
        <w:trPr>
          <w:cnfStyle w:val="000000010000" w:firstRow="0" w:lastRow="0" w:firstColumn="0" w:lastColumn="0" w:oddVBand="0" w:evenVBand="0" w:oddHBand="0" w:evenHBand="1"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919" w:type="dxa"/>
            <w:noWrap/>
            <w:hideMark/>
          </w:tcPr>
          <w:p w14:paraId="179380BA" w14:textId="77777777" w:rsidR="00BD3868" w:rsidRPr="00BD3868" w:rsidRDefault="00BD3868" w:rsidP="00BD3868">
            <w:pPr>
              <w:pStyle w:val="TableCenter"/>
            </w:pPr>
            <w:r w:rsidRPr="00BD3868">
              <w:t>30/30</w:t>
            </w:r>
          </w:p>
        </w:tc>
        <w:tc>
          <w:tcPr>
            <w:tcW w:w="1674" w:type="dxa"/>
            <w:noWrap/>
            <w:hideMark/>
          </w:tcPr>
          <w:p w14:paraId="10BE25DB" w14:textId="77777777" w:rsidR="00BD3868" w:rsidRPr="00BD3868" w:rsidRDefault="00BD3868" w:rsidP="00BD3868">
            <w:pPr>
              <w:pStyle w:val="TableCenter"/>
              <w:cnfStyle w:val="000000010000" w:firstRow="0" w:lastRow="0" w:firstColumn="0" w:lastColumn="0" w:oddVBand="0" w:evenVBand="0" w:oddHBand="0" w:evenHBand="1" w:firstRowFirstColumn="0" w:firstRowLastColumn="0" w:lastRowFirstColumn="0" w:lastRowLastColumn="0"/>
            </w:pPr>
            <w:r w:rsidRPr="00BD3868">
              <w:t>31.5</w:t>
            </w:r>
          </w:p>
        </w:tc>
        <w:tc>
          <w:tcPr>
            <w:tcW w:w="1675" w:type="dxa"/>
            <w:noWrap/>
            <w:hideMark/>
          </w:tcPr>
          <w:p w14:paraId="69BF0491" w14:textId="77777777" w:rsidR="00BD3868" w:rsidRPr="00BD3868" w:rsidRDefault="00BD3868" w:rsidP="00BD3868">
            <w:pPr>
              <w:pStyle w:val="TableCenter"/>
              <w:cnfStyle w:val="000000010000" w:firstRow="0" w:lastRow="0" w:firstColumn="0" w:lastColumn="0" w:oddVBand="0" w:evenVBand="0" w:oddHBand="0" w:evenHBand="1" w:firstRowFirstColumn="0" w:firstRowLastColumn="0" w:lastRowFirstColumn="0" w:lastRowLastColumn="0"/>
            </w:pPr>
            <w:r w:rsidRPr="00BD3868">
              <w:t>29.5</w:t>
            </w:r>
          </w:p>
        </w:tc>
        <w:tc>
          <w:tcPr>
            <w:tcW w:w="1675" w:type="dxa"/>
            <w:noWrap/>
            <w:hideMark/>
          </w:tcPr>
          <w:p w14:paraId="601F2FDA" w14:textId="77777777" w:rsidR="00BD3868" w:rsidRPr="00BD3868" w:rsidRDefault="00BD3868" w:rsidP="00BD3868">
            <w:pPr>
              <w:pStyle w:val="TableCenter"/>
              <w:cnfStyle w:val="000000010000" w:firstRow="0" w:lastRow="0" w:firstColumn="0" w:lastColumn="0" w:oddVBand="0" w:evenVBand="0" w:oddHBand="0" w:evenHBand="1" w:firstRowFirstColumn="0" w:firstRowLastColumn="0" w:lastRowFirstColumn="0" w:lastRowLastColumn="0"/>
            </w:pPr>
            <w:r w:rsidRPr="00BD3868">
              <w:t>28.5</w:t>
            </w:r>
          </w:p>
        </w:tc>
        <w:tc>
          <w:tcPr>
            <w:tcW w:w="1675" w:type="dxa"/>
            <w:noWrap/>
            <w:hideMark/>
          </w:tcPr>
          <w:p w14:paraId="277B9DBB" w14:textId="77777777" w:rsidR="00BD3868" w:rsidRPr="00BD3868" w:rsidRDefault="00BD3868" w:rsidP="00BD3868">
            <w:pPr>
              <w:pStyle w:val="TableCenter"/>
              <w:cnfStyle w:val="000000010000" w:firstRow="0" w:lastRow="0" w:firstColumn="0" w:lastColumn="0" w:oddVBand="0" w:evenVBand="0" w:oddHBand="0" w:evenHBand="1" w:firstRowFirstColumn="0" w:firstRowLastColumn="0" w:lastRowFirstColumn="0" w:lastRowLastColumn="0"/>
            </w:pPr>
            <w:r w:rsidRPr="00BD3868">
              <w:t>27.5</w:t>
            </w:r>
          </w:p>
        </w:tc>
      </w:tr>
      <w:tr w:rsidR="00937F43" w:rsidRPr="00BD3868" w14:paraId="792B830A" w14:textId="77777777" w:rsidTr="00937F4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919" w:type="dxa"/>
            <w:noWrap/>
            <w:hideMark/>
          </w:tcPr>
          <w:p w14:paraId="6DBC00A1" w14:textId="77777777" w:rsidR="00BD3868" w:rsidRPr="00BD3868" w:rsidRDefault="00BD3868" w:rsidP="00BD3868">
            <w:pPr>
              <w:pStyle w:val="TableCenter"/>
            </w:pPr>
            <w:r w:rsidRPr="00BD3868">
              <w:t>15/45</w:t>
            </w:r>
          </w:p>
        </w:tc>
        <w:tc>
          <w:tcPr>
            <w:tcW w:w="1674" w:type="dxa"/>
            <w:noWrap/>
            <w:hideMark/>
          </w:tcPr>
          <w:p w14:paraId="60710B2F" w14:textId="77777777" w:rsidR="00BD3868" w:rsidRPr="00BD3868" w:rsidRDefault="00BD3868" w:rsidP="00BD3868">
            <w:pPr>
              <w:pStyle w:val="TableCenter"/>
              <w:cnfStyle w:val="000000100000" w:firstRow="0" w:lastRow="0" w:firstColumn="0" w:lastColumn="0" w:oddVBand="0" w:evenVBand="0" w:oddHBand="1" w:evenHBand="0" w:firstRowFirstColumn="0" w:firstRowLastColumn="0" w:lastRowFirstColumn="0" w:lastRowLastColumn="0"/>
            </w:pPr>
            <w:r w:rsidRPr="00BD3868">
              <w:t>32.5</w:t>
            </w:r>
          </w:p>
        </w:tc>
        <w:tc>
          <w:tcPr>
            <w:tcW w:w="1675" w:type="dxa"/>
            <w:noWrap/>
            <w:hideMark/>
          </w:tcPr>
          <w:p w14:paraId="6BC6FD16" w14:textId="77777777" w:rsidR="00BD3868" w:rsidRPr="00BD3868" w:rsidRDefault="00BD3868" w:rsidP="00BD3868">
            <w:pPr>
              <w:pStyle w:val="TableCenter"/>
              <w:cnfStyle w:val="000000100000" w:firstRow="0" w:lastRow="0" w:firstColumn="0" w:lastColumn="0" w:oddVBand="0" w:evenVBand="0" w:oddHBand="1" w:evenHBand="0" w:firstRowFirstColumn="0" w:firstRowLastColumn="0" w:lastRowFirstColumn="0" w:lastRowLastColumn="0"/>
            </w:pPr>
            <w:r w:rsidRPr="00BD3868">
              <w:t>31</w:t>
            </w:r>
          </w:p>
        </w:tc>
        <w:tc>
          <w:tcPr>
            <w:tcW w:w="1675" w:type="dxa"/>
            <w:noWrap/>
            <w:hideMark/>
          </w:tcPr>
          <w:p w14:paraId="4BE82E3A" w14:textId="77777777" w:rsidR="00BD3868" w:rsidRPr="00BD3868" w:rsidRDefault="00BD3868" w:rsidP="00BD3868">
            <w:pPr>
              <w:pStyle w:val="TableCenter"/>
              <w:cnfStyle w:val="000000100000" w:firstRow="0" w:lastRow="0" w:firstColumn="0" w:lastColumn="0" w:oddVBand="0" w:evenVBand="0" w:oddHBand="1" w:evenHBand="0" w:firstRowFirstColumn="0" w:firstRowLastColumn="0" w:lastRowFirstColumn="0" w:lastRowLastColumn="0"/>
            </w:pPr>
            <w:r w:rsidRPr="00BD3868">
              <w:t>30</w:t>
            </w:r>
          </w:p>
        </w:tc>
        <w:tc>
          <w:tcPr>
            <w:tcW w:w="1675" w:type="dxa"/>
            <w:noWrap/>
            <w:hideMark/>
          </w:tcPr>
          <w:p w14:paraId="25423D04" w14:textId="77777777" w:rsidR="00BD3868" w:rsidRPr="00BD3868" w:rsidRDefault="00BD3868" w:rsidP="00BD3868">
            <w:pPr>
              <w:pStyle w:val="TableCenter"/>
              <w:cnfStyle w:val="000000100000" w:firstRow="0" w:lastRow="0" w:firstColumn="0" w:lastColumn="0" w:oddVBand="0" w:evenVBand="0" w:oddHBand="1" w:evenHBand="0" w:firstRowFirstColumn="0" w:firstRowLastColumn="0" w:lastRowFirstColumn="0" w:lastRowLastColumn="0"/>
            </w:pPr>
            <w:r w:rsidRPr="00BD3868">
              <w:t>29.5</w:t>
            </w:r>
          </w:p>
        </w:tc>
      </w:tr>
      <w:tr w:rsidR="00BD3868" w:rsidRPr="00BD3868" w14:paraId="0C2AF72D" w14:textId="77777777" w:rsidTr="00937F43">
        <w:trPr>
          <w:cnfStyle w:val="000000010000" w:firstRow="0" w:lastRow="0" w:firstColumn="0" w:lastColumn="0" w:oddVBand="0" w:evenVBand="0" w:oddHBand="0" w:evenHBand="1"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618" w:type="dxa"/>
            <w:gridSpan w:val="5"/>
            <w:noWrap/>
            <w:hideMark/>
          </w:tcPr>
          <w:p w14:paraId="043BFB79" w14:textId="5C216ED7" w:rsidR="00BD3868" w:rsidRPr="00BD3868" w:rsidRDefault="000941A6" w:rsidP="00BD3868">
            <w:pPr>
              <w:pStyle w:val="TableLeft"/>
              <w:rPr>
                <w:rFonts w:eastAsia="Times New Roman"/>
                <w:sz w:val="20"/>
                <w:szCs w:val="20"/>
              </w:rPr>
            </w:pPr>
            <w:r>
              <w:t>Un</w:t>
            </w:r>
            <w:r w:rsidR="00BD3868" w:rsidRPr="00BD3868">
              <w:t>acclimatized</w:t>
            </w:r>
            <w:r>
              <w:t xml:space="preserve"> population</w:t>
            </w:r>
          </w:p>
        </w:tc>
      </w:tr>
      <w:tr w:rsidR="00937F43" w:rsidRPr="00BD3868" w14:paraId="77F2CBD1" w14:textId="77777777" w:rsidTr="00937F4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919" w:type="dxa"/>
            <w:noWrap/>
            <w:hideMark/>
          </w:tcPr>
          <w:p w14:paraId="67591EE2" w14:textId="77777777" w:rsidR="00BD3868" w:rsidRPr="00BD3868" w:rsidRDefault="00BD3868" w:rsidP="00BD3868">
            <w:pPr>
              <w:pStyle w:val="TableCenter"/>
            </w:pPr>
            <w:r w:rsidRPr="00BD3868">
              <w:t>60/0</w:t>
            </w:r>
          </w:p>
        </w:tc>
        <w:tc>
          <w:tcPr>
            <w:tcW w:w="1674" w:type="dxa"/>
            <w:noWrap/>
            <w:hideMark/>
          </w:tcPr>
          <w:p w14:paraId="6102C461" w14:textId="77777777" w:rsidR="00BD3868" w:rsidRPr="00BD3868" w:rsidRDefault="00BD3868" w:rsidP="00BD3868">
            <w:pPr>
              <w:pStyle w:val="TableCenter"/>
              <w:cnfStyle w:val="000000100000" w:firstRow="0" w:lastRow="0" w:firstColumn="0" w:lastColumn="0" w:oddVBand="0" w:evenVBand="0" w:oddHBand="1" w:evenHBand="0" w:firstRowFirstColumn="0" w:firstRowLastColumn="0" w:lastRowFirstColumn="0" w:lastRowLastColumn="0"/>
            </w:pPr>
            <w:r w:rsidRPr="00BD3868">
              <w:t>27.5</w:t>
            </w:r>
          </w:p>
        </w:tc>
        <w:tc>
          <w:tcPr>
            <w:tcW w:w="1675" w:type="dxa"/>
            <w:noWrap/>
            <w:hideMark/>
          </w:tcPr>
          <w:p w14:paraId="423495E1" w14:textId="77777777" w:rsidR="00BD3868" w:rsidRPr="00BD3868" w:rsidRDefault="00BD3868" w:rsidP="00BD3868">
            <w:pPr>
              <w:pStyle w:val="TableCenter"/>
              <w:cnfStyle w:val="000000100000" w:firstRow="0" w:lastRow="0" w:firstColumn="0" w:lastColumn="0" w:oddVBand="0" w:evenVBand="0" w:oddHBand="1" w:evenHBand="0" w:firstRowFirstColumn="0" w:firstRowLastColumn="0" w:lastRowFirstColumn="0" w:lastRowLastColumn="0"/>
            </w:pPr>
            <w:r w:rsidRPr="00BD3868">
              <w:t>25</w:t>
            </w:r>
          </w:p>
        </w:tc>
        <w:tc>
          <w:tcPr>
            <w:tcW w:w="1675" w:type="dxa"/>
            <w:noWrap/>
            <w:hideMark/>
          </w:tcPr>
          <w:p w14:paraId="7666AE01" w14:textId="77777777" w:rsidR="00BD3868" w:rsidRPr="00BD3868" w:rsidRDefault="00BD3868" w:rsidP="00BD3868">
            <w:pPr>
              <w:pStyle w:val="TableCenter"/>
              <w:cnfStyle w:val="000000100000" w:firstRow="0" w:lastRow="0" w:firstColumn="0" w:lastColumn="0" w:oddVBand="0" w:evenVBand="0" w:oddHBand="1" w:evenHBand="0" w:firstRowFirstColumn="0" w:firstRowLastColumn="0" w:lastRowFirstColumn="0" w:lastRowLastColumn="0"/>
            </w:pPr>
            <w:r w:rsidRPr="00BD3868">
              <w:t>22.5</w:t>
            </w:r>
          </w:p>
        </w:tc>
        <w:tc>
          <w:tcPr>
            <w:tcW w:w="1675" w:type="dxa"/>
            <w:noWrap/>
            <w:hideMark/>
          </w:tcPr>
          <w:p w14:paraId="5C2E5153" w14:textId="2AA004F8" w:rsidR="00BD3868" w:rsidRPr="00BD3868" w:rsidRDefault="00BD3868" w:rsidP="00BD3868">
            <w:pPr>
              <w:pStyle w:val="TableCenter"/>
              <w:cnfStyle w:val="000000100000" w:firstRow="0" w:lastRow="0" w:firstColumn="0" w:lastColumn="0" w:oddVBand="0" w:evenVBand="0" w:oddHBand="1" w:evenHBand="0" w:firstRowFirstColumn="0" w:firstRowLastColumn="0" w:lastRowFirstColumn="0" w:lastRowLastColumn="0"/>
            </w:pPr>
            <w:r>
              <w:t>–</w:t>
            </w:r>
          </w:p>
        </w:tc>
      </w:tr>
      <w:tr w:rsidR="00937F43" w:rsidRPr="00BD3868" w14:paraId="1640C5C6" w14:textId="77777777" w:rsidTr="00937F43">
        <w:trPr>
          <w:cnfStyle w:val="000000010000" w:firstRow="0" w:lastRow="0" w:firstColumn="0" w:lastColumn="0" w:oddVBand="0" w:evenVBand="0" w:oddHBand="0" w:evenHBand="1"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919" w:type="dxa"/>
            <w:noWrap/>
            <w:hideMark/>
          </w:tcPr>
          <w:p w14:paraId="38821BFE" w14:textId="77777777" w:rsidR="00BD3868" w:rsidRPr="00BD3868" w:rsidRDefault="00BD3868" w:rsidP="00BD3868">
            <w:pPr>
              <w:pStyle w:val="TableCenter"/>
            </w:pPr>
            <w:r w:rsidRPr="00BD3868">
              <w:t>45/15</w:t>
            </w:r>
          </w:p>
        </w:tc>
        <w:tc>
          <w:tcPr>
            <w:tcW w:w="1674" w:type="dxa"/>
            <w:noWrap/>
            <w:hideMark/>
          </w:tcPr>
          <w:p w14:paraId="7278BDE8" w14:textId="77777777" w:rsidR="00BD3868" w:rsidRPr="00BD3868" w:rsidRDefault="00BD3868" w:rsidP="00BD3868">
            <w:pPr>
              <w:pStyle w:val="TableCenter"/>
              <w:cnfStyle w:val="000000010000" w:firstRow="0" w:lastRow="0" w:firstColumn="0" w:lastColumn="0" w:oddVBand="0" w:evenVBand="0" w:oddHBand="0" w:evenHBand="1" w:firstRowFirstColumn="0" w:firstRowLastColumn="0" w:lastRowFirstColumn="0" w:lastRowLastColumn="0"/>
            </w:pPr>
            <w:r w:rsidRPr="00BD3868">
              <w:t>29</w:t>
            </w:r>
          </w:p>
        </w:tc>
        <w:tc>
          <w:tcPr>
            <w:tcW w:w="1675" w:type="dxa"/>
            <w:noWrap/>
            <w:hideMark/>
          </w:tcPr>
          <w:p w14:paraId="1D1A56EF" w14:textId="77777777" w:rsidR="00BD3868" w:rsidRPr="00BD3868" w:rsidRDefault="00BD3868" w:rsidP="00BD3868">
            <w:pPr>
              <w:pStyle w:val="TableCenter"/>
              <w:cnfStyle w:val="000000010000" w:firstRow="0" w:lastRow="0" w:firstColumn="0" w:lastColumn="0" w:oddVBand="0" w:evenVBand="0" w:oddHBand="0" w:evenHBand="1" w:firstRowFirstColumn="0" w:firstRowLastColumn="0" w:lastRowFirstColumn="0" w:lastRowLastColumn="0"/>
            </w:pPr>
            <w:r w:rsidRPr="00BD3868">
              <w:t>26.5</w:t>
            </w:r>
          </w:p>
        </w:tc>
        <w:tc>
          <w:tcPr>
            <w:tcW w:w="1675" w:type="dxa"/>
            <w:noWrap/>
            <w:hideMark/>
          </w:tcPr>
          <w:p w14:paraId="1685C6CC" w14:textId="77777777" w:rsidR="00BD3868" w:rsidRPr="00BD3868" w:rsidRDefault="00BD3868" w:rsidP="00BD3868">
            <w:pPr>
              <w:pStyle w:val="TableCenter"/>
              <w:cnfStyle w:val="000000010000" w:firstRow="0" w:lastRow="0" w:firstColumn="0" w:lastColumn="0" w:oddVBand="0" w:evenVBand="0" w:oddHBand="0" w:evenHBand="1" w:firstRowFirstColumn="0" w:firstRowLastColumn="0" w:lastRowFirstColumn="0" w:lastRowLastColumn="0"/>
            </w:pPr>
            <w:r w:rsidRPr="00BD3868">
              <w:t>26.5</w:t>
            </w:r>
          </w:p>
        </w:tc>
        <w:tc>
          <w:tcPr>
            <w:tcW w:w="1675" w:type="dxa"/>
            <w:noWrap/>
            <w:hideMark/>
          </w:tcPr>
          <w:p w14:paraId="25284DE3" w14:textId="056CE667" w:rsidR="00BD3868" w:rsidRPr="00BD3868" w:rsidRDefault="00BD3868" w:rsidP="00BD3868">
            <w:pPr>
              <w:pStyle w:val="TableCenter"/>
              <w:cnfStyle w:val="000000010000" w:firstRow="0" w:lastRow="0" w:firstColumn="0" w:lastColumn="0" w:oddVBand="0" w:evenVBand="0" w:oddHBand="0" w:evenHBand="1" w:firstRowFirstColumn="0" w:firstRowLastColumn="0" w:lastRowFirstColumn="0" w:lastRowLastColumn="0"/>
            </w:pPr>
            <w:r>
              <w:t>–</w:t>
            </w:r>
          </w:p>
        </w:tc>
      </w:tr>
      <w:tr w:rsidR="00937F43" w:rsidRPr="00BD3868" w14:paraId="09A5CAB9" w14:textId="77777777" w:rsidTr="00937F4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919" w:type="dxa"/>
            <w:noWrap/>
            <w:hideMark/>
          </w:tcPr>
          <w:p w14:paraId="4DEFFB45" w14:textId="77777777" w:rsidR="00BD3868" w:rsidRPr="00BD3868" w:rsidRDefault="00BD3868" w:rsidP="00BD3868">
            <w:pPr>
              <w:pStyle w:val="TableCenter"/>
            </w:pPr>
            <w:r w:rsidRPr="00BD3868">
              <w:t>30/30</w:t>
            </w:r>
          </w:p>
        </w:tc>
        <w:tc>
          <w:tcPr>
            <w:tcW w:w="1674" w:type="dxa"/>
            <w:noWrap/>
            <w:hideMark/>
          </w:tcPr>
          <w:p w14:paraId="0A8764B4" w14:textId="77777777" w:rsidR="00BD3868" w:rsidRPr="00BD3868" w:rsidRDefault="00BD3868" w:rsidP="00BD3868">
            <w:pPr>
              <w:pStyle w:val="TableCenter"/>
              <w:cnfStyle w:val="000000100000" w:firstRow="0" w:lastRow="0" w:firstColumn="0" w:lastColumn="0" w:oddVBand="0" w:evenVBand="0" w:oddHBand="1" w:evenHBand="0" w:firstRowFirstColumn="0" w:firstRowLastColumn="0" w:lastRowFirstColumn="0" w:lastRowLastColumn="0"/>
            </w:pPr>
            <w:r w:rsidRPr="00BD3868">
              <w:t>30</w:t>
            </w:r>
          </w:p>
        </w:tc>
        <w:tc>
          <w:tcPr>
            <w:tcW w:w="1675" w:type="dxa"/>
            <w:noWrap/>
            <w:hideMark/>
          </w:tcPr>
          <w:p w14:paraId="072F10AE" w14:textId="77777777" w:rsidR="00BD3868" w:rsidRPr="00BD3868" w:rsidRDefault="00BD3868" w:rsidP="00BD3868">
            <w:pPr>
              <w:pStyle w:val="TableCenter"/>
              <w:cnfStyle w:val="000000100000" w:firstRow="0" w:lastRow="0" w:firstColumn="0" w:lastColumn="0" w:oddVBand="0" w:evenVBand="0" w:oddHBand="1" w:evenHBand="0" w:firstRowFirstColumn="0" w:firstRowLastColumn="0" w:lastRowFirstColumn="0" w:lastRowLastColumn="0"/>
            </w:pPr>
            <w:r w:rsidRPr="00BD3868">
              <w:t>28</w:t>
            </w:r>
          </w:p>
        </w:tc>
        <w:tc>
          <w:tcPr>
            <w:tcW w:w="1675" w:type="dxa"/>
            <w:noWrap/>
            <w:hideMark/>
          </w:tcPr>
          <w:p w14:paraId="339F9B09" w14:textId="77777777" w:rsidR="00BD3868" w:rsidRPr="00BD3868" w:rsidRDefault="00BD3868" w:rsidP="00BD3868">
            <w:pPr>
              <w:pStyle w:val="TableCenter"/>
              <w:cnfStyle w:val="000000100000" w:firstRow="0" w:lastRow="0" w:firstColumn="0" w:lastColumn="0" w:oddVBand="0" w:evenVBand="0" w:oddHBand="1" w:evenHBand="0" w:firstRowFirstColumn="0" w:firstRowLastColumn="0" w:lastRowFirstColumn="0" w:lastRowLastColumn="0"/>
            </w:pPr>
            <w:r w:rsidRPr="00BD3868">
              <w:t>28</w:t>
            </w:r>
          </w:p>
        </w:tc>
        <w:tc>
          <w:tcPr>
            <w:tcW w:w="1675" w:type="dxa"/>
            <w:noWrap/>
            <w:hideMark/>
          </w:tcPr>
          <w:p w14:paraId="0D0B681D" w14:textId="77777777" w:rsidR="00BD3868" w:rsidRPr="00BD3868" w:rsidRDefault="00BD3868" w:rsidP="00BD3868">
            <w:pPr>
              <w:pStyle w:val="TableCenter"/>
              <w:cnfStyle w:val="000000100000" w:firstRow="0" w:lastRow="0" w:firstColumn="0" w:lastColumn="0" w:oddVBand="0" w:evenVBand="0" w:oddHBand="1" w:evenHBand="0" w:firstRowFirstColumn="0" w:firstRowLastColumn="0" w:lastRowFirstColumn="0" w:lastRowLastColumn="0"/>
            </w:pPr>
            <w:r w:rsidRPr="00BD3868">
              <w:t>25</w:t>
            </w:r>
          </w:p>
        </w:tc>
      </w:tr>
      <w:tr w:rsidR="00937F43" w:rsidRPr="00BD3868" w14:paraId="44C91963" w14:textId="77777777" w:rsidTr="00937F43">
        <w:trPr>
          <w:cnfStyle w:val="000000010000" w:firstRow="0" w:lastRow="0" w:firstColumn="0" w:lastColumn="0" w:oddVBand="0" w:evenVBand="0" w:oddHBand="0" w:evenHBand="1"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919" w:type="dxa"/>
            <w:noWrap/>
            <w:hideMark/>
          </w:tcPr>
          <w:p w14:paraId="385ED8CD" w14:textId="77777777" w:rsidR="00BD3868" w:rsidRPr="00BD3868" w:rsidRDefault="00BD3868" w:rsidP="00BD3868">
            <w:pPr>
              <w:pStyle w:val="TableCenter"/>
            </w:pPr>
            <w:r w:rsidRPr="00BD3868">
              <w:t>15/45</w:t>
            </w:r>
          </w:p>
        </w:tc>
        <w:tc>
          <w:tcPr>
            <w:tcW w:w="1674" w:type="dxa"/>
            <w:noWrap/>
            <w:hideMark/>
          </w:tcPr>
          <w:p w14:paraId="29AFEFCA" w14:textId="77777777" w:rsidR="00BD3868" w:rsidRPr="00BD3868" w:rsidRDefault="00BD3868" w:rsidP="00BD3868">
            <w:pPr>
              <w:pStyle w:val="TableCenter"/>
              <w:cnfStyle w:val="000000010000" w:firstRow="0" w:lastRow="0" w:firstColumn="0" w:lastColumn="0" w:oddVBand="0" w:evenVBand="0" w:oddHBand="0" w:evenHBand="1" w:firstRowFirstColumn="0" w:firstRowLastColumn="0" w:lastRowFirstColumn="0" w:lastRowLastColumn="0"/>
            </w:pPr>
            <w:r w:rsidRPr="00BD3868">
              <w:t>31</w:t>
            </w:r>
          </w:p>
        </w:tc>
        <w:tc>
          <w:tcPr>
            <w:tcW w:w="1675" w:type="dxa"/>
            <w:noWrap/>
            <w:hideMark/>
          </w:tcPr>
          <w:p w14:paraId="5D8EDE84" w14:textId="77777777" w:rsidR="00BD3868" w:rsidRPr="00BD3868" w:rsidRDefault="00BD3868" w:rsidP="00BD3868">
            <w:pPr>
              <w:pStyle w:val="TableCenter"/>
              <w:cnfStyle w:val="000000010000" w:firstRow="0" w:lastRow="0" w:firstColumn="0" w:lastColumn="0" w:oddVBand="0" w:evenVBand="0" w:oddHBand="0" w:evenHBand="1" w:firstRowFirstColumn="0" w:firstRowLastColumn="0" w:lastRowFirstColumn="0" w:lastRowLastColumn="0"/>
            </w:pPr>
            <w:r w:rsidRPr="00BD3868">
              <w:t>29</w:t>
            </w:r>
          </w:p>
        </w:tc>
        <w:tc>
          <w:tcPr>
            <w:tcW w:w="1675" w:type="dxa"/>
            <w:noWrap/>
            <w:hideMark/>
          </w:tcPr>
          <w:p w14:paraId="4CFB4864" w14:textId="77777777" w:rsidR="00BD3868" w:rsidRPr="00BD3868" w:rsidRDefault="00BD3868" w:rsidP="00BD3868">
            <w:pPr>
              <w:pStyle w:val="TableCenter"/>
              <w:cnfStyle w:val="000000010000" w:firstRow="0" w:lastRow="0" w:firstColumn="0" w:lastColumn="0" w:oddVBand="0" w:evenVBand="0" w:oddHBand="0" w:evenHBand="1" w:firstRowFirstColumn="0" w:firstRowLastColumn="0" w:lastRowFirstColumn="0" w:lastRowLastColumn="0"/>
            </w:pPr>
            <w:r w:rsidRPr="00BD3868">
              <w:t>29</w:t>
            </w:r>
          </w:p>
        </w:tc>
        <w:tc>
          <w:tcPr>
            <w:tcW w:w="1675" w:type="dxa"/>
            <w:noWrap/>
            <w:hideMark/>
          </w:tcPr>
          <w:p w14:paraId="5F150762" w14:textId="77777777" w:rsidR="00BD3868" w:rsidRPr="00BD3868" w:rsidRDefault="00BD3868" w:rsidP="00BD3868">
            <w:pPr>
              <w:pStyle w:val="TableCenter"/>
              <w:cnfStyle w:val="000000010000" w:firstRow="0" w:lastRow="0" w:firstColumn="0" w:lastColumn="0" w:oddVBand="0" w:evenVBand="0" w:oddHBand="0" w:evenHBand="1" w:firstRowFirstColumn="0" w:firstRowLastColumn="0" w:lastRowFirstColumn="0" w:lastRowLastColumn="0"/>
            </w:pPr>
            <w:r w:rsidRPr="00BD3868">
              <w:t>26.5</w:t>
            </w:r>
          </w:p>
        </w:tc>
      </w:tr>
    </w:tbl>
    <w:p w14:paraId="5E7E453B" w14:textId="77777777" w:rsidR="00513C93" w:rsidRDefault="00937F43" w:rsidP="00513C93">
      <w:pPr>
        <w:pStyle w:val="Asterisks"/>
        <w:ind w:left="540" w:right="450"/>
      </w:pPr>
      <w:r>
        <w:t>Assumes an 8-hr working day in a 5-day week. Examples of work rates are standing with moderate arm movements at machine or bench (light); walking with moderate lifting or pushing (moderate); shoveling dry sand or intermittent heavy lifting (heavy); shoveling wet sand or constant heavy lifting (very heavy).</w:t>
      </w:r>
    </w:p>
    <w:p w14:paraId="777FA153" w14:textId="2D32C306" w:rsidR="0068084A" w:rsidRDefault="00643F88" w:rsidP="00513C93">
      <w:pPr>
        <w:pStyle w:val="Asterisks"/>
        <w:ind w:left="540" w:right="450"/>
      </w:pPr>
      <w:r>
        <w:t xml:space="preserve">Source: </w:t>
      </w:r>
      <w:r w:rsidR="003C7F42">
        <w:t>Jay and Kenny. p. 846, Table II</w:t>
      </w:r>
      <w:r w:rsidR="00BB2504">
        <w:t>.</w:t>
      </w:r>
      <w:r w:rsidR="003C7F42">
        <w:t xml:space="preserve"> </w:t>
      </w:r>
    </w:p>
    <w:p w14:paraId="275922A2" w14:textId="0BBB187C" w:rsidR="00ED710D" w:rsidRPr="002F64A6" w:rsidRDefault="00ED710D" w:rsidP="00ED710D">
      <w:pPr>
        <w:rPr>
          <w:rFonts w:asciiTheme="majorBidi" w:hAnsiTheme="majorBidi" w:cstheme="majorBidi"/>
          <w:szCs w:val="24"/>
        </w:rPr>
      </w:pPr>
      <w:r w:rsidRPr="002F64A6">
        <w:rPr>
          <w:rFonts w:asciiTheme="majorBidi" w:hAnsiTheme="majorBidi" w:cstheme="majorBidi"/>
          <w:szCs w:val="24"/>
        </w:rPr>
        <w:t xml:space="preserve">Japan also has implemented occupational exposure limits for heat stress, </w:t>
      </w:r>
      <w:r w:rsidR="00C902EC" w:rsidRPr="002F64A6">
        <w:rPr>
          <w:rFonts w:asciiTheme="majorBidi" w:hAnsiTheme="majorBidi" w:cstheme="majorBidi"/>
          <w:szCs w:val="24"/>
        </w:rPr>
        <w:t>setting temperature</w:t>
      </w:r>
      <w:r w:rsidR="001E1C8D" w:rsidRPr="002F64A6">
        <w:rPr>
          <w:rFonts w:asciiTheme="majorBidi" w:hAnsiTheme="majorBidi" w:cstheme="majorBidi"/>
          <w:szCs w:val="24"/>
        </w:rPr>
        <w:t xml:space="preserve"> exposure limits</w:t>
      </w:r>
      <w:r w:rsidR="00C902EC" w:rsidRPr="002F64A6">
        <w:rPr>
          <w:rFonts w:asciiTheme="majorBidi" w:hAnsiTheme="majorBidi" w:cstheme="majorBidi"/>
          <w:szCs w:val="24"/>
        </w:rPr>
        <w:t xml:space="preserve"> that </w:t>
      </w:r>
      <w:r w:rsidR="001E1C8D" w:rsidRPr="002F64A6">
        <w:rPr>
          <w:rFonts w:asciiTheme="majorBidi" w:hAnsiTheme="majorBidi" w:cstheme="majorBidi"/>
          <w:szCs w:val="24"/>
        </w:rPr>
        <w:t xml:space="preserve">decline </w:t>
      </w:r>
      <w:r w:rsidR="00C902EC" w:rsidRPr="002F64A6">
        <w:rPr>
          <w:rFonts w:asciiTheme="majorBidi" w:hAnsiTheme="majorBidi" w:cstheme="majorBidi"/>
          <w:szCs w:val="24"/>
        </w:rPr>
        <w:t>with increased workloads</w:t>
      </w:r>
      <w:r w:rsidR="00DD4E41" w:rsidRPr="002F64A6">
        <w:rPr>
          <w:rFonts w:asciiTheme="majorBidi" w:hAnsiTheme="majorBidi" w:cstheme="majorBidi"/>
          <w:szCs w:val="24"/>
        </w:rPr>
        <w:t>,</w:t>
      </w:r>
      <w:r w:rsidR="00C902EC" w:rsidRPr="002F64A6">
        <w:rPr>
          <w:rFonts w:asciiTheme="majorBidi" w:hAnsiTheme="majorBidi" w:cstheme="majorBidi"/>
          <w:szCs w:val="24"/>
        </w:rPr>
        <w:t xml:space="preserve"> </w:t>
      </w:r>
      <w:r w:rsidR="00856D02" w:rsidRPr="002F64A6">
        <w:rPr>
          <w:rFonts w:asciiTheme="majorBidi" w:hAnsiTheme="majorBidi" w:cstheme="majorBidi"/>
          <w:szCs w:val="24"/>
        </w:rPr>
        <w:t>similar to NIOSH</w:t>
      </w:r>
      <w:r w:rsidR="00DB23CF">
        <w:rPr>
          <w:rFonts w:asciiTheme="majorBidi" w:hAnsiTheme="majorBidi" w:cstheme="majorBidi"/>
          <w:szCs w:val="24"/>
        </w:rPr>
        <w:t>’</w:t>
      </w:r>
      <w:r w:rsidR="00856D02" w:rsidRPr="002F64A6">
        <w:rPr>
          <w:rFonts w:asciiTheme="majorBidi" w:hAnsiTheme="majorBidi" w:cstheme="majorBidi"/>
          <w:szCs w:val="24"/>
        </w:rPr>
        <w:t>s</w:t>
      </w:r>
      <w:r w:rsidR="00FA1E77" w:rsidRPr="002F64A6">
        <w:rPr>
          <w:rFonts w:asciiTheme="majorBidi" w:hAnsiTheme="majorBidi" w:cstheme="majorBidi"/>
          <w:szCs w:val="24"/>
        </w:rPr>
        <w:t xml:space="preserve"> recommended RELs for acclimatized workers</w:t>
      </w:r>
      <w:r w:rsidR="00C83EE3" w:rsidRPr="002F64A6">
        <w:rPr>
          <w:rFonts w:asciiTheme="majorBidi" w:hAnsiTheme="majorBidi" w:cstheme="majorBidi"/>
          <w:szCs w:val="24"/>
        </w:rPr>
        <w:t xml:space="preserve">, </w:t>
      </w:r>
      <w:r w:rsidR="000062D5" w:rsidRPr="002F64A6">
        <w:rPr>
          <w:rFonts w:asciiTheme="majorBidi" w:hAnsiTheme="majorBidi" w:cstheme="majorBidi"/>
          <w:szCs w:val="24"/>
        </w:rPr>
        <w:t>as shown in</w:t>
      </w:r>
      <w:r w:rsidR="003C68E1" w:rsidRPr="002F64A6">
        <w:rPr>
          <w:rFonts w:asciiTheme="majorBidi" w:hAnsiTheme="majorBidi" w:cstheme="majorBidi"/>
          <w:szCs w:val="24"/>
        </w:rPr>
        <w:t xml:space="preserve"> </w:t>
      </w:r>
      <w:r w:rsidR="003C68E1" w:rsidRPr="002F64A6">
        <w:rPr>
          <w:rFonts w:asciiTheme="majorBidi" w:hAnsiTheme="majorBidi" w:cstheme="majorBidi"/>
          <w:szCs w:val="24"/>
        </w:rPr>
        <w:fldChar w:fldCharType="begin"/>
      </w:r>
      <w:r w:rsidR="003C68E1" w:rsidRPr="002F64A6">
        <w:rPr>
          <w:rFonts w:asciiTheme="majorBidi" w:hAnsiTheme="majorBidi" w:cstheme="majorBidi"/>
          <w:szCs w:val="24"/>
        </w:rPr>
        <w:instrText xml:space="preserve"> REF _Ref514869503 \h </w:instrText>
      </w:r>
      <w:r w:rsidR="00F30950" w:rsidRPr="002F64A6">
        <w:rPr>
          <w:rFonts w:asciiTheme="majorBidi" w:hAnsiTheme="majorBidi" w:cstheme="majorBidi"/>
          <w:szCs w:val="24"/>
        </w:rPr>
        <w:instrText xml:space="preserve"> \* MERGEFORMAT </w:instrText>
      </w:r>
      <w:r w:rsidR="003C68E1" w:rsidRPr="002F64A6">
        <w:rPr>
          <w:rFonts w:asciiTheme="majorBidi" w:hAnsiTheme="majorBidi" w:cstheme="majorBidi"/>
          <w:szCs w:val="24"/>
        </w:rPr>
      </w:r>
      <w:r w:rsidR="003C68E1" w:rsidRPr="002F64A6">
        <w:rPr>
          <w:rFonts w:asciiTheme="majorBidi" w:hAnsiTheme="majorBidi" w:cstheme="majorBidi"/>
          <w:szCs w:val="24"/>
        </w:rPr>
        <w:fldChar w:fldCharType="separate"/>
      </w:r>
      <w:r w:rsidR="00E35FAB" w:rsidRPr="003B5355">
        <w:t xml:space="preserve">Table </w:t>
      </w:r>
      <w:r w:rsidR="00E35FAB">
        <w:rPr>
          <w:noProof/>
        </w:rPr>
        <w:t>7</w:t>
      </w:r>
      <w:r w:rsidR="003C68E1" w:rsidRPr="002F64A6">
        <w:rPr>
          <w:rFonts w:asciiTheme="majorBidi" w:hAnsiTheme="majorBidi" w:cstheme="majorBidi"/>
          <w:szCs w:val="24"/>
        </w:rPr>
        <w:fldChar w:fldCharType="end"/>
      </w:r>
      <w:r w:rsidRPr="002F64A6">
        <w:rPr>
          <w:rFonts w:asciiTheme="majorBidi" w:hAnsiTheme="majorBidi" w:cstheme="majorBidi"/>
          <w:szCs w:val="24"/>
        </w:rPr>
        <w:t>.</w:t>
      </w:r>
    </w:p>
    <w:p w14:paraId="4E3A375C" w14:textId="5A9D9166" w:rsidR="00896E92" w:rsidRPr="002F64A6" w:rsidRDefault="008E3476" w:rsidP="00896E92">
      <w:pPr>
        <w:pStyle w:val="Caption"/>
      </w:pPr>
      <w:bookmarkStart w:id="30" w:name="_Ref514869503"/>
      <w:r w:rsidRPr="003B5355">
        <w:lastRenderedPageBreak/>
        <w:t xml:space="preserve">Table </w:t>
      </w:r>
      <w:r w:rsidR="00A46EC9">
        <w:fldChar w:fldCharType="begin"/>
      </w:r>
      <w:r w:rsidR="00A46EC9">
        <w:instrText xml:space="preserve"> SEQ Table \* ARABIC </w:instrText>
      </w:r>
      <w:r w:rsidR="00A46EC9">
        <w:fldChar w:fldCharType="separate"/>
      </w:r>
      <w:r w:rsidR="00E35FAB">
        <w:rPr>
          <w:noProof/>
        </w:rPr>
        <w:t>7</w:t>
      </w:r>
      <w:r w:rsidR="00A46EC9">
        <w:rPr>
          <w:noProof/>
        </w:rPr>
        <w:fldChar w:fldCharType="end"/>
      </w:r>
      <w:bookmarkEnd w:id="30"/>
      <w:r w:rsidRPr="002F64A6">
        <w:t>. Occupational exposure limits for heat stress in Japan compared</w:t>
      </w:r>
      <w:r w:rsidRPr="002F64A6">
        <w:br/>
        <w:t>with NIOSH</w:t>
      </w:r>
      <w:r w:rsidR="00DB23CF">
        <w:t>’</w:t>
      </w:r>
      <w:r w:rsidRPr="002F64A6">
        <w:t>s recommended limits for the same workloads</w:t>
      </w:r>
    </w:p>
    <w:tbl>
      <w:tblPr>
        <w:tblStyle w:val="LightShading-Accent5"/>
        <w:tblW w:w="4000" w:type="pct"/>
        <w:jc w:val="center"/>
        <w:tblLook w:val="04A0" w:firstRow="1" w:lastRow="0" w:firstColumn="1" w:lastColumn="0" w:noHBand="0" w:noVBand="1"/>
      </w:tblPr>
      <w:tblGrid>
        <w:gridCol w:w="3184"/>
        <w:gridCol w:w="1430"/>
        <w:gridCol w:w="1424"/>
        <w:gridCol w:w="1442"/>
      </w:tblGrid>
      <w:tr w:rsidR="00E03D34" w:rsidRPr="002F64A6" w14:paraId="17739F21" w14:textId="37C6B0DA" w:rsidTr="006B063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91" w:type="dxa"/>
            <w:tcBorders>
              <w:bottom w:val="nil"/>
            </w:tcBorders>
          </w:tcPr>
          <w:p w14:paraId="0E146CC8" w14:textId="77777777" w:rsidR="00E03D34" w:rsidRPr="002F64A6" w:rsidRDefault="00E03D34" w:rsidP="00C950A1">
            <w:pPr>
              <w:pStyle w:val="TableHeading"/>
            </w:pPr>
          </w:p>
        </w:tc>
        <w:tc>
          <w:tcPr>
            <w:tcW w:w="4370" w:type="dxa"/>
            <w:gridSpan w:val="3"/>
            <w:tcBorders>
              <w:bottom w:val="nil"/>
            </w:tcBorders>
          </w:tcPr>
          <w:p w14:paraId="5C7B67C5" w14:textId="756EEBA8" w:rsidR="00E03D34" w:rsidRPr="002F64A6" w:rsidRDefault="003B4050" w:rsidP="006B0638">
            <w:pPr>
              <w:pStyle w:val="TableHeading"/>
              <w:cnfStyle w:val="100000000000" w:firstRow="1" w:lastRow="0" w:firstColumn="0" w:lastColumn="0" w:oddVBand="0" w:evenVBand="0" w:oddHBand="0" w:evenHBand="0" w:firstRowFirstColumn="0" w:firstRowLastColumn="0" w:lastRowFirstColumn="0" w:lastRowLastColumn="0"/>
            </w:pPr>
            <w:r w:rsidRPr="002F64A6">
              <w:t>Exposure Limit</w:t>
            </w:r>
            <w:r w:rsidR="00880D1B" w:rsidRPr="002F64A6">
              <w:t xml:space="preserve"> (</w:t>
            </w:r>
            <w:r w:rsidR="00811AC4" w:rsidRPr="002F64A6">
              <w:t>WBGT</w:t>
            </w:r>
            <w:r w:rsidR="00880D1B" w:rsidRPr="002F64A6">
              <w:t xml:space="preserve"> </w:t>
            </w:r>
            <w:r w:rsidR="004756EC">
              <w:t>[</w:t>
            </w:r>
            <w:r w:rsidR="00880D1B" w:rsidRPr="002F64A6">
              <w:t>°C</w:t>
            </w:r>
            <w:r w:rsidR="004756EC">
              <w:t>]</w:t>
            </w:r>
            <w:r w:rsidR="00880D1B" w:rsidRPr="002F64A6">
              <w:t>)</w:t>
            </w:r>
          </w:p>
        </w:tc>
      </w:tr>
      <w:tr w:rsidR="00444204" w:rsidRPr="002F64A6" w14:paraId="5B774090" w14:textId="0548E2D6" w:rsidTr="006B063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91" w:type="dxa"/>
            <w:tcBorders>
              <w:top w:val="nil"/>
            </w:tcBorders>
            <w:shd w:val="clear" w:color="auto" w:fill="4F81BD"/>
          </w:tcPr>
          <w:p w14:paraId="49AC7B1F" w14:textId="79B8E98C" w:rsidR="00E03D34" w:rsidRPr="002F64A6" w:rsidRDefault="00E03D34" w:rsidP="006B0638">
            <w:pPr>
              <w:pStyle w:val="TableHeading"/>
            </w:pPr>
            <w:r w:rsidRPr="002F64A6">
              <w:t>Workload</w:t>
            </w:r>
          </w:p>
        </w:tc>
        <w:tc>
          <w:tcPr>
            <w:tcW w:w="1456" w:type="dxa"/>
            <w:tcBorders>
              <w:top w:val="nil"/>
            </w:tcBorders>
            <w:shd w:val="clear" w:color="auto" w:fill="4F81BD"/>
          </w:tcPr>
          <w:p w14:paraId="78FC2EB2" w14:textId="21089581" w:rsidR="00E03D34" w:rsidRPr="002F64A6" w:rsidRDefault="00E03D34" w:rsidP="00C950A1">
            <w:pPr>
              <w:pStyle w:val="TableHeading"/>
              <w:cnfStyle w:val="000000100000" w:firstRow="0" w:lastRow="0" w:firstColumn="0" w:lastColumn="0" w:oddVBand="0" w:evenVBand="0" w:oddHBand="1" w:evenHBand="0" w:firstRowFirstColumn="0" w:firstRowLastColumn="0" w:lastRowFirstColumn="0" w:lastRowLastColumn="0"/>
            </w:pPr>
            <w:r w:rsidRPr="002F64A6">
              <w:t>Japan</w:t>
            </w:r>
            <w:r w:rsidR="00FC620B" w:rsidRPr="002F64A6">
              <w:rPr>
                <w:rStyle w:val="FootnoteReference"/>
              </w:rPr>
              <w:footnoteReference w:id="100"/>
            </w:r>
          </w:p>
        </w:tc>
        <w:tc>
          <w:tcPr>
            <w:tcW w:w="1457" w:type="dxa"/>
            <w:tcBorders>
              <w:top w:val="nil"/>
            </w:tcBorders>
            <w:shd w:val="clear" w:color="auto" w:fill="4F81BD"/>
          </w:tcPr>
          <w:p w14:paraId="7D986C14" w14:textId="6C29C995" w:rsidR="00E03D34" w:rsidRPr="002F64A6" w:rsidRDefault="00E03D34" w:rsidP="00C950A1">
            <w:pPr>
              <w:pStyle w:val="TableHeading"/>
              <w:cnfStyle w:val="000000100000" w:firstRow="0" w:lastRow="0" w:firstColumn="0" w:lastColumn="0" w:oddVBand="0" w:evenVBand="0" w:oddHBand="1" w:evenHBand="0" w:firstRowFirstColumn="0" w:firstRowLastColumn="0" w:lastRowFirstColumn="0" w:lastRowLastColumn="0"/>
            </w:pPr>
            <w:r w:rsidRPr="002F64A6">
              <w:t>NIOSH REL</w:t>
            </w:r>
          </w:p>
        </w:tc>
        <w:tc>
          <w:tcPr>
            <w:tcW w:w="1457" w:type="dxa"/>
            <w:tcBorders>
              <w:top w:val="nil"/>
            </w:tcBorders>
            <w:shd w:val="clear" w:color="auto" w:fill="4F81BD"/>
          </w:tcPr>
          <w:p w14:paraId="5832DF4B" w14:textId="06C9A664" w:rsidR="00E03D34" w:rsidRPr="002F64A6" w:rsidRDefault="00E03D34" w:rsidP="00C950A1">
            <w:pPr>
              <w:pStyle w:val="TableHeading"/>
              <w:cnfStyle w:val="000000100000" w:firstRow="0" w:lastRow="0" w:firstColumn="0" w:lastColumn="0" w:oddVBand="0" w:evenVBand="0" w:oddHBand="1" w:evenHBand="0" w:firstRowFirstColumn="0" w:firstRowLastColumn="0" w:lastRowFirstColumn="0" w:lastRowLastColumn="0"/>
            </w:pPr>
            <w:r w:rsidRPr="002F64A6">
              <w:t>Difference</w:t>
            </w:r>
          </w:p>
        </w:tc>
      </w:tr>
      <w:tr w:rsidR="00444204" w:rsidRPr="002F64A6" w14:paraId="769EA8F5" w14:textId="32AD18E3" w:rsidTr="006B0638">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91" w:type="dxa"/>
          </w:tcPr>
          <w:p w14:paraId="08F4B38D" w14:textId="68FC5D93" w:rsidR="00E03D34" w:rsidRPr="002F64A6" w:rsidRDefault="00E03D34" w:rsidP="006B0638">
            <w:pPr>
              <w:pStyle w:val="TableLeft"/>
            </w:pPr>
            <w:r w:rsidRPr="002F64A6">
              <w:t>RMR*–1 (Very light, –130 kcal/h)</w:t>
            </w:r>
          </w:p>
        </w:tc>
        <w:tc>
          <w:tcPr>
            <w:tcW w:w="1456" w:type="dxa"/>
          </w:tcPr>
          <w:p w14:paraId="2E98D688" w14:textId="3E52A4A0" w:rsidR="00E03D34" w:rsidRPr="002F64A6" w:rsidRDefault="00E03D34" w:rsidP="006B0638">
            <w:pPr>
              <w:pStyle w:val="TableCenter"/>
              <w:cnfStyle w:val="000000010000" w:firstRow="0" w:lastRow="0" w:firstColumn="0" w:lastColumn="0" w:oddVBand="0" w:evenVBand="0" w:oddHBand="0" w:evenHBand="1" w:firstRowFirstColumn="0" w:firstRowLastColumn="0" w:lastRowFirstColumn="0" w:lastRowLastColumn="0"/>
            </w:pPr>
            <w:r w:rsidRPr="002F64A6">
              <w:t>32.5</w:t>
            </w:r>
          </w:p>
        </w:tc>
        <w:tc>
          <w:tcPr>
            <w:tcW w:w="1457" w:type="dxa"/>
          </w:tcPr>
          <w:p w14:paraId="386ADCA0" w14:textId="2048A8F8" w:rsidR="00E03D34" w:rsidRPr="002F64A6" w:rsidRDefault="00E03D34" w:rsidP="006B0638">
            <w:pPr>
              <w:pStyle w:val="TableCenter"/>
              <w:cnfStyle w:val="000000010000" w:firstRow="0" w:lastRow="0" w:firstColumn="0" w:lastColumn="0" w:oddVBand="0" w:evenVBand="0" w:oddHBand="0" w:evenHBand="1" w:firstRowFirstColumn="0" w:firstRowLastColumn="0" w:lastRowFirstColumn="0" w:lastRowLastColumn="0"/>
            </w:pPr>
            <w:r w:rsidRPr="002F64A6">
              <w:t>31.6</w:t>
            </w:r>
          </w:p>
        </w:tc>
        <w:tc>
          <w:tcPr>
            <w:tcW w:w="1457" w:type="dxa"/>
          </w:tcPr>
          <w:p w14:paraId="35A091BC" w14:textId="5E7837C3" w:rsidR="00E03D34" w:rsidRPr="002F64A6" w:rsidRDefault="00E03D34" w:rsidP="006B0638">
            <w:pPr>
              <w:pStyle w:val="TableCenter"/>
              <w:cnfStyle w:val="000000010000" w:firstRow="0" w:lastRow="0" w:firstColumn="0" w:lastColumn="0" w:oddVBand="0" w:evenVBand="0" w:oddHBand="0" w:evenHBand="1" w:firstRowFirstColumn="0" w:firstRowLastColumn="0" w:lastRowFirstColumn="0" w:lastRowLastColumn="0"/>
            </w:pPr>
            <w:r w:rsidRPr="002F64A6">
              <w:t>0.9</w:t>
            </w:r>
          </w:p>
        </w:tc>
      </w:tr>
      <w:tr w:rsidR="00444204" w:rsidRPr="002F64A6" w14:paraId="74EF8C1B" w14:textId="6C03A7E5" w:rsidTr="006B063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91" w:type="dxa"/>
          </w:tcPr>
          <w:p w14:paraId="3FC4C01B" w14:textId="283F3480" w:rsidR="00E03D34" w:rsidRPr="002F64A6" w:rsidRDefault="00E03D34" w:rsidP="007F4E0A">
            <w:pPr>
              <w:pStyle w:val="TableLeft"/>
            </w:pPr>
            <w:r w:rsidRPr="002F64A6">
              <w:t>RMR–2 (Light, –190 kcal/h)</w:t>
            </w:r>
          </w:p>
        </w:tc>
        <w:tc>
          <w:tcPr>
            <w:tcW w:w="1456" w:type="dxa"/>
          </w:tcPr>
          <w:p w14:paraId="7A0AA472" w14:textId="038267E5" w:rsidR="00E03D34" w:rsidRPr="002F64A6" w:rsidRDefault="00E03D34" w:rsidP="00082AF3">
            <w:pPr>
              <w:pStyle w:val="TableCenter"/>
              <w:cnfStyle w:val="000000100000" w:firstRow="0" w:lastRow="0" w:firstColumn="0" w:lastColumn="0" w:oddVBand="0" w:evenVBand="0" w:oddHBand="1" w:evenHBand="0" w:firstRowFirstColumn="0" w:firstRowLastColumn="0" w:lastRowFirstColumn="0" w:lastRowLastColumn="0"/>
            </w:pPr>
            <w:r w:rsidRPr="002F64A6">
              <w:t>30.5</w:t>
            </w:r>
          </w:p>
        </w:tc>
        <w:tc>
          <w:tcPr>
            <w:tcW w:w="1457" w:type="dxa"/>
          </w:tcPr>
          <w:p w14:paraId="0553A50D" w14:textId="212840BF" w:rsidR="00E03D34" w:rsidRPr="002F64A6" w:rsidRDefault="00E03D34" w:rsidP="00082AF3">
            <w:pPr>
              <w:pStyle w:val="TableCenter"/>
              <w:cnfStyle w:val="000000100000" w:firstRow="0" w:lastRow="0" w:firstColumn="0" w:lastColumn="0" w:oddVBand="0" w:evenVBand="0" w:oddHBand="1" w:evenHBand="0" w:firstRowFirstColumn="0" w:firstRowLastColumn="0" w:lastRowFirstColumn="0" w:lastRowLastColumn="0"/>
            </w:pPr>
            <w:r w:rsidRPr="002F64A6">
              <w:t>29.8</w:t>
            </w:r>
          </w:p>
        </w:tc>
        <w:tc>
          <w:tcPr>
            <w:tcW w:w="1457" w:type="dxa"/>
          </w:tcPr>
          <w:p w14:paraId="634CEAC9" w14:textId="4500286E" w:rsidR="00E03D34" w:rsidRPr="002F64A6" w:rsidRDefault="00E03D34" w:rsidP="00082AF3">
            <w:pPr>
              <w:pStyle w:val="TableCenter"/>
              <w:cnfStyle w:val="000000100000" w:firstRow="0" w:lastRow="0" w:firstColumn="0" w:lastColumn="0" w:oddVBand="0" w:evenVBand="0" w:oddHBand="1" w:evenHBand="0" w:firstRowFirstColumn="0" w:firstRowLastColumn="0" w:lastRowFirstColumn="0" w:lastRowLastColumn="0"/>
            </w:pPr>
            <w:r w:rsidRPr="002F64A6">
              <w:t>0.7</w:t>
            </w:r>
          </w:p>
        </w:tc>
      </w:tr>
      <w:tr w:rsidR="00444204" w:rsidRPr="002F64A6" w14:paraId="4D349581" w14:textId="18D7FEC2" w:rsidTr="006B0638">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91" w:type="dxa"/>
          </w:tcPr>
          <w:p w14:paraId="24DEE457" w14:textId="22798083" w:rsidR="00E03D34" w:rsidRPr="002F64A6" w:rsidRDefault="00E03D34" w:rsidP="007F4E0A">
            <w:pPr>
              <w:pStyle w:val="TableLeft"/>
            </w:pPr>
            <w:r w:rsidRPr="002F64A6">
              <w:t>RMR–3 (</w:t>
            </w:r>
            <w:r w:rsidR="00242800" w:rsidRPr="002F64A6">
              <w:t>Moderate</w:t>
            </w:r>
            <w:r w:rsidRPr="002F64A6">
              <w:t>, –250 kcal/h)</w:t>
            </w:r>
          </w:p>
        </w:tc>
        <w:tc>
          <w:tcPr>
            <w:tcW w:w="1456" w:type="dxa"/>
          </w:tcPr>
          <w:p w14:paraId="15EAB340" w14:textId="3CD86088" w:rsidR="00E03D34" w:rsidRPr="002F64A6" w:rsidRDefault="00E03D34" w:rsidP="00082AF3">
            <w:pPr>
              <w:pStyle w:val="TableCenter"/>
              <w:cnfStyle w:val="000000010000" w:firstRow="0" w:lastRow="0" w:firstColumn="0" w:lastColumn="0" w:oddVBand="0" w:evenVBand="0" w:oddHBand="0" w:evenHBand="1" w:firstRowFirstColumn="0" w:firstRowLastColumn="0" w:lastRowFirstColumn="0" w:lastRowLastColumn="0"/>
            </w:pPr>
            <w:r w:rsidRPr="002F64A6">
              <w:t>29.0</w:t>
            </w:r>
          </w:p>
        </w:tc>
        <w:tc>
          <w:tcPr>
            <w:tcW w:w="1457" w:type="dxa"/>
          </w:tcPr>
          <w:p w14:paraId="67EB6953" w14:textId="54461F36" w:rsidR="00E03D34" w:rsidRPr="002F64A6" w:rsidRDefault="00E03D34" w:rsidP="00082AF3">
            <w:pPr>
              <w:pStyle w:val="TableCenter"/>
              <w:cnfStyle w:val="000000010000" w:firstRow="0" w:lastRow="0" w:firstColumn="0" w:lastColumn="0" w:oddVBand="0" w:evenVBand="0" w:oddHBand="0" w:evenHBand="1" w:firstRowFirstColumn="0" w:firstRowLastColumn="0" w:lastRowFirstColumn="0" w:lastRowLastColumn="0"/>
            </w:pPr>
            <w:r w:rsidRPr="002F64A6">
              <w:t>28.4</w:t>
            </w:r>
          </w:p>
        </w:tc>
        <w:tc>
          <w:tcPr>
            <w:tcW w:w="1457" w:type="dxa"/>
          </w:tcPr>
          <w:p w14:paraId="315514DF" w14:textId="321BCFB7" w:rsidR="00E03D34" w:rsidRPr="002F64A6" w:rsidRDefault="00E03D34" w:rsidP="00082AF3">
            <w:pPr>
              <w:pStyle w:val="TableCenter"/>
              <w:cnfStyle w:val="000000010000" w:firstRow="0" w:lastRow="0" w:firstColumn="0" w:lastColumn="0" w:oddVBand="0" w:evenVBand="0" w:oddHBand="0" w:evenHBand="1" w:firstRowFirstColumn="0" w:firstRowLastColumn="0" w:lastRowFirstColumn="0" w:lastRowLastColumn="0"/>
            </w:pPr>
            <w:r w:rsidRPr="002F64A6">
              <w:t>0.6</w:t>
            </w:r>
          </w:p>
        </w:tc>
      </w:tr>
      <w:tr w:rsidR="00444204" w:rsidRPr="002F64A6" w14:paraId="3E7E699A" w14:textId="280E71ED" w:rsidTr="006B063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91" w:type="dxa"/>
          </w:tcPr>
          <w:p w14:paraId="75585578" w14:textId="6E91E26C" w:rsidR="00E03D34" w:rsidRPr="002F64A6" w:rsidRDefault="00E03D34" w:rsidP="007F4E0A">
            <w:pPr>
              <w:pStyle w:val="TableLeft"/>
            </w:pPr>
            <w:r w:rsidRPr="002F64A6">
              <w:t>RMR–4 (</w:t>
            </w:r>
            <w:r w:rsidR="00242800" w:rsidRPr="002F64A6">
              <w:t>Moderate</w:t>
            </w:r>
            <w:r w:rsidRPr="002F64A6">
              <w:t>, –310 kcal/h)</w:t>
            </w:r>
          </w:p>
        </w:tc>
        <w:tc>
          <w:tcPr>
            <w:tcW w:w="1456" w:type="dxa"/>
          </w:tcPr>
          <w:p w14:paraId="58D3D41A" w14:textId="53FC1EEA" w:rsidR="00E03D34" w:rsidRPr="002F64A6" w:rsidRDefault="00E03D34" w:rsidP="00082AF3">
            <w:pPr>
              <w:pStyle w:val="TableCenter"/>
              <w:cnfStyle w:val="000000100000" w:firstRow="0" w:lastRow="0" w:firstColumn="0" w:lastColumn="0" w:oddVBand="0" w:evenVBand="0" w:oddHBand="1" w:evenHBand="0" w:firstRowFirstColumn="0" w:firstRowLastColumn="0" w:lastRowFirstColumn="0" w:lastRowLastColumn="0"/>
            </w:pPr>
            <w:r w:rsidRPr="002F64A6">
              <w:t>27.5</w:t>
            </w:r>
          </w:p>
        </w:tc>
        <w:tc>
          <w:tcPr>
            <w:tcW w:w="1457" w:type="dxa"/>
          </w:tcPr>
          <w:p w14:paraId="517CDEDB" w14:textId="79EB55C3" w:rsidR="00E03D34" w:rsidRPr="002F64A6" w:rsidRDefault="00E03D34" w:rsidP="00082AF3">
            <w:pPr>
              <w:pStyle w:val="TableCenter"/>
              <w:cnfStyle w:val="000000100000" w:firstRow="0" w:lastRow="0" w:firstColumn="0" w:lastColumn="0" w:oddVBand="0" w:evenVBand="0" w:oddHBand="1" w:evenHBand="0" w:firstRowFirstColumn="0" w:firstRowLastColumn="0" w:lastRowFirstColumn="0" w:lastRowLastColumn="0"/>
            </w:pPr>
            <w:r w:rsidRPr="002F64A6">
              <w:t>27.3</w:t>
            </w:r>
          </w:p>
        </w:tc>
        <w:tc>
          <w:tcPr>
            <w:tcW w:w="1457" w:type="dxa"/>
          </w:tcPr>
          <w:p w14:paraId="4D354C71" w14:textId="6FFC6B75" w:rsidR="00E03D34" w:rsidRPr="002F64A6" w:rsidRDefault="00E03D34" w:rsidP="00082AF3">
            <w:pPr>
              <w:pStyle w:val="TableCenter"/>
              <w:cnfStyle w:val="000000100000" w:firstRow="0" w:lastRow="0" w:firstColumn="0" w:lastColumn="0" w:oddVBand="0" w:evenVBand="0" w:oddHBand="1" w:evenHBand="0" w:firstRowFirstColumn="0" w:firstRowLastColumn="0" w:lastRowFirstColumn="0" w:lastRowLastColumn="0"/>
            </w:pPr>
            <w:r w:rsidRPr="002F64A6">
              <w:t>0.2</w:t>
            </w:r>
          </w:p>
        </w:tc>
      </w:tr>
      <w:tr w:rsidR="00444204" w:rsidRPr="002F64A6" w14:paraId="44E48928" w14:textId="10C25F80" w:rsidTr="006B0638">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91" w:type="dxa"/>
            <w:tcBorders>
              <w:bottom w:val="nil"/>
            </w:tcBorders>
          </w:tcPr>
          <w:p w14:paraId="12A5FDF5" w14:textId="0487CA7D" w:rsidR="00E03D34" w:rsidRPr="002F64A6" w:rsidRDefault="00E03D34" w:rsidP="007F4E0A">
            <w:pPr>
              <w:pStyle w:val="TableLeft"/>
            </w:pPr>
            <w:r w:rsidRPr="002F64A6">
              <w:t>RMR–5 (</w:t>
            </w:r>
            <w:r w:rsidR="00242800" w:rsidRPr="002F64A6">
              <w:t>Heavy</w:t>
            </w:r>
            <w:r w:rsidRPr="002F64A6">
              <w:t>, –370 kcal/h)</w:t>
            </w:r>
          </w:p>
        </w:tc>
        <w:tc>
          <w:tcPr>
            <w:tcW w:w="1456" w:type="dxa"/>
            <w:tcBorders>
              <w:bottom w:val="nil"/>
            </w:tcBorders>
          </w:tcPr>
          <w:p w14:paraId="050C5EA6" w14:textId="0A3AEB3A" w:rsidR="00E03D34" w:rsidRPr="002F64A6" w:rsidRDefault="00E03D34" w:rsidP="00082AF3">
            <w:pPr>
              <w:pStyle w:val="TableCenter"/>
              <w:cnfStyle w:val="000000010000" w:firstRow="0" w:lastRow="0" w:firstColumn="0" w:lastColumn="0" w:oddVBand="0" w:evenVBand="0" w:oddHBand="0" w:evenHBand="1" w:firstRowFirstColumn="0" w:firstRowLastColumn="0" w:lastRowFirstColumn="0" w:lastRowLastColumn="0"/>
            </w:pPr>
            <w:r w:rsidRPr="002F64A6">
              <w:t>26.5</w:t>
            </w:r>
          </w:p>
        </w:tc>
        <w:tc>
          <w:tcPr>
            <w:tcW w:w="1457" w:type="dxa"/>
            <w:tcBorders>
              <w:bottom w:val="nil"/>
            </w:tcBorders>
          </w:tcPr>
          <w:p w14:paraId="4697B416" w14:textId="115EB8FC" w:rsidR="00E03D34" w:rsidRPr="002F64A6" w:rsidRDefault="00E03D34" w:rsidP="00082AF3">
            <w:pPr>
              <w:pStyle w:val="TableCenter"/>
              <w:cnfStyle w:val="000000010000" w:firstRow="0" w:lastRow="0" w:firstColumn="0" w:lastColumn="0" w:oddVBand="0" w:evenVBand="0" w:oddHBand="0" w:evenHBand="1" w:firstRowFirstColumn="0" w:firstRowLastColumn="0" w:lastRowFirstColumn="0" w:lastRowLastColumn="0"/>
            </w:pPr>
            <w:r w:rsidRPr="002F64A6">
              <w:t>26.4</w:t>
            </w:r>
          </w:p>
        </w:tc>
        <w:tc>
          <w:tcPr>
            <w:tcW w:w="1457" w:type="dxa"/>
            <w:tcBorders>
              <w:bottom w:val="nil"/>
            </w:tcBorders>
          </w:tcPr>
          <w:p w14:paraId="0BD659D1" w14:textId="41B34863" w:rsidR="00E03D34" w:rsidRPr="002F64A6" w:rsidRDefault="00E03D34" w:rsidP="00082AF3">
            <w:pPr>
              <w:pStyle w:val="TableCenter"/>
              <w:cnfStyle w:val="000000010000" w:firstRow="0" w:lastRow="0" w:firstColumn="0" w:lastColumn="0" w:oddVBand="0" w:evenVBand="0" w:oddHBand="0" w:evenHBand="1" w:firstRowFirstColumn="0" w:firstRowLastColumn="0" w:lastRowFirstColumn="0" w:lastRowLastColumn="0"/>
            </w:pPr>
            <w:r w:rsidRPr="002F64A6">
              <w:t>0.1</w:t>
            </w:r>
          </w:p>
        </w:tc>
      </w:tr>
      <w:tr w:rsidR="00082AF3" w:rsidRPr="002F64A6" w14:paraId="01EB5267" w14:textId="77777777" w:rsidTr="006B063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661" w:type="dxa"/>
            <w:gridSpan w:val="4"/>
            <w:tcBorders>
              <w:top w:val="nil"/>
            </w:tcBorders>
            <w:shd w:val="clear" w:color="auto" w:fill="FFFFFF" w:themeFill="background1"/>
          </w:tcPr>
          <w:p w14:paraId="1F54591C" w14:textId="4C74B189" w:rsidR="00082AF3" w:rsidRPr="002F64A6" w:rsidRDefault="00082AF3" w:rsidP="00512D01">
            <w:pPr>
              <w:pStyle w:val="Asterisks"/>
              <w:jc w:val="left"/>
            </w:pPr>
            <w:r w:rsidRPr="002F64A6">
              <w:t>*</w:t>
            </w:r>
            <w:r w:rsidR="009E05D0" w:rsidRPr="002F64A6">
              <w:t xml:space="preserve"> </w:t>
            </w:r>
            <w:r w:rsidRPr="002F64A6">
              <w:t>Relative Metabolic Rate (RMR) = (Metabolic energy expenditure during work</w:t>
            </w:r>
            <w:r w:rsidR="00F856F0" w:rsidRPr="002F64A6">
              <w:t xml:space="preserve">—Metabolic energy </w:t>
            </w:r>
            <w:r w:rsidRPr="002F64A6">
              <w:t>expenditure at rest)/Basal metabolic rate corresponding to the work period.</w:t>
            </w:r>
          </w:p>
        </w:tc>
      </w:tr>
    </w:tbl>
    <w:p w14:paraId="45BC666F" w14:textId="77777777" w:rsidR="00360794" w:rsidRPr="002F64A6" w:rsidRDefault="00360794" w:rsidP="00360794">
      <w:pPr>
        <w:pStyle w:val="L1"/>
      </w:pPr>
      <w:bookmarkStart w:id="31" w:name="_Toc518979497"/>
      <w:r w:rsidRPr="002F64A6">
        <w:t>NIOSH criteria for a recommended standard</w:t>
      </w:r>
      <w:bookmarkEnd w:id="31"/>
    </w:p>
    <w:p w14:paraId="67B28E82" w14:textId="5B5A2B4A" w:rsidR="00360794" w:rsidRDefault="00360794" w:rsidP="00360794">
      <w:pPr>
        <w:rPr>
          <w:rFonts w:asciiTheme="majorBidi" w:hAnsiTheme="majorBidi" w:cstheme="majorBidi"/>
          <w:szCs w:val="24"/>
        </w:rPr>
      </w:pPr>
      <w:r w:rsidRPr="002F64A6">
        <w:rPr>
          <w:rFonts w:asciiTheme="majorBidi" w:hAnsiTheme="majorBidi" w:cstheme="majorBidi"/>
          <w:szCs w:val="24"/>
        </w:rPr>
        <w:t xml:space="preserve">In 2016, NIOSH issued the third iteration of its </w:t>
      </w:r>
      <w:r w:rsidR="00323648" w:rsidRPr="002F64A6">
        <w:rPr>
          <w:rFonts w:asciiTheme="majorBidi" w:hAnsiTheme="majorBidi" w:cstheme="majorBidi"/>
          <w:szCs w:val="24"/>
        </w:rPr>
        <w:t>c</w:t>
      </w:r>
      <w:r w:rsidRPr="002F64A6">
        <w:rPr>
          <w:rFonts w:asciiTheme="majorBidi" w:hAnsiTheme="majorBidi" w:cstheme="majorBidi"/>
          <w:szCs w:val="24"/>
        </w:rPr>
        <w:t xml:space="preserve">riteria for a </w:t>
      </w:r>
      <w:r w:rsidR="00323648" w:rsidRPr="002F64A6">
        <w:rPr>
          <w:rFonts w:asciiTheme="majorBidi" w:hAnsiTheme="majorBidi" w:cstheme="majorBidi"/>
          <w:szCs w:val="24"/>
        </w:rPr>
        <w:t>r</w:t>
      </w:r>
      <w:r w:rsidRPr="002F64A6">
        <w:rPr>
          <w:rFonts w:asciiTheme="majorBidi" w:hAnsiTheme="majorBidi" w:cstheme="majorBidi"/>
          <w:szCs w:val="24"/>
        </w:rPr>
        <w:t xml:space="preserve">ecommended </w:t>
      </w:r>
      <w:r w:rsidR="00323648" w:rsidRPr="002F64A6">
        <w:rPr>
          <w:rFonts w:asciiTheme="majorBidi" w:hAnsiTheme="majorBidi" w:cstheme="majorBidi"/>
          <w:szCs w:val="24"/>
        </w:rPr>
        <w:t>s</w:t>
      </w:r>
      <w:r w:rsidRPr="002F64A6">
        <w:rPr>
          <w:rFonts w:asciiTheme="majorBidi" w:hAnsiTheme="majorBidi" w:cstheme="majorBidi"/>
          <w:szCs w:val="24"/>
        </w:rPr>
        <w:t xml:space="preserve">tandard </w:t>
      </w:r>
      <w:r w:rsidR="00323648" w:rsidRPr="002F64A6">
        <w:rPr>
          <w:rFonts w:asciiTheme="majorBidi" w:hAnsiTheme="majorBidi" w:cstheme="majorBidi"/>
          <w:szCs w:val="24"/>
        </w:rPr>
        <w:t>for occupational exposure to heat and hot environments</w:t>
      </w:r>
      <w:r w:rsidRPr="002F64A6">
        <w:rPr>
          <w:rFonts w:asciiTheme="majorBidi" w:hAnsiTheme="majorBidi" w:cstheme="majorBidi"/>
          <w:szCs w:val="24"/>
        </w:rPr>
        <w:t>, which includes the following elements:</w:t>
      </w:r>
      <w:r w:rsidRPr="002F64A6">
        <w:rPr>
          <w:rFonts w:asciiTheme="majorBidi" w:hAnsiTheme="majorBidi" w:cstheme="majorBidi"/>
          <w:szCs w:val="24"/>
          <w:vertAlign w:val="superscript"/>
        </w:rPr>
        <w:footnoteReference w:id="101"/>
      </w:r>
      <w:r w:rsidRPr="002F64A6">
        <w:rPr>
          <w:rFonts w:asciiTheme="majorBidi" w:hAnsiTheme="majorBidi" w:cstheme="majorBidi"/>
          <w:szCs w:val="24"/>
        </w:rPr>
        <w:t xml:space="preserve"> heat stress threshold; rest breaks; hydration; shade; heat acclimatization plan; PPE; exposure monitoring; hazard notification; worker training; medical monitoring; injury surveillance; and recordkeeping. </w:t>
      </w:r>
      <w:r w:rsidR="000813CB">
        <w:rPr>
          <w:rFonts w:asciiTheme="majorBidi" w:hAnsiTheme="majorBidi" w:cstheme="majorBidi"/>
          <w:szCs w:val="24"/>
        </w:rPr>
        <w:t>This section provides m</w:t>
      </w:r>
      <w:r w:rsidRPr="002F64A6">
        <w:rPr>
          <w:rFonts w:asciiTheme="majorBidi" w:hAnsiTheme="majorBidi" w:cstheme="majorBidi"/>
          <w:szCs w:val="24"/>
        </w:rPr>
        <w:t xml:space="preserve">ore detail on </w:t>
      </w:r>
      <w:r w:rsidR="008466D8">
        <w:rPr>
          <w:rFonts w:asciiTheme="majorBidi" w:hAnsiTheme="majorBidi" w:cstheme="majorBidi"/>
          <w:szCs w:val="24"/>
        </w:rPr>
        <w:t xml:space="preserve">this nonexclusive list of </w:t>
      </w:r>
      <w:r w:rsidRPr="002F64A6">
        <w:rPr>
          <w:rFonts w:asciiTheme="majorBidi" w:hAnsiTheme="majorBidi" w:cstheme="majorBidi"/>
          <w:szCs w:val="24"/>
        </w:rPr>
        <w:t>recommended provisions.</w:t>
      </w:r>
    </w:p>
    <w:p w14:paraId="15DD1935" w14:textId="485371F1" w:rsidR="00C43443" w:rsidRPr="002F64A6" w:rsidRDefault="008B6038" w:rsidP="00360794">
      <w:pPr>
        <w:rPr>
          <w:rFonts w:asciiTheme="majorBidi" w:hAnsiTheme="majorBidi" w:cstheme="majorBidi"/>
          <w:szCs w:val="24"/>
        </w:rPr>
      </w:pPr>
      <w:r>
        <w:rPr>
          <w:rFonts w:asciiTheme="majorBidi" w:hAnsiTheme="majorBidi" w:cstheme="majorBidi"/>
          <w:szCs w:val="24"/>
        </w:rPr>
        <w:t xml:space="preserve">If a heat hazard cannot be eliminated, then </w:t>
      </w:r>
      <w:r w:rsidR="00392552">
        <w:rPr>
          <w:rFonts w:asciiTheme="majorBidi" w:hAnsiTheme="majorBidi" w:cstheme="majorBidi"/>
          <w:szCs w:val="24"/>
        </w:rPr>
        <w:t xml:space="preserve">in most situations </w:t>
      </w:r>
      <w:r w:rsidR="00C025A4">
        <w:rPr>
          <w:rFonts w:asciiTheme="majorBidi" w:hAnsiTheme="majorBidi" w:cstheme="majorBidi"/>
          <w:szCs w:val="24"/>
        </w:rPr>
        <w:t xml:space="preserve">employers should take measures in an </w:t>
      </w:r>
      <w:r w:rsidR="008466D8">
        <w:rPr>
          <w:rFonts w:asciiTheme="majorBidi" w:hAnsiTheme="majorBidi" w:cstheme="majorBidi"/>
          <w:szCs w:val="24"/>
        </w:rPr>
        <w:t>order reflected in NIOSH’s “Checklist for controlling heat stress and heat strain”:</w:t>
      </w:r>
      <w:r w:rsidR="008466D8">
        <w:t xml:space="preserve"> engineering controls (</w:t>
      </w:r>
      <w:r w:rsidR="001B7C22">
        <w:t>e.g., air conditioners, fans, shade tents or tarps)</w:t>
      </w:r>
      <w:r w:rsidR="000E27AC">
        <w:t>, then administrative controls (</w:t>
      </w:r>
      <w:r w:rsidR="00FB43C4">
        <w:t>s</w:t>
      </w:r>
      <w:r w:rsidR="0041515A">
        <w:t>cheduling work in cooler parts of the day</w:t>
      </w:r>
      <w:r w:rsidR="00FB43C4">
        <w:t xml:space="preserve">, rest breaks, </w:t>
      </w:r>
      <w:r w:rsidR="006B63B1">
        <w:t>hydration), then PPE.</w:t>
      </w:r>
      <w:r w:rsidR="00FB43C4">
        <w:t xml:space="preserve"> </w:t>
      </w:r>
    </w:p>
    <w:p w14:paraId="4811F76E" w14:textId="3B537FF2" w:rsidR="00360794" w:rsidRPr="002F64A6" w:rsidRDefault="00360794" w:rsidP="00360794">
      <w:pPr>
        <w:pStyle w:val="L2"/>
      </w:pPr>
      <w:bookmarkStart w:id="32" w:name="_Toc518979498"/>
      <w:r w:rsidRPr="002F64A6">
        <w:t xml:space="preserve">Heat stress threshold, mandatory rest breaks, </w:t>
      </w:r>
      <w:r w:rsidR="0051127E">
        <w:t>cool rest areas</w:t>
      </w:r>
      <w:r w:rsidRPr="002F64A6">
        <w:t xml:space="preserve">, </w:t>
      </w:r>
      <w:r w:rsidR="00AE320E">
        <w:t xml:space="preserve">hydration, </w:t>
      </w:r>
      <w:r w:rsidRPr="002F64A6">
        <w:t xml:space="preserve">and </w:t>
      </w:r>
      <w:r w:rsidR="002E6C14">
        <w:t>p</w:t>
      </w:r>
      <w:r w:rsidRPr="002F64A6">
        <w:t xml:space="preserve">ersonal </w:t>
      </w:r>
      <w:r w:rsidR="002E6C14">
        <w:t>p</w:t>
      </w:r>
      <w:r w:rsidRPr="002F64A6">
        <w:t xml:space="preserve">rotective </w:t>
      </w:r>
      <w:r w:rsidR="002E6C14">
        <w:t>e</w:t>
      </w:r>
      <w:r w:rsidRPr="002F64A6">
        <w:t>quipment</w:t>
      </w:r>
      <w:bookmarkEnd w:id="32"/>
    </w:p>
    <w:p w14:paraId="744E0782" w14:textId="35765DDC" w:rsidR="00360794" w:rsidRPr="002F64A6" w:rsidRDefault="00113812" w:rsidP="00360794">
      <w:pPr>
        <w:rPr>
          <w:rFonts w:asciiTheme="majorBidi" w:hAnsiTheme="majorBidi" w:cstheme="majorBidi"/>
          <w:szCs w:val="24"/>
        </w:rPr>
      </w:pPr>
      <w:r>
        <w:rPr>
          <w:rFonts w:asciiTheme="majorBidi" w:hAnsiTheme="majorBidi" w:cstheme="majorBidi"/>
          <w:szCs w:val="24"/>
        </w:rPr>
        <w:t>NIOSH recommends</w:t>
      </w:r>
      <w:r w:rsidR="00360794" w:rsidRPr="002F64A6">
        <w:rPr>
          <w:rFonts w:asciiTheme="majorBidi" w:hAnsiTheme="majorBidi" w:cstheme="majorBidi"/>
          <w:szCs w:val="24"/>
        </w:rPr>
        <w:t xml:space="preserve"> that no worker be </w:t>
      </w:r>
      <w:r w:rsidR="00DB23CF">
        <w:rPr>
          <w:rFonts w:asciiTheme="majorBidi" w:hAnsiTheme="majorBidi" w:cstheme="majorBidi"/>
          <w:szCs w:val="24"/>
        </w:rPr>
        <w:t>“</w:t>
      </w:r>
      <w:r w:rsidR="00360794" w:rsidRPr="002F64A6">
        <w:rPr>
          <w:rFonts w:asciiTheme="majorBidi" w:hAnsiTheme="majorBidi" w:cstheme="majorBidi"/>
          <w:szCs w:val="24"/>
        </w:rPr>
        <w:t>exposed to combinations of metabolic and environmental heat greater than</w:t>
      </w:r>
      <w:r w:rsidR="00DB23CF">
        <w:rPr>
          <w:rFonts w:asciiTheme="majorBidi" w:hAnsiTheme="majorBidi" w:cstheme="majorBidi"/>
          <w:szCs w:val="24"/>
        </w:rPr>
        <w:t>”</w:t>
      </w:r>
      <w:r w:rsidR="00360794" w:rsidRPr="002F64A6">
        <w:rPr>
          <w:rFonts w:asciiTheme="majorBidi" w:hAnsiTheme="majorBidi" w:cstheme="majorBidi"/>
          <w:szCs w:val="24"/>
        </w:rPr>
        <w:t xml:space="preserve"> the applicable recommended alert limits (RALs) or recommended exposure limits (RELs), for unacclimatized and acclimatized workers, respectively (</w:t>
      </w:r>
      <w:r w:rsidR="00360794" w:rsidRPr="002F64A6">
        <w:rPr>
          <w:rFonts w:asciiTheme="majorBidi" w:hAnsiTheme="majorBidi" w:cstheme="majorBidi"/>
          <w:bCs/>
          <w:szCs w:val="24"/>
        </w:rPr>
        <w:fldChar w:fldCharType="begin"/>
      </w:r>
      <w:r w:rsidR="00360794" w:rsidRPr="002F64A6">
        <w:rPr>
          <w:rFonts w:asciiTheme="majorBidi" w:hAnsiTheme="majorBidi" w:cstheme="majorBidi"/>
          <w:bCs/>
          <w:szCs w:val="24"/>
        </w:rPr>
        <w:instrText xml:space="preserve"> REF _Ref514579409 \h  \* MERGEFORMAT </w:instrText>
      </w:r>
      <w:r w:rsidR="00360794" w:rsidRPr="002F64A6">
        <w:rPr>
          <w:rFonts w:asciiTheme="majorBidi" w:hAnsiTheme="majorBidi" w:cstheme="majorBidi"/>
          <w:bCs/>
          <w:szCs w:val="24"/>
        </w:rPr>
      </w:r>
      <w:r w:rsidR="00360794" w:rsidRPr="002F64A6">
        <w:rPr>
          <w:rFonts w:asciiTheme="majorBidi" w:hAnsiTheme="majorBidi" w:cstheme="majorBidi"/>
          <w:bCs/>
          <w:szCs w:val="24"/>
        </w:rPr>
        <w:fldChar w:fldCharType="separate"/>
      </w:r>
      <w:r w:rsidR="00E35FAB" w:rsidRPr="00E35FAB">
        <w:t xml:space="preserve">Figure </w:t>
      </w:r>
      <w:r w:rsidR="00E35FAB" w:rsidRPr="00E35FAB">
        <w:rPr>
          <w:noProof/>
        </w:rPr>
        <w:t>5</w:t>
      </w:r>
      <w:r w:rsidR="00360794" w:rsidRPr="002F64A6">
        <w:rPr>
          <w:rFonts w:asciiTheme="majorBidi" w:hAnsiTheme="majorBidi" w:cstheme="majorBidi"/>
          <w:bCs/>
          <w:szCs w:val="24"/>
        </w:rPr>
        <w:fldChar w:fldCharType="end"/>
      </w:r>
      <w:r w:rsidR="008C5081" w:rsidRPr="002F64A6">
        <w:rPr>
          <w:rFonts w:asciiTheme="majorBidi" w:hAnsiTheme="majorBidi" w:cstheme="majorBidi"/>
          <w:bCs/>
          <w:szCs w:val="24"/>
        </w:rPr>
        <w:t xml:space="preserve"> and </w:t>
      </w:r>
      <w:r w:rsidR="008C5081" w:rsidRPr="002F64A6">
        <w:rPr>
          <w:rFonts w:asciiTheme="majorBidi" w:hAnsiTheme="majorBidi" w:cstheme="majorBidi"/>
          <w:bCs/>
          <w:szCs w:val="24"/>
        </w:rPr>
        <w:fldChar w:fldCharType="begin"/>
      </w:r>
      <w:r w:rsidR="008C5081" w:rsidRPr="002F64A6">
        <w:rPr>
          <w:rFonts w:asciiTheme="majorBidi" w:hAnsiTheme="majorBidi" w:cstheme="majorBidi"/>
          <w:bCs/>
          <w:szCs w:val="24"/>
        </w:rPr>
        <w:instrText xml:space="preserve"> REF _Ref514579447 \h  \* MERGEFORMAT </w:instrText>
      </w:r>
      <w:r w:rsidR="008C5081" w:rsidRPr="002F64A6">
        <w:rPr>
          <w:rFonts w:asciiTheme="majorBidi" w:hAnsiTheme="majorBidi" w:cstheme="majorBidi"/>
          <w:bCs/>
          <w:szCs w:val="24"/>
        </w:rPr>
      </w:r>
      <w:r w:rsidR="008C5081" w:rsidRPr="002F64A6">
        <w:rPr>
          <w:rFonts w:asciiTheme="majorBidi" w:hAnsiTheme="majorBidi" w:cstheme="majorBidi"/>
          <w:bCs/>
          <w:szCs w:val="24"/>
        </w:rPr>
        <w:fldChar w:fldCharType="separate"/>
      </w:r>
      <w:r w:rsidR="00E35FAB" w:rsidRPr="00E35FAB">
        <w:t xml:space="preserve">Figure </w:t>
      </w:r>
      <w:r w:rsidR="00E35FAB" w:rsidRPr="00E35FAB">
        <w:rPr>
          <w:noProof/>
        </w:rPr>
        <w:t>6</w:t>
      </w:r>
      <w:r w:rsidR="008C5081" w:rsidRPr="002F64A6">
        <w:rPr>
          <w:rFonts w:asciiTheme="majorBidi" w:hAnsiTheme="majorBidi" w:cstheme="majorBidi"/>
          <w:bCs/>
          <w:szCs w:val="24"/>
        </w:rPr>
        <w:fldChar w:fldCharType="end"/>
      </w:r>
      <w:r w:rsidR="00360794" w:rsidRPr="002F64A6">
        <w:rPr>
          <w:rFonts w:asciiTheme="majorBidi" w:hAnsiTheme="majorBidi" w:cstheme="majorBidi"/>
          <w:szCs w:val="24"/>
        </w:rPr>
        <w:t>).</w:t>
      </w:r>
    </w:p>
    <w:tbl>
      <w:tblPr>
        <w:tblStyle w:val="TableGrid"/>
        <w:tblW w:w="796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63"/>
      </w:tblGrid>
      <w:tr w:rsidR="00360794" w:rsidRPr="002F64A6" w14:paraId="74D99E46" w14:textId="77777777" w:rsidTr="00A206A3">
        <w:trPr>
          <w:cnfStyle w:val="100000000000" w:firstRow="1" w:lastRow="0" w:firstColumn="0" w:lastColumn="0" w:oddVBand="0" w:evenVBand="0" w:oddHBand="0" w:evenHBand="0" w:firstRowFirstColumn="0" w:firstRowLastColumn="0" w:lastRowFirstColumn="0" w:lastRowLastColumn="0"/>
          <w:jc w:val="center"/>
        </w:trPr>
        <w:tc>
          <w:tcPr>
            <w:tcW w:w="7963" w:type="dxa"/>
            <w:shd w:val="clear" w:color="auto" w:fill="auto"/>
          </w:tcPr>
          <w:p w14:paraId="7082EA2E" w14:textId="4713F54E" w:rsidR="00360794" w:rsidRPr="002F64A6" w:rsidRDefault="00360794" w:rsidP="00A206A3">
            <w:pPr>
              <w:pStyle w:val="Caption"/>
              <w:rPr>
                <w:b/>
              </w:rPr>
            </w:pPr>
            <w:bookmarkStart w:id="33" w:name="_Ref514579409"/>
            <w:bookmarkStart w:id="34" w:name="_Ref514579397"/>
            <w:r w:rsidRPr="002F64A6">
              <w:rPr>
                <w:b/>
              </w:rPr>
              <w:lastRenderedPageBreak/>
              <w:t xml:space="preserve">Figure </w:t>
            </w:r>
            <w:r w:rsidR="00683706">
              <w:fldChar w:fldCharType="begin"/>
            </w:r>
            <w:r w:rsidR="00683706">
              <w:rPr>
                <w:b/>
              </w:rPr>
              <w:instrText xml:space="preserve"> SEQ Figure \* ARABIC </w:instrText>
            </w:r>
            <w:r w:rsidR="00683706">
              <w:fldChar w:fldCharType="separate"/>
            </w:r>
            <w:r w:rsidR="00E35FAB">
              <w:rPr>
                <w:b/>
                <w:noProof/>
              </w:rPr>
              <w:t>5</w:t>
            </w:r>
            <w:r w:rsidR="00683706">
              <w:fldChar w:fldCharType="end"/>
            </w:r>
            <w:bookmarkEnd w:id="33"/>
            <w:r w:rsidRPr="002F64A6">
              <w:rPr>
                <w:b/>
              </w:rPr>
              <w:t xml:space="preserve">. </w:t>
            </w:r>
            <w:r w:rsidR="00B323B3">
              <w:rPr>
                <w:b/>
              </w:rPr>
              <w:t xml:space="preserve">NIOSH </w:t>
            </w:r>
            <w:r w:rsidRPr="002F64A6">
              <w:rPr>
                <w:b/>
              </w:rPr>
              <w:t xml:space="preserve">Recommended heat stress </w:t>
            </w:r>
            <w:r w:rsidR="00390A2D" w:rsidRPr="002F64A6">
              <w:rPr>
                <w:b/>
              </w:rPr>
              <w:t xml:space="preserve">alert </w:t>
            </w:r>
            <w:r w:rsidRPr="002F64A6">
              <w:rPr>
                <w:b/>
              </w:rPr>
              <w:t>limits (R</w:t>
            </w:r>
            <w:r w:rsidR="00390A2D" w:rsidRPr="002F64A6">
              <w:rPr>
                <w:b/>
              </w:rPr>
              <w:t>A</w:t>
            </w:r>
            <w:r w:rsidRPr="002F64A6">
              <w:rPr>
                <w:b/>
              </w:rPr>
              <w:t>Ls)</w:t>
            </w:r>
            <w:r w:rsidRPr="002F64A6">
              <w:rPr>
                <w:b/>
              </w:rPr>
              <w:br/>
              <w:t xml:space="preserve">for </w:t>
            </w:r>
            <w:r w:rsidR="00390A2D" w:rsidRPr="002F64A6">
              <w:rPr>
                <w:b/>
              </w:rPr>
              <w:t>un</w:t>
            </w:r>
            <w:r w:rsidRPr="002F64A6">
              <w:rPr>
                <w:b/>
              </w:rPr>
              <w:t>acclimatized workers*</w:t>
            </w:r>
            <w:r w:rsidRPr="002F64A6">
              <w:rPr>
                <w:b/>
                <w:vertAlign w:val="superscript"/>
              </w:rPr>
              <w:t>,</w:t>
            </w:r>
            <w:r w:rsidRPr="002F64A6">
              <w:rPr>
                <w:rStyle w:val="FootnoteReference"/>
                <w:b/>
              </w:rPr>
              <w:footnoteReference w:id="102"/>
            </w:r>
            <w:bookmarkEnd w:id="34"/>
          </w:p>
          <w:p w14:paraId="695ECC89" w14:textId="77777777" w:rsidR="00360794" w:rsidRPr="002F64A6" w:rsidRDefault="00360794" w:rsidP="00A206A3">
            <w:pPr>
              <w:rPr>
                <w:rFonts w:asciiTheme="majorBidi" w:hAnsiTheme="majorBidi" w:cstheme="majorBidi"/>
                <w:szCs w:val="24"/>
              </w:rPr>
            </w:pPr>
            <w:r w:rsidRPr="002F64A6">
              <w:rPr>
                <w:noProof/>
              </w:rPr>
              <w:drawing>
                <wp:inline distT="0" distB="0" distL="0" distR="0" wp14:anchorId="7B08F555" wp14:editId="676BC84D">
                  <wp:extent cx="4832285" cy="5295829"/>
                  <wp:effectExtent l="0" t="0" r="6985"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extLst>
                              <a:ext uri="{28A0092B-C50C-407E-A947-70E740481C1C}">
                                <a14:useLocalDpi xmlns:a14="http://schemas.microsoft.com/office/drawing/2010/main" val="0"/>
                              </a:ext>
                            </a:extLst>
                          </a:blip>
                          <a:stretch>
                            <a:fillRect/>
                          </a:stretch>
                        </pic:blipFill>
                        <pic:spPr>
                          <a:xfrm>
                            <a:off x="0" y="0"/>
                            <a:ext cx="4832285" cy="5295829"/>
                          </a:xfrm>
                          <a:prstGeom prst="rect">
                            <a:avLst/>
                          </a:prstGeom>
                        </pic:spPr>
                      </pic:pic>
                    </a:graphicData>
                  </a:graphic>
                </wp:inline>
              </w:drawing>
            </w:r>
          </w:p>
        </w:tc>
      </w:tr>
      <w:tr w:rsidR="00360794" w:rsidRPr="002F64A6" w14:paraId="39A4B0D7" w14:textId="77777777" w:rsidTr="00A206A3">
        <w:trPr>
          <w:jc w:val="center"/>
        </w:trPr>
        <w:tc>
          <w:tcPr>
            <w:tcW w:w="7963" w:type="dxa"/>
          </w:tcPr>
          <w:p w14:paraId="5B99E2F5" w14:textId="482367EA" w:rsidR="00360794" w:rsidRPr="002F64A6" w:rsidRDefault="00360794" w:rsidP="00506876">
            <w:pPr>
              <w:pStyle w:val="Asterisks"/>
              <w:ind w:left="454"/>
              <w:jc w:val="left"/>
              <w:rPr>
                <w:rFonts w:asciiTheme="majorBidi" w:hAnsiTheme="majorBidi"/>
                <w:szCs w:val="24"/>
              </w:rPr>
            </w:pPr>
            <w:r w:rsidRPr="002F64A6">
              <w:t>*</w:t>
            </w:r>
            <w:r w:rsidR="003D147C" w:rsidRPr="002F64A6">
              <w:t xml:space="preserve"> </w:t>
            </w:r>
            <w:r w:rsidRPr="002F64A6">
              <w:t xml:space="preserve">Values shown are for a </w:t>
            </w:r>
            <w:r w:rsidR="00DB23CF">
              <w:t>“</w:t>
            </w:r>
            <w:r w:rsidRPr="002F64A6">
              <w:t>standard man</w:t>
            </w:r>
            <w:r w:rsidR="00DB23CF">
              <w:t>”</w:t>
            </w:r>
            <w:r w:rsidRPr="002F64A6">
              <w:t xml:space="preserve"> of 70 kg (154 lb) body weight and 1.8 m2 (19.4 ft2) body surface. The </w:t>
            </w:r>
            <w:r w:rsidR="00DB23CF">
              <w:t>“</w:t>
            </w:r>
            <w:r w:rsidRPr="002F64A6">
              <w:t>standard man</w:t>
            </w:r>
            <w:r w:rsidR="00DB23CF">
              <w:t>”</w:t>
            </w:r>
            <w:r w:rsidRPr="002F64A6">
              <w:t xml:space="preserve"> is used to normalize the data from the variability found in human beings. Both men and women adapt well to heat exposure, and given the similar physiological ability to tolerate heat, there are no significant differences between the sexes.</w:t>
            </w:r>
          </w:p>
        </w:tc>
      </w:tr>
    </w:tbl>
    <w:p w14:paraId="7E20E7CB" w14:textId="77777777" w:rsidR="00360794" w:rsidRPr="002F64A6" w:rsidRDefault="00360794" w:rsidP="00360794">
      <w:pPr>
        <w:rPr>
          <w:rFonts w:asciiTheme="majorBidi" w:hAnsiTheme="majorBidi" w:cstheme="majorBidi"/>
          <w:b/>
          <w:bCs/>
          <w:szCs w:val="24"/>
        </w:rPr>
      </w:pPr>
    </w:p>
    <w:tbl>
      <w:tblPr>
        <w:tblStyle w:val="TableGrid"/>
        <w:tblW w:w="796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63"/>
      </w:tblGrid>
      <w:tr w:rsidR="00360794" w:rsidRPr="002F64A6" w14:paraId="09C6DE6F" w14:textId="77777777" w:rsidTr="00A206A3">
        <w:trPr>
          <w:cnfStyle w:val="100000000000" w:firstRow="1" w:lastRow="0" w:firstColumn="0" w:lastColumn="0" w:oddVBand="0" w:evenVBand="0" w:oddHBand="0" w:evenHBand="0" w:firstRowFirstColumn="0" w:firstRowLastColumn="0" w:lastRowFirstColumn="0" w:lastRowLastColumn="0"/>
          <w:jc w:val="center"/>
        </w:trPr>
        <w:tc>
          <w:tcPr>
            <w:tcW w:w="7963" w:type="dxa"/>
            <w:shd w:val="clear" w:color="auto" w:fill="auto"/>
          </w:tcPr>
          <w:p w14:paraId="4F693FB8" w14:textId="7279712A" w:rsidR="00360794" w:rsidRPr="002F64A6" w:rsidRDefault="00360794" w:rsidP="00A206A3">
            <w:pPr>
              <w:pStyle w:val="Caption"/>
              <w:rPr>
                <w:b/>
              </w:rPr>
            </w:pPr>
            <w:bookmarkStart w:id="35" w:name="_Ref514579447"/>
            <w:r w:rsidRPr="002F64A6">
              <w:rPr>
                <w:b/>
              </w:rPr>
              <w:lastRenderedPageBreak/>
              <w:t xml:space="preserve">Figure </w:t>
            </w:r>
            <w:r w:rsidR="00683706">
              <w:fldChar w:fldCharType="begin"/>
            </w:r>
            <w:r w:rsidR="00683706">
              <w:rPr>
                <w:b/>
              </w:rPr>
              <w:instrText xml:space="preserve"> SEQ Figure \* ARABIC </w:instrText>
            </w:r>
            <w:r w:rsidR="00683706">
              <w:fldChar w:fldCharType="separate"/>
            </w:r>
            <w:r w:rsidR="00E35FAB">
              <w:rPr>
                <w:b/>
                <w:noProof/>
              </w:rPr>
              <w:t>6</w:t>
            </w:r>
            <w:r w:rsidR="00683706">
              <w:fldChar w:fldCharType="end"/>
            </w:r>
            <w:bookmarkEnd w:id="35"/>
            <w:r w:rsidRPr="002F64A6">
              <w:rPr>
                <w:b/>
              </w:rPr>
              <w:t xml:space="preserve">. </w:t>
            </w:r>
            <w:r w:rsidR="00850311">
              <w:rPr>
                <w:b/>
              </w:rPr>
              <w:t>NIOSH r</w:t>
            </w:r>
            <w:r w:rsidRPr="002F64A6">
              <w:rPr>
                <w:b/>
              </w:rPr>
              <w:t>ecommended heat stress exposure limits (RELs)</w:t>
            </w:r>
            <w:r w:rsidRPr="002F64A6">
              <w:rPr>
                <w:b/>
              </w:rPr>
              <w:br/>
              <w:t>for acclimatized workers*</w:t>
            </w:r>
            <w:r w:rsidRPr="002F64A6">
              <w:rPr>
                <w:b/>
                <w:vertAlign w:val="superscript"/>
              </w:rPr>
              <w:t>,</w:t>
            </w:r>
            <w:r w:rsidRPr="002F64A6">
              <w:rPr>
                <w:rStyle w:val="FootnoteReference"/>
                <w:b/>
              </w:rPr>
              <w:footnoteReference w:id="103"/>
            </w:r>
          </w:p>
          <w:p w14:paraId="13BE621E" w14:textId="77777777" w:rsidR="00360794" w:rsidRPr="002F64A6" w:rsidRDefault="00360794" w:rsidP="00A206A3">
            <w:pPr>
              <w:rPr>
                <w:rFonts w:asciiTheme="majorBidi" w:hAnsiTheme="majorBidi" w:cstheme="majorBidi"/>
                <w:szCs w:val="24"/>
              </w:rPr>
            </w:pPr>
            <w:r w:rsidRPr="002F64A6">
              <w:rPr>
                <w:noProof/>
              </w:rPr>
              <w:drawing>
                <wp:inline distT="0" distB="0" distL="0" distR="0" wp14:anchorId="45DA0EF7" wp14:editId="1625CFB5">
                  <wp:extent cx="4919472" cy="5442408"/>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extLst>
                              <a:ext uri="{28A0092B-C50C-407E-A947-70E740481C1C}">
                                <a14:useLocalDpi xmlns:a14="http://schemas.microsoft.com/office/drawing/2010/main" val="0"/>
                              </a:ext>
                            </a:extLst>
                          </a:blip>
                          <a:stretch>
                            <a:fillRect/>
                          </a:stretch>
                        </pic:blipFill>
                        <pic:spPr>
                          <a:xfrm>
                            <a:off x="0" y="0"/>
                            <a:ext cx="4919472" cy="5442408"/>
                          </a:xfrm>
                          <a:prstGeom prst="rect">
                            <a:avLst/>
                          </a:prstGeom>
                        </pic:spPr>
                      </pic:pic>
                    </a:graphicData>
                  </a:graphic>
                </wp:inline>
              </w:drawing>
            </w:r>
          </w:p>
        </w:tc>
      </w:tr>
      <w:tr w:rsidR="00360794" w:rsidRPr="002F64A6" w14:paraId="73B793E5" w14:textId="77777777" w:rsidTr="00A206A3">
        <w:trPr>
          <w:jc w:val="center"/>
        </w:trPr>
        <w:tc>
          <w:tcPr>
            <w:tcW w:w="7963" w:type="dxa"/>
          </w:tcPr>
          <w:p w14:paraId="2D501161" w14:textId="2EFDB248" w:rsidR="00360794" w:rsidRPr="002F64A6" w:rsidRDefault="00360794" w:rsidP="00506876">
            <w:pPr>
              <w:pStyle w:val="Asterisks"/>
              <w:ind w:left="364"/>
              <w:jc w:val="left"/>
              <w:rPr>
                <w:rFonts w:asciiTheme="majorBidi" w:hAnsiTheme="majorBidi"/>
                <w:szCs w:val="24"/>
              </w:rPr>
            </w:pPr>
            <w:r w:rsidRPr="002F64A6">
              <w:t xml:space="preserve">* Values shown are for a </w:t>
            </w:r>
            <w:r w:rsidR="00DB23CF">
              <w:t>“</w:t>
            </w:r>
            <w:r w:rsidRPr="002F64A6">
              <w:t>standard man</w:t>
            </w:r>
            <w:r w:rsidR="00DB23CF">
              <w:t>”</w:t>
            </w:r>
            <w:r w:rsidRPr="002F64A6">
              <w:t xml:space="preserve"> of 70 kg (154 lb) body weight and 1.8 m2 (19.4 ft2) body surface. The </w:t>
            </w:r>
            <w:r w:rsidR="00DB23CF">
              <w:t>“</w:t>
            </w:r>
            <w:r w:rsidRPr="002F64A6">
              <w:t>standard man</w:t>
            </w:r>
            <w:r w:rsidR="00DB23CF">
              <w:t>”</w:t>
            </w:r>
            <w:r w:rsidRPr="002F64A6">
              <w:t xml:space="preserve"> is used to normalize the data from the variability found in human beings. Both men and women adapt well to heat exposure, and given the similar physiological ability to tolerate heat, there are no significant differences between the sexes.</w:t>
            </w:r>
          </w:p>
        </w:tc>
      </w:tr>
    </w:tbl>
    <w:p w14:paraId="64B1BA57" w14:textId="3FCDA086" w:rsidR="00360794" w:rsidRPr="002F64A6" w:rsidRDefault="00360794" w:rsidP="00360794">
      <w:pPr>
        <w:rPr>
          <w:rFonts w:asciiTheme="majorBidi" w:hAnsiTheme="majorBidi" w:cstheme="majorBidi"/>
          <w:szCs w:val="24"/>
        </w:rPr>
      </w:pPr>
      <w:r w:rsidRPr="002F64A6">
        <w:rPr>
          <w:rFonts w:asciiTheme="majorBidi" w:hAnsiTheme="majorBidi" w:cstheme="majorBidi"/>
          <w:szCs w:val="24"/>
        </w:rPr>
        <w:t xml:space="preserve">Calculating the total heat load </w:t>
      </w:r>
      <w:r w:rsidR="005B40BC" w:rsidRPr="002F64A6">
        <w:rPr>
          <w:rFonts w:asciiTheme="majorBidi" w:hAnsiTheme="majorBidi" w:cstheme="majorBidi"/>
          <w:szCs w:val="24"/>
        </w:rPr>
        <w:t xml:space="preserve">(environmental + metabolic) </w:t>
      </w:r>
      <w:r w:rsidRPr="002F64A6">
        <w:rPr>
          <w:rFonts w:asciiTheme="majorBidi" w:hAnsiTheme="majorBidi" w:cstheme="majorBidi"/>
          <w:szCs w:val="24"/>
        </w:rPr>
        <w:t>is relatively straightforward, even for small employers. In most situations, environmental heat loads are obtained most accurately by directly measuring, using a WBGT meter, or by indirectly calculating the WBGT</w:t>
      </w:r>
      <w:r w:rsidR="00103570">
        <w:rPr>
          <w:rFonts w:asciiTheme="majorBidi" w:hAnsiTheme="majorBidi" w:cstheme="majorBidi"/>
          <w:szCs w:val="24"/>
        </w:rPr>
        <w:t>,</w:t>
      </w:r>
      <w:r w:rsidR="008818CE" w:rsidRPr="002F64A6">
        <w:rPr>
          <w:rStyle w:val="FootnoteReference"/>
          <w:rFonts w:asciiTheme="majorBidi" w:hAnsiTheme="majorBidi" w:cstheme="majorBidi"/>
          <w:szCs w:val="24"/>
        </w:rPr>
        <w:footnoteReference w:id="104"/>
      </w:r>
      <w:r w:rsidR="00103570">
        <w:rPr>
          <w:rFonts w:asciiTheme="majorBidi" w:hAnsiTheme="majorBidi" w:cstheme="majorBidi"/>
          <w:szCs w:val="24"/>
        </w:rPr>
        <w:t xml:space="preserve"> and should be measured hourly</w:t>
      </w:r>
      <w:r w:rsidRPr="002F64A6">
        <w:rPr>
          <w:rFonts w:asciiTheme="majorBidi" w:hAnsiTheme="majorBidi" w:cstheme="majorBidi"/>
          <w:szCs w:val="24"/>
        </w:rPr>
        <w:t>.</w:t>
      </w:r>
      <w:r w:rsidR="008818CE">
        <w:rPr>
          <w:rStyle w:val="FootnoteReference"/>
          <w:rFonts w:asciiTheme="majorBidi" w:hAnsiTheme="majorBidi" w:cstheme="majorBidi"/>
          <w:szCs w:val="24"/>
        </w:rPr>
        <w:footnoteReference w:id="105"/>
      </w:r>
      <w:r w:rsidRPr="002F64A6">
        <w:rPr>
          <w:rFonts w:asciiTheme="majorBidi" w:hAnsiTheme="majorBidi" w:cstheme="majorBidi"/>
          <w:szCs w:val="24"/>
        </w:rPr>
        <w:t xml:space="preserve"> Metabolic heat loads can be approximated roughly according to the </w:t>
      </w:r>
      <w:r w:rsidRPr="002F64A6">
        <w:rPr>
          <w:rFonts w:asciiTheme="majorBidi" w:hAnsiTheme="majorBidi" w:cstheme="majorBidi"/>
          <w:szCs w:val="24"/>
        </w:rPr>
        <w:lastRenderedPageBreak/>
        <w:t xml:space="preserve">ACGIH metabolic-work-rate guide, presented in </w:t>
      </w:r>
      <w:r w:rsidRPr="002F64A6">
        <w:rPr>
          <w:rFonts w:asciiTheme="majorBidi" w:hAnsiTheme="majorBidi" w:cstheme="majorBidi"/>
          <w:szCs w:val="24"/>
        </w:rPr>
        <w:fldChar w:fldCharType="begin"/>
      </w:r>
      <w:r w:rsidRPr="002F64A6">
        <w:rPr>
          <w:rFonts w:asciiTheme="majorBidi" w:hAnsiTheme="majorBidi" w:cstheme="majorBidi"/>
          <w:szCs w:val="24"/>
        </w:rPr>
        <w:instrText xml:space="preserve"> REF _Ref514855699 \h </w:instrText>
      </w:r>
      <w:r w:rsidR="00F30950" w:rsidRPr="002F64A6">
        <w:rPr>
          <w:rFonts w:asciiTheme="majorBidi" w:hAnsiTheme="majorBidi" w:cstheme="majorBidi"/>
          <w:szCs w:val="24"/>
        </w:rPr>
        <w:instrText xml:space="preserve"> \* MERGEFORMAT </w:instrText>
      </w:r>
      <w:r w:rsidRPr="002F64A6">
        <w:rPr>
          <w:rFonts w:asciiTheme="majorBidi" w:hAnsiTheme="majorBidi" w:cstheme="majorBidi"/>
          <w:szCs w:val="24"/>
        </w:rPr>
      </w:r>
      <w:r w:rsidRPr="002F64A6">
        <w:rPr>
          <w:rFonts w:asciiTheme="majorBidi" w:hAnsiTheme="majorBidi" w:cstheme="majorBidi"/>
          <w:szCs w:val="24"/>
        </w:rPr>
        <w:fldChar w:fldCharType="separate"/>
      </w:r>
      <w:r w:rsidR="00E35FAB" w:rsidRPr="002F64A6">
        <w:t xml:space="preserve">Table </w:t>
      </w:r>
      <w:r w:rsidR="00E35FAB">
        <w:rPr>
          <w:noProof/>
        </w:rPr>
        <w:t>8</w:t>
      </w:r>
      <w:r w:rsidRPr="002F64A6">
        <w:rPr>
          <w:rFonts w:asciiTheme="majorBidi" w:hAnsiTheme="majorBidi" w:cstheme="majorBidi"/>
          <w:szCs w:val="24"/>
        </w:rPr>
        <w:fldChar w:fldCharType="end"/>
      </w:r>
      <w:r w:rsidRPr="002F64A6">
        <w:rPr>
          <w:rFonts w:asciiTheme="majorBidi" w:hAnsiTheme="majorBidi" w:cstheme="majorBidi"/>
          <w:szCs w:val="24"/>
        </w:rPr>
        <w:t>, and recommended by the OSHA Technical Manual on heat stress.</w:t>
      </w:r>
      <w:r w:rsidRPr="002F64A6">
        <w:rPr>
          <w:rStyle w:val="FootnoteReference"/>
          <w:rFonts w:asciiTheme="majorBidi" w:hAnsiTheme="majorBidi" w:cstheme="majorBidi"/>
          <w:szCs w:val="24"/>
        </w:rPr>
        <w:footnoteReference w:id="106"/>
      </w:r>
      <w:r w:rsidRPr="002F64A6">
        <w:rPr>
          <w:rFonts w:asciiTheme="majorBidi" w:hAnsiTheme="majorBidi" w:cstheme="majorBidi"/>
          <w:szCs w:val="24"/>
        </w:rPr>
        <w:t xml:space="preserve"> </w:t>
      </w:r>
    </w:p>
    <w:p w14:paraId="11468914" w14:textId="77777777" w:rsidR="00360794" w:rsidRPr="002F64A6" w:rsidRDefault="00360794" w:rsidP="00360794">
      <w:pPr>
        <w:pStyle w:val="Caption"/>
      </w:pPr>
      <w:bookmarkStart w:id="36" w:name="_Ref514855699"/>
      <w:bookmarkStart w:id="37" w:name="_Ref518316060"/>
      <w:r w:rsidRPr="002F64A6">
        <w:t xml:space="preserve">Table </w:t>
      </w:r>
      <w:r w:rsidR="00A46EC9">
        <w:fldChar w:fldCharType="begin"/>
      </w:r>
      <w:r w:rsidR="00A46EC9">
        <w:instrText xml:space="preserve"> SEQ Table \* ARABIC </w:instrText>
      </w:r>
      <w:r w:rsidR="00A46EC9">
        <w:fldChar w:fldCharType="separate"/>
      </w:r>
      <w:r w:rsidR="00E35FAB">
        <w:rPr>
          <w:noProof/>
        </w:rPr>
        <w:t>8</w:t>
      </w:r>
      <w:r w:rsidR="00A46EC9">
        <w:rPr>
          <w:noProof/>
        </w:rPr>
        <w:fldChar w:fldCharType="end"/>
      </w:r>
      <w:bookmarkEnd w:id="36"/>
      <w:r w:rsidRPr="002F64A6">
        <w:t>. Metabolic work rates</w:t>
      </w:r>
      <w:bookmarkEnd w:id="37"/>
    </w:p>
    <w:tbl>
      <w:tblPr>
        <w:tblStyle w:val="LightShading-Accent5"/>
        <w:tblW w:w="4500" w:type="pct"/>
        <w:jc w:val="center"/>
        <w:tblLook w:val="04A0" w:firstRow="1" w:lastRow="0" w:firstColumn="1" w:lastColumn="0" w:noHBand="0" w:noVBand="1"/>
      </w:tblPr>
      <w:tblGrid>
        <w:gridCol w:w="1339"/>
        <w:gridCol w:w="1440"/>
        <w:gridCol w:w="5636"/>
      </w:tblGrid>
      <w:tr w:rsidR="00360794" w:rsidRPr="002F64A6" w14:paraId="73F77971" w14:textId="77777777" w:rsidTr="005E2CC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39" w:type="dxa"/>
          </w:tcPr>
          <w:p w14:paraId="5A058634" w14:textId="77777777" w:rsidR="00360794" w:rsidRPr="002F64A6" w:rsidRDefault="00360794" w:rsidP="00A206A3">
            <w:pPr>
              <w:pStyle w:val="TableHeading"/>
            </w:pPr>
            <w:r w:rsidRPr="002F64A6">
              <w:t>Work Category</w:t>
            </w:r>
          </w:p>
        </w:tc>
        <w:tc>
          <w:tcPr>
            <w:tcW w:w="1440" w:type="dxa"/>
          </w:tcPr>
          <w:p w14:paraId="20FA4CBD" w14:textId="77777777" w:rsidR="00360794" w:rsidRPr="002F64A6" w:rsidRDefault="00360794" w:rsidP="00A206A3">
            <w:pPr>
              <w:pStyle w:val="TableHeading"/>
              <w:cnfStyle w:val="100000000000" w:firstRow="1" w:lastRow="0" w:firstColumn="0" w:lastColumn="0" w:oddVBand="0" w:evenVBand="0" w:oddHBand="0" w:evenHBand="0" w:firstRowFirstColumn="0" w:firstRowLastColumn="0" w:lastRowFirstColumn="0" w:lastRowLastColumn="0"/>
            </w:pPr>
            <w:r w:rsidRPr="002F64A6">
              <w:t>Metabolic Rate (Watts)</w:t>
            </w:r>
          </w:p>
        </w:tc>
        <w:tc>
          <w:tcPr>
            <w:tcW w:w="5839" w:type="dxa"/>
          </w:tcPr>
          <w:p w14:paraId="3D5EABF4" w14:textId="77777777" w:rsidR="00360794" w:rsidRPr="002F64A6" w:rsidRDefault="00360794" w:rsidP="00A206A3">
            <w:pPr>
              <w:pStyle w:val="TableHeading"/>
              <w:cnfStyle w:val="100000000000" w:firstRow="1" w:lastRow="0" w:firstColumn="0" w:lastColumn="0" w:oddVBand="0" w:evenVBand="0" w:oddHBand="0" w:evenHBand="0" w:firstRowFirstColumn="0" w:firstRowLastColumn="0" w:lastRowFirstColumn="0" w:lastRowLastColumn="0"/>
            </w:pPr>
            <w:r w:rsidRPr="002F64A6">
              <w:t>Examples</w:t>
            </w:r>
          </w:p>
        </w:tc>
      </w:tr>
      <w:tr w:rsidR="00360794" w:rsidRPr="002F64A6" w14:paraId="502AE018" w14:textId="77777777" w:rsidTr="005E2CC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39" w:type="dxa"/>
          </w:tcPr>
          <w:p w14:paraId="77FAE107" w14:textId="77777777" w:rsidR="00360794" w:rsidRPr="002F64A6" w:rsidRDefault="00360794" w:rsidP="00A206A3">
            <w:pPr>
              <w:pStyle w:val="TableLeft"/>
            </w:pPr>
            <w:r w:rsidRPr="002F64A6">
              <w:t>Rest</w:t>
            </w:r>
          </w:p>
        </w:tc>
        <w:tc>
          <w:tcPr>
            <w:tcW w:w="1440" w:type="dxa"/>
          </w:tcPr>
          <w:p w14:paraId="6E97C8D8" w14:textId="77777777" w:rsidR="00360794" w:rsidRPr="002F64A6" w:rsidRDefault="00360794" w:rsidP="00A206A3">
            <w:pPr>
              <w:pStyle w:val="TableCenter"/>
              <w:cnfStyle w:val="000000100000" w:firstRow="0" w:lastRow="0" w:firstColumn="0" w:lastColumn="0" w:oddVBand="0" w:evenVBand="0" w:oddHBand="1" w:evenHBand="0" w:firstRowFirstColumn="0" w:firstRowLastColumn="0" w:lastRowFirstColumn="0" w:lastRowLastColumn="0"/>
            </w:pPr>
            <w:r w:rsidRPr="002F64A6">
              <w:t>115</w:t>
            </w:r>
          </w:p>
        </w:tc>
        <w:tc>
          <w:tcPr>
            <w:tcW w:w="5839" w:type="dxa"/>
          </w:tcPr>
          <w:p w14:paraId="5000F7AF" w14:textId="77777777" w:rsidR="00360794" w:rsidRPr="002F64A6" w:rsidRDefault="00360794" w:rsidP="00A206A3">
            <w:pPr>
              <w:pStyle w:val="TableLeft"/>
              <w:cnfStyle w:val="000000100000" w:firstRow="0" w:lastRow="0" w:firstColumn="0" w:lastColumn="0" w:oddVBand="0" w:evenVBand="0" w:oddHBand="1" w:evenHBand="0" w:firstRowFirstColumn="0" w:firstRowLastColumn="0" w:lastRowFirstColumn="0" w:lastRowLastColumn="0"/>
            </w:pPr>
            <w:r w:rsidRPr="002F64A6">
              <w:t>Sitting</w:t>
            </w:r>
          </w:p>
        </w:tc>
      </w:tr>
      <w:tr w:rsidR="00360794" w:rsidRPr="002F64A6" w14:paraId="5ADA0452" w14:textId="77777777" w:rsidTr="005E2CC7">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39" w:type="dxa"/>
          </w:tcPr>
          <w:p w14:paraId="17E3EBA9" w14:textId="77777777" w:rsidR="00360794" w:rsidRPr="002F64A6" w:rsidRDefault="00360794" w:rsidP="00A206A3">
            <w:pPr>
              <w:pStyle w:val="TableLeft"/>
            </w:pPr>
            <w:r w:rsidRPr="002F64A6">
              <w:t>Light</w:t>
            </w:r>
          </w:p>
        </w:tc>
        <w:tc>
          <w:tcPr>
            <w:tcW w:w="1440" w:type="dxa"/>
          </w:tcPr>
          <w:p w14:paraId="1DD47E4D" w14:textId="77777777" w:rsidR="00360794" w:rsidRPr="002F64A6" w:rsidRDefault="00360794" w:rsidP="00A206A3">
            <w:pPr>
              <w:pStyle w:val="TableCenter"/>
              <w:cnfStyle w:val="000000010000" w:firstRow="0" w:lastRow="0" w:firstColumn="0" w:lastColumn="0" w:oddVBand="0" w:evenVBand="0" w:oddHBand="0" w:evenHBand="1" w:firstRowFirstColumn="0" w:firstRowLastColumn="0" w:lastRowFirstColumn="0" w:lastRowLastColumn="0"/>
            </w:pPr>
            <w:r w:rsidRPr="002F64A6">
              <w:t>180</w:t>
            </w:r>
          </w:p>
        </w:tc>
        <w:tc>
          <w:tcPr>
            <w:tcW w:w="5839" w:type="dxa"/>
          </w:tcPr>
          <w:p w14:paraId="7BFE0385" w14:textId="77777777" w:rsidR="00360794" w:rsidRPr="002F64A6" w:rsidRDefault="00360794" w:rsidP="00A206A3">
            <w:pPr>
              <w:pStyle w:val="TableLeft"/>
              <w:cnfStyle w:val="000000010000" w:firstRow="0" w:lastRow="0" w:firstColumn="0" w:lastColumn="0" w:oddVBand="0" w:evenVBand="0" w:oddHBand="0" w:evenHBand="1" w:firstRowFirstColumn="0" w:firstRowLastColumn="0" w:lastRowFirstColumn="0" w:lastRowLastColumn="0"/>
            </w:pPr>
            <w:r w:rsidRPr="002F64A6">
              <w:t>Sitting, standing, light arm/hand work and occasional walking</w:t>
            </w:r>
          </w:p>
        </w:tc>
      </w:tr>
      <w:tr w:rsidR="00360794" w:rsidRPr="002F64A6" w14:paraId="08EFED66" w14:textId="77777777" w:rsidTr="005E2CC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39" w:type="dxa"/>
          </w:tcPr>
          <w:p w14:paraId="78E49321" w14:textId="77777777" w:rsidR="00360794" w:rsidRPr="002F64A6" w:rsidRDefault="00360794" w:rsidP="00A206A3">
            <w:pPr>
              <w:pStyle w:val="TableLeft"/>
            </w:pPr>
            <w:r w:rsidRPr="002F64A6">
              <w:t>Moderate</w:t>
            </w:r>
          </w:p>
        </w:tc>
        <w:tc>
          <w:tcPr>
            <w:tcW w:w="1440" w:type="dxa"/>
          </w:tcPr>
          <w:p w14:paraId="73ED54EB" w14:textId="77777777" w:rsidR="00360794" w:rsidRPr="002F64A6" w:rsidRDefault="00360794" w:rsidP="00A206A3">
            <w:pPr>
              <w:pStyle w:val="TableCenter"/>
              <w:cnfStyle w:val="000000100000" w:firstRow="0" w:lastRow="0" w:firstColumn="0" w:lastColumn="0" w:oddVBand="0" w:evenVBand="0" w:oddHBand="1" w:evenHBand="0" w:firstRowFirstColumn="0" w:firstRowLastColumn="0" w:lastRowFirstColumn="0" w:lastRowLastColumn="0"/>
            </w:pPr>
            <w:r w:rsidRPr="002F64A6">
              <w:t>300</w:t>
            </w:r>
          </w:p>
        </w:tc>
        <w:tc>
          <w:tcPr>
            <w:tcW w:w="5839" w:type="dxa"/>
          </w:tcPr>
          <w:p w14:paraId="72DFA5FE" w14:textId="77777777" w:rsidR="00360794" w:rsidRPr="002F64A6" w:rsidRDefault="00360794" w:rsidP="00A206A3">
            <w:pPr>
              <w:pStyle w:val="TableLeft"/>
              <w:cnfStyle w:val="000000100000" w:firstRow="0" w:lastRow="0" w:firstColumn="0" w:lastColumn="0" w:oddVBand="0" w:evenVBand="0" w:oddHBand="1" w:evenHBand="0" w:firstRowFirstColumn="0" w:firstRowLastColumn="0" w:lastRowFirstColumn="0" w:lastRowLastColumn="0"/>
            </w:pPr>
            <w:r w:rsidRPr="002F64A6">
              <w:t>Normal walking, moderate lifting</w:t>
            </w:r>
          </w:p>
        </w:tc>
      </w:tr>
      <w:tr w:rsidR="00360794" w:rsidRPr="002F64A6" w14:paraId="6C0E325A" w14:textId="77777777" w:rsidTr="005E2CC7">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39" w:type="dxa"/>
          </w:tcPr>
          <w:p w14:paraId="777319B9" w14:textId="77777777" w:rsidR="00360794" w:rsidRPr="002F64A6" w:rsidRDefault="00360794" w:rsidP="00A206A3">
            <w:pPr>
              <w:pStyle w:val="TableLeft"/>
            </w:pPr>
            <w:r w:rsidRPr="002F64A6">
              <w:t>Heavy</w:t>
            </w:r>
          </w:p>
        </w:tc>
        <w:tc>
          <w:tcPr>
            <w:tcW w:w="1440" w:type="dxa"/>
          </w:tcPr>
          <w:p w14:paraId="15AECCD7" w14:textId="77777777" w:rsidR="00360794" w:rsidRPr="002F64A6" w:rsidRDefault="00360794" w:rsidP="00A206A3">
            <w:pPr>
              <w:pStyle w:val="TableCenter"/>
              <w:cnfStyle w:val="000000010000" w:firstRow="0" w:lastRow="0" w:firstColumn="0" w:lastColumn="0" w:oddVBand="0" w:evenVBand="0" w:oddHBand="0" w:evenHBand="1" w:firstRowFirstColumn="0" w:firstRowLastColumn="0" w:lastRowFirstColumn="0" w:lastRowLastColumn="0"/>
            </w:pPr>
            <w:r w:rsidRPr="002F64A6">
              <w:t>415</w:t>
            </w:r>
          </w:p>
        </w:tc>
        <w:tc>
          <w:tcPr>
            <w:tcW w:w="5839" w:type="dxa"/>
          </w:tcPr>
          <w:p w14:paraId="6DF506AE" w14:textId="77777777" w:rsidR="00360794" w:rsidRPr="002F64A6" w:rsidRDefault="00360794" w:rsidP="00A206A3">
            <w:pPr>
              <w:pStyle w:val="TableLeft"/>
              <w:cnfStyle w:val="000000010000" w:firstRow="0" w:lastRow="0" w:firstColumn="0" w:lastColumn="0" w:oddVBand="0" w:evenVBand="0" w:oddHBand="0" w:evenHBand="1" w:firstRowFirstColumn="0" w:firstRowLastColumn="0" w:lastRowFirstColumn="0" w:lastRowLastColumn="0"/>
            </w:pPr>
            <w:r w:rsidRPr="002F64A6">
              <w:t>Heavy material handling, walking at a fast pace</w:t>
            </w:r>
          </w:p>
        </w:tc>
      </w:tr>
      <w:tr w:rsidR="00360794" w:rsidRPr="002F64A6" w14:paraId="27222D50" w14:textId="77777777" w:rsidTr="005E2CC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39" w:type="dxa"/>
            <w:tcBorders>
              <w:bottom w:val="nil"/>
            </w:tcBorders>
          </w:tcPr>
          <w:p w14:paraId="77AE8B52" w14:textId="77777777" w:rsidR="00360794" w:rsidRPr="002F64A6" w:rsidRDefault="00360794" w:rsidP="00A206A3">
            <w:pPr>
              <w:pStyle w:val="TableLeft"/>
            </w:pPr>
            <w:r w:rsidRPr="002F64A6">
              <w:t>Very Heavy</w:t>
            </w:r>
          </w:p>
        </w:tc>
        <w:tc>
          <w:tcPr>
            <w:tcW w:w="1440" w:type="dxa"/>
            <w:tcBorders>
              <w:bottom w:val="nil"/>
            </w:tcBorders>
          </w:tcPr>
          <w:p w14:paraId="7E23C6E4" w14:textId="77777777" w:rsidR="00360794" w:rsidRPr="002F64A6" w:rsidRDefault="00360794" w:rsidP="00A206A3">
            <w:pPr>
              <w:pStyle w:val="TableCenter"/>
              <w:cnfStyle w:val="000000100000" w:firstRow="0" w:lastRow="0" w:firstColumn="0" w:lastColumn="0" w:oddVBand="0" w:evenVBand="0" w:oddHBand="1" w:evenHBand="0" w:firstRowFirstColumn="0" w:firstRowLastColumn="0" w:lastRowFirstColumn="0" w:lastRowLastColumn="0"/>
            </w:pPr>
            <w:r w:rsidRPr="002F64A6">
              <w:t>520</w:t>
            </w:r>
          </w:p>
        </w:tc>
        <w:tc>
          <w:tcPr>
            <w:tcW w:w="5839" w:type="dxa"/>
            <w:tcBorders>
              <w:bottom w:val="nil"/>
            </w:tcBorders>
          </w:tcPr>
          <w:p w14:paraId="3D920DA4" w14:textId="77777777" w:rsidR="00360794" w:rsidRPr="002F64A6" w:rsidRDefault="00360794" w:rsidP="00A206A3">
            <w:pPr>
              <w:pStyle w:val="TableLeft"/>
              <w:cnfStyle w:val="000000100000" w:firstRow="0" w:lastRow="0" w:firstColumn="0" w:lastColumn="0" w:oddVBand="0" w:evenVBand="0" w:oddHBand="1" w:evenHBand="0" w:firstRowFirstColumn="0" w:firstRowLastColumn="0" w:lastRowFirstColumn="0" w:lastRowLastColumn="0"/>
            </w:pPr>
            <w:r w:rsidRPr="002F64A6">
              <w:t>Pick and shovel work</w:t>
            </w:r>
          </w:p>
        </w:tc>
      </w:tr>
      <w:tr w:rsidR="00360794" w:rsidRPr="002F64A6" w14:paraId="2824C3D4" w14:textId="77777777" w:rsidTr="005E2CC7">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618" w:type="dxa"/>
            <w:gridSpan w:val="3"/>
            <w:tcBorders>
              <w:top w:val="nil"/>
            </w:tcBorders>
            <w:shd w:val="clear" w:color="auto" w:fill="FFFFFF" w:themeFill="background1"/>
          </w:tcPr>
          <w:p w14:paraId="65311CA5" w14:textId="25776A4E" w:rsidR="00360794" w:rsidRPr="002F64A6" w:rsidRDefault="00360794" w:rsidP="009928EF">
            <w:pPr>
              <w:pStyle w:val="Asterisks"/>
              <w:jc w:val="left"/>
            </w:pPr>
            <w:r w:rsidRPr="002F64A6">
              <w:t xml:space="preserve">Adapted from: ACGIH </w:t>
            </w:r>
            <w:r w:rsidR="00DB23CF">
              <w:t>“</w:t>
            </w:r>
            <w:r w:rsidRPr="002F64A6">
              <w:t>2017 TLVs and BEIs</w:t>
            </w:r>
            <w:r w:rsidR="00DB23CF">
              <w:t>”</w:t>
            </w:r>
            <w:r w:rsidRPr="002F64A6">
              <w:t xml:space="preserve"> T</w:t>
            </w:r>
            <w:r w:rsidR="009928EF">
              <w:t xml:space="preserve">able </w:t>
            </w:r>
            <w:r w:rsidRPr="002F64A6">
              <w:t>3 and presented here as shown by OSHA</w:t>
            </w:r>
            <w:r w:rsidR="00DB23CF">
              <w:t>’</w:t>
            </w:r>
            <w:r w:rsidRPr="002F64A6">
              <w:t>s Technical Manual for heat stress (OSHA Technical Manual: Heat Stress. Section III: Chapter 4</w:t>
            </w:r>
            <w:r w:rsidR="00571E65">
              <w:t>.</w:t>
            </w:r>
            <w:r w:rsidRPr="002F64A6">
              <w:t xml:space="preserve"> </w:t>
            </w:r>
            <w:hyperlink r:id="rId19" w:anchor="metabolic" w:history="1">
              <w:r w:rsidRPr="002F64A6">
                <w:rPr>
                  <w:rStyle w:val="Hyperlink"/>
                </w:rPr>
                <w:t>https://www.osha.gov/dts/osta/otm/otm_iii/otm_iii_4.html#metabolic</w:t>
              </w:r>
            </w:hyperlink>
            <w:r w:rsidRPr="002F64A6">
              <w:t>. Accessed March 17, 2018.)</w:t>
            </w:r>
          </w:p>
        </w:tc>
      </w:tr>
    </w:tbl>
    <w:p w14:paraId="25796659" w14:textId="77777777" w:rsidR="00360794" w:rsidRPr="002F64A6" w:rsidRDefault="00360794" w:rsidP="00C42F01">
      <w:pPr>
        <w:pStyle w:val="Level3"/>
      </w:pPr>
      <w:r w:rsidRPr="002F64A6">
        <w:t>Mandatory rest breaks</w:t>
      </w:r>
    </w:p>
    <w:p w14:paraId="3D581F00" w14:textId="67B8B449" w:rsidR="00360794" w:rsidRPr="002F64A6" w:rsidRDefault="00360794" w:rsidP="00360794">
      <w:pPr>
        <w:rPr>
          <w:rFonts w:asciiTheme="majorBidi" w:hAnsiTheme="majorBidi" w:cstheme="majorBidi"/>
          <w:szCs w:val="24"/>
        </w:rPr>
      </w:pPr>
      <w:r w:rsidRPr="002F64A6">
        <w:rPr>
          <w:rFonts w:asciiTheme="majorBidi" w:hAnsiTheme="majorBidi" w:cstheme="majorBidi"/>
          <w:szCs w:val="24"/>
        </w:rPr>
        <w:t>If the RAL/REL is reached during the work day, employers should initiate various protective measures, including, if necessary, a rest break, which</w:t>
      </w:r>
      <w:r w:rsidR="008E1412">
        <w:rPr>
          <w:rFonts w:asciiTheme="majorBidi" w:hAnsiTheme="majorBidi" w:cstheme="majorBidi"/>
          <w:szCs w:val="24"/>
        </w:rPr>
        <w:t xml:space="preserve"> should range in length from 15 to </w:t>
      </w:r>
      <w:r w:rsidRPr="002F64A6">
        <w:rPr>
          <w:rFonts w:asciiTheme="majorBidi" w:hAnsiTheme="majorBidi" w:cstheme="majorBidi"/>
          <w:szCs w:val="24"/>
        </w:rPr>
        <w:t>45 minutes per hour depending on the total heat load</w:t>
      </w:r>
      <w:r w:rsidR="009203E5">
        <w:rPr>
          <w:rFonts w:asciiTheme="majorBidi" w:hAnsiTheme="majorBidi" w:cstheme="majorBidi"/>
          <w:szCs w:val="24"/>
        </w:rPr>
        <w:t xml:space="preserve"> (environmental </w:t>
      </w:r>
      <w:r w:rsidR="00B11253">
        <w:rPr>
          <w:rFonts w:asciiTheme="majorBidi" w:hAnsiTheme="majorBidi" w:cstheme="majorBidi"/>
          <w:szCs w:val="24"/>
        </w:rPr>
        <w:t>+</w:t>
      </w:r>
      <w:r w:rsidR="009203E5">
        <w:rPr>
          <w:rFonts w:asciiTheme="majorBidi" w:hAnsiTheme="majorBidi" w:cstheme="majorBidi"/>
          <w:szCs w:val="24"/>
        </w:rPr>
        <w:t xml:space="preserve"> metabolic)</w:t>
      </w:r>
      <w:r w:rsidRPr="002F64A6">
        <w:rPr>
          <w:rFonts w:asciiTheme="majorBidi" w:hAnsiTheme="majorBidi" w:cstheme="majorBidi"/>
          <w:szCs w:val="24"/>
        </w:rPr>
        <w:t>.</w:t>
      </w:r>
      <w:r w:rsidRPr="002F64A6">
        <w:rPr>
          <w:rStyle w:val="FootnoteReference"/>
          <w:rFonts w:asciiTheme="majorBidi" w:hAnsiTheme="majorBidi" w:cstheme="majorBidi"/>
          <w:szCs w:val="24"/>
        </w:rPr>
        <w:footnoteReference w:id="107"/>
      </w:r>
      <w:r w:rsidRPr="002F64A6">
        <w:rPr>
          <w:rFonts w:asciiTheme="majorBidi" w:hAnsiTheme="majorBidi" w:cstheme="majorBidi"/>
          <w:szCs w:val="24"/>
        </w:rPr>
        <w:t xml:space="preserve"> These rest breaks should be taken away from the hot environment and, for outdoor environments, in the shade.</w:t>
      </w:r>
      <w:r w:rsidRPr="002F64A6">
        <w:rPr>
          <w:rStyle w:val="FootnoteReference"/>
          <w:rFonts w:asciiTheme="majorBidi" w:hAnsiTheme="majorBidi" w:cstheme="majorBidi"/>
          <w:szCs w:val="24"/>
        </w:rPr>
        <w:footnoteReference w:id="108"/>
      </w:r>
    </w:p>
    <w:p w14:paraId="326BC6E8" w14:textId="705235AC" w:rsidR="00360794" w:rsidRPr="002F64A6" w:rsidRDefault="005A5692" w:rsidP="00360794">
      <w:pPr>
        <w:rPr>
          <w:rFonts w:asciiTheme="majorBidi" w:hAnsiTheme="majorBidi" w:cstheme="majorBidi"/>
          <w:szCs w:val="24"/>
        </w:rPr>
      </w:pPr>
      <w:r>
        <w:rPr>
          <w:rFonts w:asciiTheme="majorBidi" w:hAnsiTheme="majorBidi" w:cstheme="majorBidi"/>
          <w:szCs w:val="24"/>
        </w:rPr>
        <w:t>M</w:t>
      </w:r>
      <w:r w:rsidR="00360794" w:rsidRPr="002F64A6">
        <w:rPr>
          <w:rFonts w:asciiTheme="majorBidi" w:hAnsiTheme="majorBidi" w:cstheme="majorBidi"/>
          <w:szCs w:val="24"/>
        </w:rPr>
        <w:t xml:space="preserve">any outdoor workers typically perform at least </w:t>
      </w:r>
      <w:r w:rsidR="00DB23CF">
        <w:rPr>
          <w:rFonts w:asciiTheme="majorBidi" w:hAnsiTheme="majorBidi" w:cstheme="majorBidi"/>
          <w:szCs w:val="24"/>
        </w:rPr>
        <w:t>“</w:t>
      </w:r>
      <w:r w:rsidR="00360794" w:rsidRPr="002F64A6">
        <w:rPr>
          <w:rFonts w:asciiTheme="majorBidi" w:hAnsiTheme="majorBidi" w:cstheme="majorBidi"/>
          <w:szCs w:val="24"/>
        </w:rPr>
        <w:t>moderate</w:t>
      </w:r>
      <w:r w:rsidR="00DB23CF">
        <w:rPr>
          <w:rFonts w:asciiTheme="majorBidi" w:hAnsiTheme="majorBidi" w:cstheme="majorBidi"/>
          <w:szCs w:val="24"/>
        </w:rPr>
        <w:t>”</w:t>
      </w:r>
      <w:r w:rsidR="00360794" w:rsidRPr="002F64A6">
        <w:rPr>
          <w:rFonts w:asciiTheme="majorBidi" w:hAnsiTheme="majorBidi" w:cstheme="majorBidi"/>
          <w:szCs w:val="24"/>
        </w:rPr>
        <w:t xml:space="preserve"> work</w:t>
      </w:r>
      <w:r>
        <w:rPr>
          <w:rFonts w:asciiTheme="majorBidi" w:hAnsiTheme="majorBidi" w:cstheme="majorBidi"/>
          <w:szCs w:val="24"/>
        </w:rPr>
        <w:t xml:space="preserve">, the equivalent of </w:t>
      </w:r>
      <w:r w:rsidR="00360794" w:rsidRPr="002F64A6">
        <w:rPr>
          <w:rFonts w:asciiTheme="majorBidi" w:hAnsiTheme="majorBidi" w:cstheme="majorBidi"/>
          <w:szCs w:val="24"/>
        </w:rPr>
        <w:t>normal walking</w:t>
      </w:r>
      <w:r>
        <w:rPr>
          <w:rFonts w:asciiTheme="majorBidi" w:hAnsiTheme="majorBidi" w:cstheme="majorBidi"/>
          <w:szCs w:val="24"/>
        </w:rPr>
        <w:t xml:space="preserve"> and</w:t>
      </w:r>
      <w:r w:rsidR="00360794" w:rsidRPr="002F64A6">
        <w:rPr>
          <w:rFonts w:asciiTheme="majorBidi" w:hAnsiTheme="majorBidi" w:cstheme="majorBidi"/>
          <w:szCs w:val="24"/>
        </w:rPr>
        <w:t xml:space="preserve"> moderate lifting </w:t>
      </w:r>
      <w:r>
        <w:rPr>
          <w:rFonts w:asciiTheme="majorBidi" w:hAnsiTheme="majorBidi" w:cstheme="majorBidi"/>
          <w:szCs w:val="24"/>
        </w:rPr>
        <w:t>(</w:t>
      </w:r>
      <w:r>
        <w:rPr>
          <w:rFonts w:asciiTheme="majorBidi" w:hAnsiTheme="majorBidi" w:cstheme="majorBidi"/>
          <w:szCs w:val="24"/>
        </w:rPr>
        <w:fldChar w:fldCharType="begin"/>
      </w:r>
      <w:r>
        <w:rPr>
          <w:rFonts w:asciiTheme="majorBidi" w:hAnsiTheme="majorBidi" w:cstheme="majorBidi"/>
          <w:szCs w:val="24"/>
        </w:rPr>
        <w:instrText xml:space="preserve"> REF _Ref514855699 \h </w:instrText>
      </w:r>
      <w:r>
        <w:rPr>
          <w:rFonts w:asciiTheme="majorBidi" w:hAnsiTheme="majorBidi" w:cstheme="majorBidi"/>
          <w:szCs w:val="24"/>
        </w:rPr>
      </w:r>
      <w:r>
        <w:rPr>
          <w:rFonts w:asciiTheme="majorBidi" w:hAnsiTheme="majorBidi" w:cstheme="majorBidi"/>
          <w:szCs w:val="24"/>
        </w:rPr>
        <w:fldChar w:fldCharType="separate"/>
      </w:r>
      <w:r w:rsidRPr="002F64A6">
        <w:t xml:space="preserve">Table </w:t>
      </w:r>
      <w:r>
        <w:rPr>
          <w:noProof/>
        </w:rPr>
        <w:t>8</w:t>
      </w:r>
      <w:r>
        <w:rPr>
          <w:rFonts w:asciiTheme="majorBidi" w:hAnsiTheme="majorBidi" w:cstheme="majorBidi"/>
          <w:szCs w:val="24"/>
        </w:rPr>
        <w:fldChar w:fldCharType="end"/>
      </w:r>
      <w:r>
        <w:rPr>
          <w:rFonts w:asciiTheme="majorBidi" w:hAnsiTheme="majorBidi" w:cstheme="majorBidi"/>
          <w:szCs w:val="24"/>
        </w:rPr>
        <w:t>)</w:t>
      </w:r>
      <w:r w:rsidR="00360794" w:rsidRPr="002F64A6">
        <w:rPr>
          <w:rFonts w:asciiTheme="majorBidi" w:hAnsiTheme="majorBidi" w:cstheme="majorBidi"/>
          <w:szCs w:val="24"/>
        </w:rPr>
        <w:t xml:space="preserve"> throughout the day on most days. Using NIOSH</w:t>
      </w:r>
      <w:r w:rsidR="00DB23CF">
        <w:rPr>
          <w:rFonts w:asciiTheme="majorBidi" w:hAnsiTheme="majorBidi" w:cstheme="majorBidi"/>
          <w:szCs w:val="24"/>
        </w:rPr>
        <w:t>’</w:t>
      </w:r>
      <w:r w:rsidR="00360794" w:rsidRPr="002F64A6">
        <w:rPr>
          <w:rFonts w:asciiTheme="majorBidi" w:hAnsiTheme="majorBidi" w:cstheme="majorBidi"/>
          <w:szCs w:val="24"/>
        </w:rPr>
        <w:t xml:space="preserve">s RAL chart, </w:t>
      </w:r>
      <w:r w:rsidR="00360794" w:rsidRPr="002F64A6">
        <w:rPr>
          <w:rFonts w:asciiTheme="majorBidi" w:hAnsiTheme="majorBidi" w:cstheme="majorBidi"/>
          <w:szCs w:val="24"/>
        </w:rPr>
        <w:fldChar w:fldCharType="begin"/>
      </w:r>
      <w:r w:rsidR="00360794" w:rsidRPr="002F64A6">
        <w:rPr>
          <w:rFonts w:asciiTheme="majorBidi" w:hAnsiTheme="majorBidi" w:cstheme="majorBidi"/>
          <w:szCs w:val="24"/>
        </w:rPr>
        <w:instrText xml:space="preserve"> REF _Ref514579409 \h  \* MERGEFORMAT </w:instrText>
      </w:r>
      <w:r w:rsidR="00360794" w:rsidRPr="002F64A6">
        <w:rPr>
          <w:rFonts w:asciiTheme="majorBidi" w:hAnsiTheme="majorBidi" w:cstheme="majorBidi"/>
          <w:szCs w:val="24"/>
        </w:rPr>
      </w:r>
      <w:r w:rsidR="00360794" w:rsidRPr="002F64A6">
        <w:rPr>
          <w:rFonts w:asciiTheme="majorBidi" w:hAnsiTheme="majorBidi" w:cstheme="majorBidi"/>
          <w:szCs w:val="24"/>
        </w:rPr>
        <w:fldChar w:fldCharType="separate"/>
      </w:r>
      <w:r w:rsidR="00E35FAB" w:rsidRPr="00E35FAB">
        <w:t xml:space="preserve">Figure </w:t>
      </w:r>
      <w:r w:rsidR="00E35FAB" w:rsidRPr="00E35FAB">
        <w:rPr>
          <w:noProof/>
        </w:rPr>
        <w:t>5</w:t>
      </w:r>
      <w:r w:rsidR="00360794" w:rsidRPr="002F64A6">
        <w:rPr>
          <w:rFonts w:asciiTheme="majorBidi" w:hAnsiTheme="majorBidi" w:cstheme="majorBidi"/>
          <w:szCs w:val="24"/>
        </w:rPr>
        <w:fldChar w:fldCharType="end"/>
      </w:r>
      <w:r w:rsidR="00360794" w:rsidRPr="002F64A6">
        <w:rPr>
          <w:rFonts w:asciiTheme="majorBidi" w:hAnsiTheme="majorBidi" w:cstheme="majorBidi"/>
          <w:szCs w:val="24"/>
        </w:rPr>
        <w:t>, such unacclimatized workers therefore require 15-minute rest breaks every hour once the WBGT reaches approximately 81°F and require progressively longer breaks at higher temperatures, to the point at which they can safely work just 15 minutes per hour at WBGT temper</w:t>
      </w:r>
      <w:r w:rsidR="0099574A">
        <w:rPr>
          <w:rFonts w:asciiTheme="majorBidi" w:hAnsiTheme="majorBidi" w:cstheme="majorBidi"/>
          <w:szCs w:val="24"/>
        </w:rPr>
        <w:t>atures of approximately 86°F (a</w:t>
      </w:r>
      <w:r w:rsidR="00360794" w:rsidRPr="002F64A6">
        <w:rPr>
          <w:rFonts w:asciiTheme="majorBidi" w:hAnsiTheme="majorBidi" w:cstheme="majorBidi"/>
          <w:szCs w:val="24"/>
        </w:rPr>
        <w:t>ccording to NIOSH</w:t>
      </w:r>
      <w:r w:rsidR="00DB23CF">
        <w:rPr>
          <w:rFonts w:asciiTheme="majorBidi" w:hAnsiTheme="majorBidi" w:cstheme="majorBidi"/>
          <w:szCs w:val="24"/>
        </w:rPr>
        <w:t>’</w:t>
      </w:r>
      <w:r w:rsidR="00360794" w:rsidRPr="002F64A6">
        <w:rPr>
          <w:rFonts w:asciiTheme="majorBidi" w:hAnsiTheme="majorBidi" w:cstheme="majorBidi"/>
          <w:szCs w:val="24"/>
        </w:rPr>
        <w:t>s REL chart, temperature thresholds for acclimatized workers are a few degrees higher).</w:t>
      </w:r>
    </w:p>
    <w:p w14:paraId="6BBA7E2E" w14:textId="6F18B5DC" w:rsidR="00360794" w:rsidRPr="002F64A6" w:rsidRDefault="00360794" w:rsidP="00360794">
      <w:pPr>
        <w:rPr>
          <w:rFonts w:asciiTheme="majorBidi" w:hAnsiTheme="majorBidi" w:cstheme="majorBidi"/>
          <w:szCs w:val="24"/>
        </w:rPr>
      </w:pPr>
      <w:r w:rsidRPr="002F64A6">
        <w:rPr>
          <w:rFonts w:asciiTheme="majorBidi" w:hAnsiTheme="majorBidi" w:cstheme="majorBidi"/>
          <w:szCs w:val="24"/>
        </w:rPr>
        <w:t xml:space="preserve">It is likely that most farmworkers perform </w:t>
      </w:r>
      <w:r w:rsidR="00DB23CF">
        <w:rPr>
          <w:rFonts w:asciiTheme="majorBidi" w:hAnsiTheme="majorBidi" w:cstheme="majorBidi"/>
          <w:szCs w:val="24"/>
        </w:rPr>
        <w:t>“</w:t>
      </w:r>
      <w:r w:rsidRPr="002F64A6">
        <w:rPr>
          <w:rFonts w:asciiTheme="majorBidi" w:hAnsiTheme="majorBidi" w:cstheme="majorBidi"/>
          <w:szCs w:val="24"/>
        </w:rPr>
        <w:t>heavy</w:t>
      </w:r>
      <w:r w:rsidR="00DB23CF">
        <w:rPr>
          <w:rFonts w:asciiTheme="majorBidi" w:hAnsiTheme="majorBidi" w:cstheme="majorBidi"/>
          <w:szCs w:val="24"/>
        </w:rPr>
        <w:t>”</w:t>
      </w:r>
      <w:r w:rsidRPr="002F64A6">
        <w:rPr>
          <w:rFonts w:asciiTheme="majorBidi" w:hAnsiTheme="majorBidi" w:cstheme="majorBidi"/>
          <w:szCs w:val="24"/>
        </w:rPr>
        <w:t xml:space="preserve"> (heavy material handling, walking at a fast pace; 415 Watts per hour) to </w:t>
      </w:r>
      <w:r w:rsidR="00DB23CF">
        <w:rPr>
          <w:rFonts w:asciiTheme="majorBidi" w:hAnsiTheme="majorBidi" w:cstheme="majorBidi"/>
          <w:szCs w:val="24"/>
        </w:rPr>
        <w:t>“</w:t>
      </w:r>
      <w:r w:rsidRPr="002F64A6">
        <w:rPr>
          <w:rFonts w:asciiTheme="majorBidi" w:hAnsiTheme="majorBidi" w:cstheme="majorBidi"/>
          <w:szCs w:val="24"/>
        </w:rPr>
        <w:t>very heavy</w:t>
      </w:r>
      <w:r w:rsidR="00DB23CF">
        <w:rPr>
          <w:rFonts w:asciiTheme="majorBidi" w:hAnsiTheme="majorBidi" w:cstheme="majorBidi"/>
          <w:szCs w:val="24"/>
        </w:rPr>
        <w:t>”</w:t>
      </w:r>
      <w:r w:rsidRPr="002F64A6">
        <w:rPr>
          <w:rFonts w:asciiTheme="majorBidi" w:hAnsiTheme="majorBidi" w:cstheme="majorBidi"/>
          <w:szCs w:val="24"/>
        </w:rPr>
        <w:t xml:space="preserve"> (pick and shovel work; 520 Watts per hour) work throughout most days. Therefore, per </w:t>
      </w:r>
      <w:r w:rsidRPr="002F64A6">
        <w:rPr>
          <w:rFonts w:asciiTheme="majorBidi" w:hAnsiTheme="majorBidi" w:cstheme="majorBidi"/>
          <w:szCs w:val="24"/>
        </w:rPr>
        <w:fldChar w:fldCharType="begin"/>
      </w:r>
      <w:r w:rsidRPr="002F64A6">
        <w:rPr>
          <w:rFonts w:asciiTheme="majorBidi" w:hAnsiTheme="majorBidi" w:cstheme="majorBidi"/>
          <w:szCs w:val="24"/>
        </w:rPr>
        <w:instrText xml:space="preserve"> REF _Ref514579409 \h  \* MERGEFORMAT </w:instrText>
      </w:r>
      <w:r w:rsidRPr="002F64A6">
        <w:rPr>
          <w:rFonts w:asciiTheme="majorBidi" w:hAnsiTheme="majorBidi" w:cstheme="majorBidi"/>
          <w:szCs w:val="24"/>
        </w:rPr>
      </w:r>
      <w:r w:rsidRPr="002F64A6">
        <w:rPr>
          <w:rFonts w:asciiTheme="majorBidi" w:hAnsiTheme="majorBidi" w:cstheme="majorBidi"/>
          <w:szCs w:val="24"/>
        </w:rPr>
        <w:fldChar w:fldCharType="separate"/>
      </w:r>
      <w:r w:rsidR="00E35FAB" w:rsidRPr="00E35FAB">
        <w:t xml:space="preserve">Figure </w:t>
      </w:r>
      <w:r w:rsidR="00E35FAB" w:rsidRPr="00E35FAB">
        <w:rPr>
          <w:noProof/>
        </w:rPr>
        <w:t>5</w:t>
      </w:r>
      <w:r w:rsidRPr="002F64A6">
        <w:rPr>
          <w:rFonts w:asciiTheme="majorBidi" w:hAnsiTheme="majorBidi" w:cstheme="majorBidi"/>
          <w:szCs w:val="24"/>
        </w:rPr>
        <w:fldChar w:fldCharType="end"/>
      </w:r>
      <w:r w:rsidRPr="002F64A6">
        <w:rPr>
          <w:rFonts w:asciiTheme="majorBidi" w:hAnsiTheme="majorBidi" w:cstheme="majorBidi"/>
          <w:szCs w:val="24"/>
        </w:rPr>
        <w:t>, a typical unacclimatized farmworker requires 15-minute rest breaks every hour once the WBGT reaches approximately 75°F and require</w:t>
      </w:r>
      <w:r w:rsidR="00155130">
        <w:rPr>
          <w:rFonts w:asciiTheme="majorBidi" w:hAnsiTheme="majorBidi" w:cstheme="majorBidi"/>
          <w:szCs w:val="24"/>
        </w:rPr>
        <w:t>s</w:t>
      </w:r>
      <w:r w:rsidRPr="002F64A6">
        <w:rPr>
          <w:rFonts w:asciiTheme="majorBidi" w:hAnsiTheme="majorBidi" w:cstheme="majorBidi"/>
          <w:szCs w:val="24"/>
        </w:rPr>
        <w:t xml:space="preserve"> progressively longer breaks at higher temperatures, to the point that they can safely work just 15 minutes per hour at WBGT temperatures of approximately 82°F (with temperature thresholds a few degrees higher for acclimatized workers).</w:t>
      </w:r>
    </w:p>
    <w:p w14:paraId="6C87AAFC" w14:textId="7A290641" w:rsidR="00360794" w:rsidRPr="002F64A6" w:rsidRDefault="00360794" w:rsidP="00C42F01">
      <w:pPr>
        <w:pStyle w:val="Level3"/>
      </w:pPr>
      <w:r w:rsidRPr="002F64A6">
        <w:lastRenderedPageBreak/>
        <w:t>Cool area for rest breaks</w:t>
      </w:r>
    </w:p>
    <w:p w14:paraId="2BB7848D" w14:textId="695A8B09" w:rsidR="00360794" w:rsidRDefault="00117BFF" w:rsidP="00360794">
      <w:pPr>
        <w:rPr>
          <w:rFonts w:asciiTheme="majorBidi" w:hAnsiTheme="majorBidi" w:cstheme="majorBidi"/>
          <w:szCs w:val="24"/>
        </w:rPr>
      </w:pPr>
      <w:r>
        <w:rPr>
          <w:rFonts w:asciiTheme="majorBidi" w:hAnsiTheme="majorBidi" w:cstheme="majorBidi"/>
          <w:szCs w:val="24"/>
        </w:rPr>
        <w:t>W</w:t>
      </w:r>
      <w:r w:rsidR="00360794" w:rsidRPr="002F64A6">
        <w:rPr>
          <w:rFonts w:asciiTheme="majorBidi" w:hAnsiTheme="majorBidi" w:cstheme="majorBidi"/>
          <w:szCs w:val="24"/>
        </w:rPr>
        <w:t xml:space="preserve">orkers </w:t>
      </w:r>
      <w:r>
        <w:rPr>
          <w:rFonts w:asciiTheme="majorBidi" w:hAnsiTheme="majorBidi" w:cstheme="majorBidi"/>
          <w:szCs w:val="24"/>
        </w:rPr>
        <w:t xml:space="preserve">should </w:t>
      </w:r>
      <w:r w:rsidR="00360794" w:rsidRPr="002F64A6">
        <w:rPr>
          <w:rFonts w:asciiTheme="majorBidi" w:hAnsiTheme="majorBidi" w:cstheme="majorBidi"/>
          <w:szCs w:val="24"/>
        </w:rPr>
        <w:t>be given access to a cool area (e.g., air-conditioned or shaded) during rest breaks.</w:t>
      </w:r>
      <w:r w:rsidR="00360794" w:rsidRPr="002F64A6">
        <w:rPr>
          <w:rStyle w:val="FootnoteReference"/>
          <w:rFonts w:asciiTheme="majorBidi" w:hAnsiTheme="majorBidi" w:cstheme="majorBidi"/>
          <w:szCs w:val="24"/>
        </w:rPr>
        <w:footnoteReference w:id="109"/>
      </w:r>
    </w:p>
    <w:p w14:paraId="6CAEB2DB" w14:textId="77777777" w:rsidR="00117BFF" w:rsidRPr="00117BFF" w:rsidRDefault="00117BFF" w:rsidP="00C42F01">
      <w:pPr>
        <w:pStyle w:val="Level3"/>
      </w:pPr>
      <w:r w:rsidRPr="00117BFF">
        <w:t>Hydration</w:t>
      </w:r>
    </w:p>
    <w:p w14:paraId="7B0E3FB3" w14:textId="01FC297D" w:rsidR="00117BFF" w:rsidRPr="002F64A6" w:rsidRDefault="00CA7BED" w:rsidP="00117BFF">
      <w:pPr>
        <w:rPr>
          <w:rFonts w:asciiTheme="majorBidi" w:hAnsiTheme="majorBidi" w:cstheme="majorBidi"/>
          <w:szCs w:val="24"/>
        </w:rPr>
      </w:pPr>
      <w:r>
        <w:rPr>
          <w:rFonts w:asciiTheme="majorBidi" w:hAnsiTheme="majorBidi" w:cstheme="majorBidi"/>
          <w:szCs w:val="24"/>
        </w:rPr>
        <w:t xml:space="preserve">Employers should provide </w:t>
      </w:r>
      <w:r w:rsidR="00117BFF">
        <w:rPr>
          <w:rFonts w:asciiTheme="majorBidi" w:hAnsiTheme="majorBidi" w:cstheme="majorBidi"/>
          <w:szCs w:val="24"/>
        </w:rPr>
        <w:t>“</w:t>
      </w:r>
      <w:r w:rsidR="00117BFF" w:rsidRPr="002F64A6">
        <w:rPr>
          <w:rFonts w:asciiTheme="majorBidi" w:hAnsiTheme="majorBidi" w:cstheme="majorBidi"/>
          <w:szCs w:val="24"/>
        </w:rPr>
        <w:t>adequate amounts of cool (i.e., less than 15°C [59°F]), potable water near the work area</w:t>
      </w:r>
      <w:r w:rsidR="00916EA7">
        <w:rPr>
          <w:rFonts w:asciiTheme="majorBidi" w:hAnsiTheme="majorBidi" w:cstheme="majorBidi"/>
          <w:szCs w:val="24"/>
        </w:rPr>
        <w:t xml:space="preserve">” and </w:t>
      </w:r>
      <w:r w:rsidR="00951A4B">
        <w:rPr>
          <w:rFonts w:asciiTheme="majorBidi" w:hAnsiTheme="majorBidi" w:cstheme="majorBidi"/>
          <w:szCs w:val="24"/>
        </w:rPr>
        <w:t>“</w:t>
      </w:r>
      <w:r w:rsidR="00916EA7">
        <w:rPr>
          <w:rFonts w:asciiTheme="majorBidi" w:hAnsiTheme="majorBidi" w:cstheme="majorBidi"/>
          <w:szCs w:val="24"/>
        </w:rPr>
        <w:t xml:space="preserve">encourage[e] </w:t>
      </w:r>
      <w:r w:rsidR="00117BFF" w:rsidRPr="002F64A6">
        <w:rPr>
          <w:rFonts w:asciiTheme="majorBidi" w:hAnsiTheme="majorBidi" w:cstheme="majorBidi"/>
          <w:szCs w:val="24"/>
        </w:rPr>
        <w:t>all workers that have been in the heat for up to 2 hours and involved in moderate work activities to drink a cup of water (about 8 oz.) every 15 to 20 minutes.</w:t>
      </w:r>
      <w:r w:rsidR="00117BFF">
        <w:rPr>
          <w:rFonts w:asciiTheme="majorBidi" w:hAnsiTheme="majorBidi" w:cstheme="majorBidi"/>
          <w:szCs w:val="24"/>
        </w:rPr>
        <w:t>”</w:t>
      </w:r>
      <w:r w:rsidR="00117BFF" w:rsidRPr="002F64A6">
        <w:rPr>
          <w:rStyle w:val="FootnoteReference"/>
          <w:rFonts w:asciiTheme="majorBidi" w:hAnsiTheme="majorBidi" w:cstheme="majorBidi"/>
          <w:szCs w:val="24"/>
        </w:rPr>
        <w:footnoteReference w:id="110"/>
      </w:r>
      <w:r w:rsidR="00117BFF" w:rsidRPr="002F64A6">
        <w:rPr>
          <w:rFonts w:asciiTheme="majorBidi" w:hAnsiTheme="majorBidi" w:cstheme="majorBidi"/>
          <w:szCs w:val="24"/>
        </w:rPr>
        <w:t xml:space="preserve"> To prevent the spread of potential infections, workers should be provided this water in individual, not communal cups. Workers who have been in the heat for more than 2 hours and therefore have been sweating for a long time should be provided adequate amounts of both water and electrolytes, such as sports drinks. The concentration of electrolytes and carbohydrates (e.g., added sugars) should not exceed 8</w:t>
      </w:r>
      <w:r w:rsidR="009B09CD">
        <w:rPr>
          <w:rFonts w:asciiTheme="majorBidi" w:hAnsiTheme="majorBidi" w:cstheme="majorBidi"/>
          <w:szCs w:val="24"/>
        </w:rPr>
        <w:t xml:space="preserve"> percent</w:t>
      </w:r>
      <w:r w:rsidR="00117BFF" w:rsidRPr="002F64A6">
        <w:rPr>
          <w:rFonts w:asciiTheme="majorBidi" w:hAnsiTheme="majorBidi" w:cstheme="majorBidi"/>
          <w:szCs w:val="24"/>
        </w:rPr>
        <w:t xml:space="preserve"> by volume.</w:t>
      </w:r>
    </w:p>
    <w:p w14:paraId="3A64EA91" w14:textId="40B5E623" w:rsidR="00360794" w:rsidRPr="002F64A6" w:rsidRDefault="003331D1" w:rsidP="00C42F01">
      <w:pPr>
        <w:pStyle w:val="Level3"/>
      </w:pPr>
      <w:r w:rsidRPr="002F64A6">
        <w:t>Personal protective equipment</w:t>
      </w:r>
    </w:p>
    <w:p w14:paraId="59379ABF" w14:textId="0EFF8140" w:rsidR="00360794" w:rsidRPr="002F64A6" w:rsidRDefault="00360794" w:rsidP="00360794">
      <w:pPr>
        <w:rPr>
          <w:rFonts w:asciiTheme="majorBidi" w:hAnsiTheme="majorBidi" w:cstheme="majorBidi"/>
          <w:szCs w:val="24"/>
        </w:rPr>
      </w:pPr>
      <w:r w:rsidRPr="002F64A6">
        <w:rPr>
          <w:rFonts w:asciiTheme="majorBidi" w:hAnsiTheme="majorBidi" w:cstheme="majorBidi"/>
          <w:szCs w:val="24"/>
        </w:rPr>
        <w:t>Various types of PPE, such as water-cooled garments, air-cooled garments, and cooling vests, can prevent a worker from experiencing heat stress and more rapidly decrease core body temperature for workers suffering from heat strain.</w:t>
      </w:r>
      <w:r w:rsidRPr="002F64A6">
        <w:rPr>
          <w:rStyle w:val="FootnoteReference"/>
          <w:rFonts w:asciiTheme="majorBidi" w:hAnsiTheme="majorBidi" w:cstheme="majorBidi"/>
          <w:szCs w:val="24"/>
        </w:rPr>
        <w:footnoteReference w:id="111"/>
      </w:r>
      <w:r w:rsidRPr="002F64A6">
        <w:rPr>
          <w:rFonts w:asciiTheme="majorBidi" w:hAnsiTheme="majorBidi" w:cstheme="majorBidi"/>
          <w:szCs w:val="24"/>
        </w:rPr>
        <w:t xml:space="preserve"> NIOSH recommends that such PPE be provided to workers when total heat stress load reaches the RAL/REL</w:t>
      </w:r>
      <w:r w:rsidR="00DE5AA0">
        <w:rPr>
          <w:rFonts w:asciiTheme="majorBidi" w:hAnsiTheme="majorBidi" w:cstheme="majorBidi"/>
          <w:szCs w:val="24"/>
        </w:rPr>
        <w:t>.</w:t>
      </w:r>
      <w:r w:rsidRPr="002F64A6">
        <w:rPr>
          <w:rStyle w:val="FootnoteReference"/>
          <w:rFonts w:asciiTheme="majorBidi" w:hAnsiTheme="majorBidi" w:cstheme="majorBidi"/>
          <w:szCs w:val="24"/>
        </w:rPr>
        <w:footnoteReference w:id="112"/>
      </w:r>
    </w:p>
    <w:p w14:paraId="4538709F" w14:textId="77777777" w:rsidR="00360794" w:rsidRPr="002F64A6" w:rsidRDefault="00360794" w:rsidP="00360794">
      <w:pPr>
        <w:pStyle w:val="L2"/>
      </w:pPr>
      <w:bookmarkStart w:id="38" w:name="_Toc518979499"/>
      <w:r w:rsidRPr="002F64A6">
        <w:t>Heat acclimatization plan</w:t>
      </w:r>
      <w:bookmarkEnd w:id="38"/>
    </w:p>
    <w:p w14:paraId="2145586F" w14:textId="6D650913" w:rsidR="00360794" w:rsidRPr="002F64A6" w:rsidRDefault="00360794" w:rsidP="00360794">
      <w:pPr>
        <w:rPr>
          <w:rFonts w:asciiTheme="majorBidi" w:hAnsiTheme="majorBidi" w:cstheme="majorBidi"/>
          <w:szCs w:val="24"/>
        </w:rPr>
      </w:pPr>
      <w:r w:rsidRPr="002F64A6">
        <w:rPr>
          <w:rFonts w:asciiTheme="majorBidi" w:hAnsiTheme="majorBidi" w:cstheme="majorBidi"/>
          <w:szCs w:val="24"/>
        </w:rPr>
        <w:t>Employers should have a heat acclimatization plan.</w:t>
      </w:r>
      <w:r w:rsidRPr="002F64A6">
        <w:rPr>
          <w:rStyle w:val="FootnoteReference"/>
          <w:rFonts w:asciiTheme="majorBidi" w:hAnsiTheme="majorBidi" w:cstheme="majorBidi"/>
          <w:szCs w:val="24"/>
        </w:rPr>
        <w:footnoteReference w:id="113"/>
      </w:r>
      <w:r w:rsidRPr="002F64A6">
        <w:rPr>
          <w:rFonts w:asciiTheme="majorBidi" w:hAnsiTheme="majorBidi" w:cstheme="majorBidi"/>
          <w:szCs w:val="24"/>
        </w:rPr>
        <w:t xml:space="preserve"> For new workers, this involves a gradual ph</w:t>
      </w:r>
      <w:r w:rsidR="009B09CD">
        <w:rPr>
          <w:rFonts w:asciiTheme="majorBidi" w:hAnsiTheme="majorBidi" w:cstheme="majorBidi"/>
          <w:szCs w:val="24"/>
        </w:rPr>
        <w:t>ase-in to the workload, with 20 percent</w:t>
      </w:r>
      <w:r w:rsidRPr="002F64A6">
        <w:rPr>
          <w:rFonts w:asciiTheme="majorBidi" w:hAnsiTheme="majorBidi" w:cstheme="majorBidi"/>
          <w:szCs w:val="24"/>
        </w:rPr>
        <w:t xml:space="preserve"> of the usual duration of work in the hot environment on the first day, and a maximum of an additional 20</w:t>
      </w:r>
      <w:r w:rsidR="009B09CD">
        <w:rPr>
          <w:rFonts w:asciiTheme="majorBidi" w:hAnsiTheme="majorBidi" w:cstheme="majorBidi"/>
          <w:szCs w:val="24"/>
        </w:rPr>
        <w:t xml:space="preserve"> percent</w:t>
      </w:r>
      <w:r w:rsidRPr="002F64A6">
        <w:rPr>
          <w:rFonts w:asciiTheme="majorBidi" w:hAnsiTheme="majorBidi" w:cstheme="majorBidi"/>
          <w:szCs w:val="24"/>
        </w:rPr>
        <w:t xml:space="preserve"> on each subsequent day.</w:t>
      </w:r>
      <w:r w:rsidRPr="002F64A6">
        <w:rPr>
          <w:rStyle w:val="FootnoteReference"/>
          <w:rFonts w:asciiTheme="majorBidi" w:hAnsiTheme="majorBidi" w:cstheme="majorBidi"/>
          <w:szCs w:val="24"/>
        </w:rPr>
        <w:footnoteReference w:id="114"/>
      </w:r>
      <w:r w:rsidRPr="002F64A6">
        <w:rPr>
          <w:rFonts w:asciiTheme="majorBidi" w:hAnsiTheme="majorBidi" w:cstheme="majorBidi"/>
          <w:szCs w:val="24"/>
        </w:rPr>
        <w:t xml:space="preserve"> For workers with previous experience in the job, the corresponding m</w:t>
      </w:r>
      <w:r w:rsidR="009B09CD">
        <w:rPr>
          <w:rFonts w:asciiTheme="majorBidi" w:hAnsiTheme="majorBidi" w:cstheme="majorBidi"/>
          <w:szCs w:val="24"/>
        </w:rPr>
        <w:t>aximum durations of work are 50 percent on day one, 60 percent on day two, 80 percent</w:t>
      </w:r>
      <w:r w:rsidRPr="002F64A6">
        <w:rPr>
          <w:rFonts w:asciiTheme="majorBidi" w:hAnsiTheme="majorBidi" w:cstheme="majorBidi"/>
          <w:szCs w:val="24"/>
        </w:rPr>
        <w:t xml:space="preserve"> on day three, and 100</w:t>
      </w:r>
      <w:r w:rsidR="009B09CD">
        <w:rPr>
          <w:rFonts w:asciiTheme="majorBidi" w:hAnsiTheme="majorBidi" w:cstheme="majorBidi"/>
          <w:szCs w:val="24"/>
        </w:rPr>
        <w:t xml:space="preserve"> percent</w:t>
      </w:r>
      <w:r w:rsidRPr="002F64A6">
        <w:rPr>
          <w:rFonts w:asciiTheme="majorBidi" w:hAnsiTheme="majorBidi" w:cstheme="majorBidi"/>
          <w:szCs w:val="24"/>
        </w:rPr>
        <w:t xml:space="preserve"> of the usual duration of work on day four. The process must be repeated if the worker is absent from the job for a week or longer</w:t>
      </w:r>
      <w:r w:rsidRPr="002F64A6">
        <w:rPr>
          <w:rStyle w:val="FootnoteReference"/>
          <w:rFonts w:asciiTheme="majorBidi" w:hAnsiTheme="majorBidi" w:cstheme="majorBidi"/>
          <w:szCs w:val="24"/>
        </w:rPr>
        <w:footnoteReference w:id="115"/>
      </w:r>
      <w:r w:rsidRPr="002F64A6">
        <w:rPr>
          <w:rFonts w:asciiTheme="majorBidi" w:hAnsiTheme="majorBidi" w:cstheme="majorBidi"/>
          <w:szCs w:val="24"/>
        </w:rPr>
        <w:t xml:space="preserve"> or if there is a sudden, significant increase in the environmental or metabolic heat loads.</w:t>
      </w:r>
      <w:r w:rsidRPr="002F64A6">
        <w:rPr>
          <w:rStyle w:val="FootnoteReference"/>
          <w:rFonts w:asciiTheme="majorBidi" w:hAnsiTheme="majorBidi" w:cstheme="majorBidi"/>
          <w:szCs w:val="24"/>
        </w:rPr>
        <w:footnoteReference w:id="116"/>
      </w:r>
      <w:r w:rsidRPr="002F64A6">
        <w:rPr>
          <w:rFonts w:asciiTheme="majorBidi" w:hAnsiTheme="majorBidi" w:cstheme="majorBidi"/>
          <w:szCs w:val="24"/>
        </w:rPr>
        <w:t xml:space="preserve"> Throughout the acclimatization process, workers must be given adequate rest in cool, air-conditioned surroundings and be sufficiently hydrated, due to increased sweating brought on by the acclimatization process.</w:t>
      </w:r>
      <w:r w:rsidRPr="002F64A6">
        <w:rPr>
          <w:rStyle w:val="FootnoteReference"/>
          <w:rFonts w:asciiTheme="majorBidi" w:hAnsiTheme="majorBidi" w:cstheme="majorBidi"/>
          <w:szCs w:val="24"/>
        </w:rPr>
        <w:footnoteReference w:id="117"/>
      </w:r>
    </w:p>
    <w:p w14:paraId="7C5E578A" w14:textId="70ECB49A" w:rsidR="00360794" w:rsidRPr="002F64A6" w:rsidRDefault="00360794" w:rsidP="00360794">
      <w:pPr>
        <w:rPr>
          <w:rFonts w:asciiTheme="majorBidi" w:hAnsiTheme="majorBidi" w:cstheme="majorBidi"/>
          <w:szCs w:val="24"/>
        </w:rPr>
      </w:pPr>
      <w:r w:rsidRPr="002F64A6">
        <w:rPr>
          <w:rFonts w:asciiTheme="majorBidi" w:hAnsiTheme="majorBidi" w:cstheme="majorBidi"/>
          <w:szCs w:val="24"/>
        </w:rPr>
        <w:lastRenderedPageBreak/>
        <w:t>The vital importance of proper acclimatization was demonstrated in a 2016 OSHA study that analyzed all of the agency</w:t>
      </w:r>
      <w:r w:rsidR="00DB23CF">
        <w:rPr>
          <w:rFonts w:asciiTheme="majorBidi" w:hAnsiTheme="majorBidi" w:cstheme="majorBidi"/>
          <w:szCs w:val="24"/>
        </w:rPr>
        <w:t>’</w:t>
      </w:r>
      <w:r w:rsidRPr="002F64A6">
        <w:rPr>
          <w:rFonts w:asciiTheme="majorBidi" w:hAnsiTheme="majorBidi" w:cstheme="majorBidi"/>
          <w:szCs w:val="24"/>
        </w:rPr>
        <w:t>s GDC citations for heat stress violations that were issued in 2012 and 2013.</w:t>
      </w:r>
      <w:r w:rsidRPr="002F64A6">
        <w:rPr>
          <w:rStyle w:val="FootnoteReference"/>
          <w:rFonts w:asciiTheme="majorBidi" w:hAnsiTheme="majorBidi" w:cstheme="majorBidi"/>
          <w:szCs w:val="24"/>
        </w:rPr>
        <w:footnoteReference w:id="118"/>
      </w:r>
      <w:r w:rsidRPr="002F64A6">
        <w:rPr>
          <w:rFonts w:asciiTheme="majorBidi" w:hAnsiTheme="majorBidi" w:cstheme="majorBidi"/>
          <w:szCs w:val="24"/>
        </w:rPr>
        <w:t xml:space="preserve"> In 2012 and 2013, OSHA issued citations in 84 cases, 37 of which </w:t>
      </w:r>
      <w:r w:rsidR="00AE6637">
        <w:rPr>
          <w:rFonts w:asciiTheme="majorBidi" w:hAnsiTheme="majorBidi" w:cstheme="majorBidi"/>
          <w:szCs w:val="24"/>
        </w:rPr>
        <w:t xml:space="preserve">concerned </w:t>
      </w:r>
      <w:r w:rsidRPr="002F64A6">
        <w:rPr>
          <w:rFonts w:asciiTheme="majorBidi" w:hAnsiTheme="majorBidi" w:cstheme="majorBidi"/>
          <w:szCs w:val="24"/>
        </w:rPr>
        <w:t xml:space="preserve">outdoor workplaces and 47 of which were </w:t>
      </w:r>
      <w:r w:rsidR="00AE6637">
        <w:rPr>
          <w:rFonts w:asciiTheme="majorBidi" w:hAnsiTheme="majorBidi" w:cstheme="majorBidi"/>
          <w:szCs w:val="24"/>
        </w:rPr>
        <w:t xml:space="preserve">for </w:t>
      </w:r>
      <w:r w:rsidRPr="002F64A6">
        <w:rPr>
          <w:rFonts w:asciiTheme="majorBidi" w:hAnsiTheme="majorBidi" w:cstheme="majorBidi"/>
          <w:szCs w:val="24"/>
        </w:rPr>
        <w:t>indoor</w:t>
      </w:r>
      <w:r w:rsidR="00AE6637">
        <w:rPr>
          <w:rFonts w:asciiTheme="majorBidi" w:hAnsiTheme="majorBidi" w:cstheme="majorBidi"/>
          <w:szCs w:val="24"/>
        </w:rPr>
        <w:t xml:space="preserve"> workplaces</w:t>
      </w:r>
      <w:r w:rsidRPr="002F64A6">
        <w:rPr>
          <w:rFonts w:asciiTheme="majorBidi" w:hAnsiTheme="majorBidi" w:cstheme="majorBidi"/>
          <w:szCs w:val="24"/>
        </w:rPr>
        <w:t>.</w:t>
      </w:r>
      <w:r w:rsidRPr="002F64A6">
        <w:rPr>
          <w:rStyle w:val="FootnoteReference"/>
          <w:rFonts w:asciiTheme="majorBidi" w:hAnsiTheme="majorBidi" w:cstheme="majorBidi"/>
          <w:szCs w:val="24"/>
        </w:rPr>
        <w:footnoteReference w:id="119"/>
      </w:r>
      <w:r w:rsidRPr="002F64A6">
        <w:rPr>
          <w:rFonts w:asciiTheme="majorBidi" w:hAnsiTheme="majorBidi" w:cstheme="majorBidi"/>
          <w:szCs w:val="24"/>
        </w:rPr>
        <w:t xml:space="preserve"> Twenty-three of the cases involved worker deaths,</w:t>
      </w:r>
      <w:r w:rsidRPr="002F64A6">
        <w:rPr>
          <w:rStyle w:val="FootnoteReference"/>
          <w:rFonts w:asciiTheme="majorBidi" w:hAnsiTheme="majorBidi" w:cstheme="majorBidi"/>
          <w:szCs w:val="24"/>
        </w:rPr>
        <w:footnoteReference w:id="120"/>
      </w:r>
      <w:r w:rsidRPr="002F64A6">
        <w:rPr>
          <w:rFonts w:asciiTheme="majorBidi" w:hAnsiTheme="majorBidi" w:cstheme="majorBidi"/>
          <w:szCs w:val="24"/>
        </w:rPr>
        <w:t xml:space="preserve"> with 17 of the 23 (74</w:t>
      </w:r>
      <w:r w:rsidR="009B09CD">
        <w:rPr>
          <w:rFonts w:asciiTheme="majorBidi" w:hAnsiTheme="majorBidi" w:cstheme="majorBidi"/>
          <w:szCs w:val="24"/>
        </w:rPr>
        <w:t xml:space="preserve"> percent</w:t>
      </w:r>
      <w:r w:rsidRPr="002F64A6">
        <w:rPr>
          <w:rFonts w:asciiTheme="majorBidi" w:hAnsiTheme="majorBidi" w:cstheme="majorBidi"/>
          <w:szCs w:val="24"/>
        </w:rPr>
        <w:t>) occurring within the worker</w:t>
      </w:r>
      <w:r w:rsidR="00DB23CF">
        <w:rPr>
          <w:rFonts w:asciiTheme="majorBidi" w:hAnsiTheme="majorBidi" w:cstheme="majorBidi"/>
          <w:szCs w:val="24"/>
        </w:rPr>
        <w:t>’</w:t>
      </w:r>
      <w:r w:rsidRPr="002F64A6">
        <w:rPr>
          <w:rFonts w:asciiTheme="majorBidi" w:hAnsiTheme="majorBidi" w:cstheme="majorBidi"/>
          <w:szCs w:val="24"/>
        </w:rPr>
        <w:t>s first three days on the job and e</w:t>
      </w:r>
      <w:r w:rsidR="009B09CD">
        <w:rPr>
          <w:rFonts w:asciiTheme="majorBidi" w:hAnsiTheme="majorBidi" w:cstheme="majorBidi"/>
          <w:szCs w:val="24"/>
        </w:rPr>
        <w:t>ight (35 percent</w:t>
      </w:r>
      <w:r w:rsidRPr="002F64A6">
        <w:rPr>
          <w:rFonts w:asciiTheme="majorBidi" w:hAnsiTheme="majorBidi" w:cstheme="majorBidi"/>
          <w:szCs w:val="24"/>
        </w:rPr>
        <w:t>) on the very first day of work.</w:t>
      </w:r>
      <w:r w:rsidRPr="002F64A6">
        <w:rPr>
          <w:rStyle w:val="FootnoteReference"/>
          <w:rFonts w:asciiTheme="majorBidi" w:hAnsiTheme="majorBidi" w:cstheme="majorBidi"/>
          <w:szCs w:val="24"/>
        </w:rPr>
        <w:footnoteReference w:id="121"/>
      </w:r>
      <w:r w:rsidRPr="002F64A6">
        <w:rPr>
          <w:rFonts w:asciiTheme="majorBidi" w:hAnsiTheme="majorBidi" w:cstheme="majorBidi"/>
          <w:szCs w:val="24"/>
        </w:rPr>
        <w:t xml:space="preserve"> This was not surprising given that, with one exception, none of the employers had established heat acclimatization plans.</w:t>
      </w:r>
      <w:r w:rsidRPr="002F64A6">
        <w:rPr>
          <w:rStyle w:val="FootnoteReference"/>
          <w:rFonts w:asciiTheme="majorBidi" w:hAnsiTheme="majorBidi" w:cstheme="majorBidi"/>
          <w:szCs w:val="24"/>
        </w:rPr>
        <w:footnoteReference w:id="122"/>
      </w:r>
    </w:p>
    <w:p w14:paraId="4A513255" w14:textId="77777777" w:rsidR="00360794" w:rsidRPr="002F64A6" w:rsidRDefault="00360794" w:rsidP="00360794">
      <w:pPr>
        <w:pStyle w:val="L2"/>
      </w:pPr>
      <w:bookmarkStart w:id="39" w:name="_Toc518979500"/>
      <w:r w:rsidRPr="002F64A6">
        <w:t>Exposure monitoring</w:t>
      </w:r>
      <w:bookmarkEnd w:id="39"/>
    </w:p>
    <w:p w14:paraId="2804C19E" w14:textId="62B5918A" w:rsidR="00360794" w:rsidRPr="002F64A6" w:rsidRDefault="00360794" w:rsidP="00360794">
      <w:pPr>
        <w:rPr>
          <w:rFonts w:asciiTheme="majorBidi" w:hAnsiTheme="majorBidi" w:cstheme="majorBidi"/>
          <w:szCs w:val="24"/>
        </w:rPr>
      </w:pPr>
      <w:r w:rsidRPr="002F64A6">
        <w:rPr>
          <w:rFonts w:asciiTheme="majorBidi" w:hAnsiTheme="majorBidi" w:cstheme="majorBidi"/>
          <w:szCs w:val="24"/>
        </w:rPr>
        <w:t xml:space="preserve">Employers should monitor the environmental heat load </w:t>
      </w:r>
      <w:r w:rsidR="00DB23CF">
        <w:rPr>
          <w:rFonts w:asciiTheme="majorBidi" w:hAnsiTheme="majorBidi" w:cstheme="majorBidi"/>
          <w:szCs w:val="24"/>
        </w:rPr>
        <w:t>“</w:t>
      </w:r>
      <w:r w:rsidRPr="002F64A6">
        <w:rPr>
          <w:rFonts w:asciiTheme="majorBidi" w:hAnsiTheme="majorBidi" w:cstheme="majorBidi"/>
          <w:szCs w:val="24"/>
        </w:rPr>
        <w:t>at least hourly, during the hottest portion of each work shift, during the hottest months of the year, and when a heat wave occurs or is predicted.</w:t>
      </w:r>
      <w:r w:rsidR="00DB23CF">
        <w:rPr>
          <w:rFonts w:asciiTheme="majorBidi" w:hAnsiTheme="majorBidi" w:cstheme="majorBidi"/>
          <w:szCs w:val="24"/>
        </w:rPr>
        <w:t>”</w:t>
      </w:r>
      <w:r w:rsidRPr="002F64A6">
        <w:rPr>
          <w:rStyle w:val="FootnoteReference"/>
          <w:rFonts w:asciiTheme="majorBidi" w:hAnsiTheme="majorBidi" w:cstheme="majorBidi"/>
          <w:szCs w:val="24"/>
        </w:rPr>
        <w:footnoteReference w:id="123"/>
      </w:r>
      <w:r w:rsidR="00DB3514">
        <w:rPr>
          <w:rFonts w:asciiTheme="majorBidi" w:hAnsiTheme="majorBidi" w:cstheme="majorBidi"/>
          <w:szCs w:val="24"/>
        </w:rPr>
        <w:t xml:space="preserve"> </w:t>
      </w:r>
      <w:r w:rsidRPr="002F64A6">
        <w:rPr>
          <w:rFonts w:asciiTheme="majorBidi" w:hAnsiTheme="majorBidi" w:cstheme="majorBidi"/>
          <w:szCs w:val="24"/>
        </w:rPr>
        <w:t>If two sequential measurements show that the ambient conditions exceed the RAL/REL, then the employer should institute a variety of engineering and work practice controls until two sequential measurements again fall below the RAL/REL</w:t>
      </w:r>
      <w:r w:rsidRPr="002F64A6">
        <w:rPr>
          <w:rStyle w:val="FootnoteReference"/>
          <w:rFonts w:asciiTheme="majorBidi" w:hAnsiTheme="majorBidi" w:cstheme="majorBidi"/>
          <w:szCs w:val="24"/>
        </w:rPr>
        <w:footnoteReference w:id="124"/>
      </w:r>
      <w:r w:rsidRPr="002F64A6">
        <w:rPr>
          <w:rFonts w:asciiTheme="majorBidi" w:hAnsiTheme="majorBidi" w:cstheme="majorBidi"/>
          <w:szCs w:val="24"/>
        </w:rPr>
        <w:t xml:space="preserve"> Employers also should develop estimates of the metabolic heat load for each worker who is performing light, moderate, or heavy work.</w:t>
      </w:r>
      <w:r w:rsidRPr="002F64A6">
        <w:rPr>
          <w:rStyle w:val="FootnoteReference"/>
          <w:rFonts w:asciiTheme="majorBidi" w:hAnsiTheme="majorBidi" w:cstheme="majorBidi"/>
          <w:szCs w:val="24"/>
        </w:rPr>
        <w:footnoteReference w:id="125"/>
      </w:r>
    </w:p>
    <w:p w14:paraId="5984A2F6" w14:textId="77777777" w:rsidR="00360794" w:rsidRPr="002F64A6" w:rsidRDefault="00360794" w:rsidP="00360794">
      <w:pPr>
        <w:pStyle w:val="L2"/>
      </w:pPr>
      <w:bookmarkStart w:id="40" w:name="_Toc518979501"/>
      <w:r w:rsidRPr="002F64A6">
        <w:t>Medical monitoring</w:t>
      </w:r>
      <w:bookmarkEnd w:id="40"/>
    </w:p>
    <w:p w14:paraId="506CAC08" w14:textId="47DAA503" w:rsidR="00360794" w:rsidRDefault="00360794" w:rsidP="00360794">
      <w:pPr>
        <w:rPr>
          <w:rFonts w:asciiTheme="majorBidi" w:hAnsiTheme="majorBidi" w:cstheme="majorBidi"/>
          <w:bCs/>
          <w:szCs w:val="24"/>
        </w:rPr>
      </w:pPr>
      <w:r w:rsidRPr="002F64A6">
        <w:rPr>
          <w:rFonts w:asciiTheme="majorBidi" w:hAnsiTheme="majorBidi" w:cstheme="majorBidi"/>
          <w:bCs/>
          <w:szCs w:val="24"/>
        </w:rPr>
        <w:t xml:space="preserve">Employers </w:t>
      </w:r>
      <w:r w:rsidR="00131EC2">
        <w:rPr>
          <w:rFonts w:asciiTheme="majorBidi" w:hAnsiTheme="majorBidi" w:cstheme="majorBidi"/>
          <w:bCs/>
          <w:szCs w:val="24"/>
        </w:rPr>
        <w:t xml:space="preserve">should be required to </w:t>
      </w:r>
      <w:r w:rsidRPr="002F64A6">
        <w:rPr>
          <w:rFonts w:asciiTheme="majorBidi" w:hAnsiTheme="majorBidi" w:cstheme="majorBidi"/>
          <w:bCs/>
          <w:szCs w:val="24"/>
        </w:rPr>
        <w:t>institute a medical monitoring program for all workers who are or may be exposed to heat stress at or above the RAL/REL. Comprehensive medical evaluations, which are designed to assess a worker</w:t>
      </w:r>
      <w:r w:rsidR="00DB23CF">
        <w:rPr>
          <w:rFonts w:asciiTheme="majorBidi" w:hAnsiTheme="majorBidi" w:cstheme="majorBidi"/>
          <w:bCs/>
          <w:szCs w:val="24"/>
        </w:rPr>
        <w:t>’</w:t>
      </w:r>
      <w:r w:rsidRPr="002F64A6">
        <w:rPr>
          <w:rFonts w:asciiTheme="majorBidi" w:hAnsiTheme="majorBidi" w:cstheme="majorBidi"/>
          <w:bCs/>
          <w:szCs w:val="24"/>
        </w:rPr>
        <w:t>s risk for heat stress injury, should be given to all workers at the time of hiring and at least annually thereafter. All relevant medical and risk information should be made available to the responsible healthcare provider at the jobsite, with the provider then required to provide to the employer a written report of his or her findings and recommendations regarding the worker</w:t>
      </w:r>
      <w:r w:rsidR="00DB23CF">
        <w:rPr>
          <w:rFonts w:asciiTheme="majorBidi" w:hAnsiTheme="majorBidi" w:cstheme="majorBidi"/>
          <w:bCs/>
          <w:szCs w:val="24"/>
        </w:rPr>
        <w:t>’</w:t>
      </w:r>
      <w:r w:rsidRPr="002F64A6">
        <w:rPr>
          <w:rFonts w:asciiTheme="majorBidi" w:hAnsiTheme="majorBidi" w:cstheme="majorBidi"/>
          <w:bCs/>
          <w:szCs w:val="24"/>
        </w:rPr>
        <w:t>s risk for heat stress injury. Emergency medical care should be given to all workers who develop signs or symptoms of heat exhaustion or heat stroke.</w:t>
      </w:r>
      <w:r w:rsidRPr="002F64A6">
        <w:rPr>
          <w:rStyle w:val="FootnoteReference"/>
          <w:rFonts w:asciiTheme="majorBidi" w:hAnsiTheme="majorBidi" w:cstheme="majorBidi"/>
          <w:bCs/>
        </w:rPr>
        <w:footnoteReference w:id="126"/>
      </w:r>
    </w:p>
    <w:p w14:paraId="4B3A157F" w14:textId="17891952" w:rsidR="00523B9F" w:rsidRDefault="007447B5" w:rsidP="00360794">
      <w:pPr>
        <w:rPr>
          <w:rFonts w:asciiTheme="majorBidi" w:hAnsiTheme="majorBidi" w:cstheme="majorBidi"/>
          <w:bCs/>
          <w:szCs w:val="24"/>
        </w:rPr>
      </w:pPr>
      <w:r>
        <w:rPr>
          <w:rFonts w:asciiTheme="majorBidi" w:hAnsiTheme="majorBidi" w:cstheme="majorBidi"/>
          <w:bCs/>
          <w:szCs w:val="24"/>
        </w:rPr>
        <w:t>OSHA should specify that n</w:t>
      </w:r>
      <w:r w:rsidR="00523B9F" w:rsidRPr="00523B9F">
        <w:rPr>
          <w:rFonts w:asciiTheme="majorBidi" w:hAnsiTheme="majorBidi" w:cstheme="majorBidi"/>
          <w:bCs/>
          <w:szCs w:val="24"/>
        </w:rPr>
        <w:t xml:space="preserve">o employee may be required to perform tasks requiring exposure to heat stress at levels that, based on their most recent medical examination, the examining physician determines would impair the safety or health of the employee or other employees. The employer may take extra precautions (e.g., more frequent rest breaks) to reduce heat stress to safe levels for that employee. Or the employee may be assigned to another job or given the opportunity to transfer to a different position, the duties of which they can perform. If such a transfer position is available, the position must be with the same employer, in the same </w:t>
      </w:r>
      <w:r w:rsidR="00523B9F" w:rsidRPr="00523B9F">
        <w:rPr>
          <w:rFonts w:asciiTheme="majorBidi" w:hAnsiTheme="majorBidi" w:cstheme="majorBidi"/>
          <w:bCs/>
          <w:szCs w:val="24"/>
        </w:rPr>
        <w:lastRenderedPageBreak/>
        <w:t>geographical area, and with the same seniority, status, and rate of pay the employee had just prior to such transfer.</w:t>
      </w:r>
    </w:p>
    <w:p w14:paraId="72AB0C4A" w14:textId="600008D1" w:rsidR="00F422D9" w:rsidRDefault="00F422D9" w:rsidP="00F422D9">
      <w:pPr>
        <w:pStyle w:val="L2"/>
      </w:pPr>
      <w:bookmarkStart w:id="41" w:name="_Toc518979502"/>
      <w:r>
        <w:t>Emergency medical procedures</w:t>
      </w:r>
      <w:bookmarkEnd w:id="41"/>
    </w:p>
    <w:p w14:paraId="16FD7544" w14:textId="7B6E8A8E" w:rsidR="0095519D" w:rsidRDefault="00F422D9" w:rsidP="00360794">
      <w:pPr>
        <w:rPr>
          <w:rFonts w:asciiTheme="majorBidi" w:hAnsiTheme="majorBidi" w:cstheme="majorBidi"/>
          <w:bCs/>
          <w:szCs w:val="24"/>
        </w:rPr>
      </w:pPr>
      <w:r>
        <w:rPr>
          <w:rFonts w:asciiTheme="majorBidi" w:hAnsiTheme="majorBidi" w:cstheme="majorBidi"/>
          <w:bCs/>
          <w:szCs w:val="24"/>
        </w:rPr>
        <w:t>Employers must establi</w:t>
      </w:r>
      <w:r w:rsidR="0043694F">
        <w:rPr>
          <w:rFonts w:asciiTheme="majorBidi" w:hAnsiTheme="majorBidi" w:cstheme="majorBidi"/>
          <w:bCs/>
          <w:szCs w:val="24"/>
        </w:rPr>
        <w:t xml:space="preserve">sh emergency medical procedures in the event that a worker develops signs or symptoms of heat </w:t>
      </w:r>
      <w:r w:rsidR="00C93B3D">
        <w:rPr>
          <w:rFonts w:asciiTheme="majorBidi" w:hAnsiTheme="majorBidi" w:cstheme="majorBidi"/>
          <w:bCs/>
          <w:szCs w:val="24"/>
        </w:rPr>
        <w:t>illness</w:t>
      </w:r>
      <w:r w:rsidR="0043694F">
        <w:rPr>
          <w:rFonts w:asciiTheme="majorBidi" w:hAnsiTheme="majorBidi" w:cstheme="majorBidi"/>
          <w:bCs/>
          <w:szCs w:val="24"/>
        </w:rPr>
        <w:t>.</w:t>
      </w:r>
      <w:r w:rsidR="00AC01A3">
        <w:rPr>
          <w:rStyle w:val="FootnoteReference"/>
          <w:rFonts w:asciiTheme="majorBidi" w:hAnsiTheme="majorBidi" w:cstheme="majorBidi"/>
          <w:bCs/>
          <w:szCs w:val="24"/>
        </w:rPr>
        <w:footnoteReference w:id="127"/>
      </w:r>
      <w:r w:rsidR="00C93B3D">
        <w:rPr>
          <w:rFonts w:asciiTheme="majorBidi" w:hAnsiTheme="majorBidi" w:cstheme="majorBidi"/>
          <w:bCs/>
          <w:szCs w:val="24"/>
        </w:rPr>
        <w:t xml:space="preserve"> </w:t>
      </w:r>
      <w:r w:rsidR="00773804">
        <w:rPr>
          <w:rFonts w:asciiTheme="majorBidi" w:hAnsiTheme="majorBidi" w:cstheme="majorBidi"/>
          <w:bCs/>
          <w:szCs w:val="24"/>
        </w:rPr>
        <w:t xml:space="preserve">First, </w:t>
      </w:r>
      <w:r w:rsidR="00E2595F">
        <w:rPr>
          <w:rFonts w:asciiTheme="majorBidi" w:hAnsiTheme="majorBidi" w:cstheme="majorBidi"/>
          <w:bCs/>
          <w:szCs w:val="24"/>
        </w:rPr>
        <w:t>employers must ensure that effective communication is maintained at all times by voice, observation, or electronic means, so that employees can contact a supervisor or emergency medical services when necessary.</w:t>
      </w:r>
      <w:r w:rsidR="00F15D3A">
        <w:rPr>
          <w:rStyle w:val="FootnoteReference"/>
          <w:rFonts w:asciiTheme="majorBidi" w:hAnsiTheme="majorBidi" w:cstheme="majorBidi"/>
          <w:bCs/>
          <w:szCs w:val="24"/>
        </w:rPr>
        <w:footnoteReference w:id="128"/>
      </w:r>
      <w:r w:rsidR="00D37376">
        <w:rPr>
          <w:rFonts w:asciiTheme="majorBidi" w:hAnsiTheme="majorBidi" w:cstheme="majorBidi"/>
          <w:bCs/>
          <w:szCs w:val="24"/>
        </w:rPr>
        <w:t xml:space="preserve"> Second, employers must </w:t>
      </w:r>
      <w:r w:rsidR="0095519D">
        <w:rPr>
          <w:rFonts w:asciiTheme="majorBidi" w:hAnsiTheme="majorBidi" w:cstheme="majorBidi"/>
          <w:bCs/>
          <w:szCs w:val="24"/>
        </w:rPr>
        <w:t xml:space="preserve">establish procedures to ensure that supervisors respond immediately </w:t>
      </w:r>
      <w:r w:rsidR="00293C57">
        <w:rPr>
          <w:rFonts w:asciiTheme="majorBidi" w:hAnsiTheme="majorBidi" w:cstheme="majorBidi"/>
          <w:bCs/>
          <w:szCs w:val="24"/>
        </w:rPr>
        <w:t>to signs or symptoms of heat illness in a manner commensurate with the s</w:t>
      </w:r>
      <w:r w:rsidR="00FB188C">
        <w:rPr>
          <w:rFonts w:asciiTheme="majorBidi" w:hAnsiTheme="majorBidi" w:cstheme="majorBidi"/>
          <w:bCs/>
          <w:szCs w:val="24"/>
        </w:rPr>
        <w:t>everity of illness</w:t>
      </w:r>
      <w:r w:rsidR="00076752">
        <w:rPr>
          <w:rFonts w:asciiTheme="majorBidi" w:hAnsiTheme="majorBidi" w:cstheme="majorBidi"/>
          <w:bCs/>
          <w:szCs w:val="24"/>
        </w:rPr>
        <w:t>,</w:t>
      </w:r>
      <w:r w:rsidR="00293C57">
        <w:rPr>
          <w:rFonts w:asciiTheme="majorBidi" w:hAnsiTheme="majorBidi" w:cstheme="majorBidi"/>
          <w:bCs/>
          <w:szCs w:val="24"/>
        </w:rPr>
        <w:t xml:space="preserve"> including steps such as calling </w:t>
      </w:r>
      <w:r w:rsidR="00076752">
        <w:rPr>
          <w:rFonts w:asciiTheme="majorBidi" w:hAnsiTheme="majorBidi" w:cstheme="majorBidi"/>
          <w:bCs/>
          <w:szCs w:val="24"/>
        </w:rPr>
        <w:t>911 for emergency medical care;</w:t>
      </w:r>
      <w:r w:rsidR="00293C57">
        <w:rPr>
          <w:rFonts w:asciiTheme="majorBidi" w:hAnsiTheme="majorBidi" w:cstheme="majorBidi"/>
          <w:bCs/>
          <w:szCs w:val="24"/>
        </w:rPr>
        <w:t xml:space="preserve"> </w:t>
      </w:r>
      <w:r w:rsidR="00FB188C">
        <w:rPr>
          <w:rFonts w:asciiTheme="majorBidi" w:hAnsiTheme="majorBidi" w:cstheme="majorBidi"/>
          <w:bCs/>
          <w:szCs w:val="24"/>
        </w:rPr>
        <w:t>moving the worker to a cool area (shaded or air-conditioned)</w:t>
      </w:r>
      <w:r w:rsidR="00076752">
        <w:rPr>
          <w:rFonts w:asciiTheme="majorBidi" w:hAnsiTheme="majorBidi" w:cstheme="majorBidi"/>
          <w:bCs/>
          <w:szCs w:val="24"/>
        </w:rPr>
        <w:t xml:space="preserve"> and removing unnecessary clothing</w:t>
      </w:r>
      <w:r w:rsidR="00FB188C">
        <w:rPr>
          <w:rFonts w:asciiTheme="majorBidi" w:hAnsiTheme="majorBidi" w:cstheme="majorBidi"/>
          <w:bCs/>
          <w:szCs w:val="24"/>
        </w:rPr>
        <w:t xml:space="preserve">; cooling the worker quickly with cold water, ice bath, or wet cloths on skin; </w:t>
      </w:r>
      <w:r w:rsidR="00234168">
        <w:rPr>
          <w:rFonts w:asciiTheme="majorBidi" w:hAnsiTheme="majorBidi" w:cstheme="majorBidi"/>
          <w:bCs/>
          <w:szCs w:val="24"/>
        </w:rPr>
        <w:t xml:space="preserve">circulating air around the worker; </w:t>
      </w:r>
      <w:r w:rsidR="005C70B3">
        <w:rPr>
          <w:rFonts w:asciiTheme="majorBidi" w:hAnsiTheme="majorBidi" w:cstheme="majorBidi"/>
          <w:bCs/>
          <w:szCs w:val="24"/>
        </w:rPr>
        <w:t xml:space="preserve">and </w:t>
      </w:r>
      <w:r w:rsidR="00076752">
        <w:rPr>
          <w:rFonts w:asciiTheme="majorBidi" w:hAnsiTheme="majorBidi" w:cstheme="majorBidi"/>
          <w:bCs/>
          <w:szCs w:val="24"/>
        </w:rPr>
        <w:t>encouraging frequent sips of cool water</w:t>
      </w:r>
      <w:r w:rsidR="005C70B3">
        <w:rPr>
          <w:rFonts w:asciiTheme="majorBidi" w:hAnsiTheme="majorBidi" w:cstheme="majorBidi"/>
          <w:bCs/>
          <w:szCs w:val="24"/>
        </w:rPr>
        <w:t>.</w:t>
      </w:r>
      <w:r w:rsidR="005C70B3">
        <w:rPr>
          <w:rStyle w:val="FootnoteReference"/>
          <w:rFonts w:asciiTheme="majorBidi" w:hAnsiTheme="majorBidi" w:cstheme="majorBidi"/>
          <w:bCs/>
          <w:szCs w:val="24"/>
        </w:rPr>
        <w:footnoteReference w:id="129"/>
      </w:r>
    </w:p>
    <w:p w14:paraId="741081A0" w14:textId="77777777" w:rsidR="00360794" w:rsidRPr="002F64A6" w:rsidRDefault="00360794" w:rsidP="00360794">
      <w:pPr>
        <w:pStyle w:val="L2"/>
        <w:rPr>
          <w:bCs/>
        </w:rPr>
      </w:pPr>
      <w:bookmarkStart w:id="42" w:name="_Toc518979503"/>
      <w:r w:rsidRPr="002F64A6">
        <w:t>Hazard notification</w:t>
      </w:r>
      <w:bookmarkEnd w:id="42"/>
    </w:p>
    <w:p w14:paraId="3849C558" w14:textId="35EC741C" w:rsidR="00360794" w:rsidRPr="002F64A6" w:rsidRDefault="00360794" w:rsidP="00360794">
      <w:pPr>
        <w:rPr>
          <w:rFonts w:asciiTheme="majorBidi" w:hAnsiTheme="majorBidi" w:cstheme="majorBidi"/>
          <w:bCs/>
          <w:szCs w:val="24"/>
        </w:rPr>
      </w:pPr>
      <w:r w:rsidRPr="002F64A6">
        <w:rPr>
          <w:rFonts w:asciiTheme="majorBidi" w:hAnsiTheme="majorBidi" w:cstheme="majorBidi"/>
          <w:bCs/>
          <w:szCs w:val="24"/>
        </w:rPr>
        <w:t>Employers should provide visible warning signs</w:t>
      </w:r>
      <w:r w:rsidRPr="002F64A6">
        <w:rPr>
          <w:rFonts w:asciiTheme="majorBidi" w:hAnsiTheme="majorBidi" w:cstheme="majorBidi"/>
          <w:szCs w:val="24"/>
        </w:rPr>
        <w:t>, in all languages</w:t>
      </w:r>
      <w:r w:rsidR="00297D9E">
        <w:rPr>
          <w:rFonts w:asciiTheme="majorBidi" w:hAnsiTheme="majorBidi" w:cstheme="majorBidi"/>
          <w:szCs w:val="24"/>
        </w:rPr>
        <w:t xml:space="preserve"> their workers understand</w:t>
      </w:r>
      <w:r w:rsidR="00856EFF">
        <w:rPr>
          <w:rFonts w:asciiTheme="majorBidi" w:hAnsiTheme="majorBidi" w:cstheme="majorBidi"/>
          <w:szCs w:val="24"/>
        </w:rPr>
        <w:t xml:space="preserve"> and </w:t>
      </w:r>
      <w:r w:rsidR="00C773A4">
        <w:rPr>
          <w:rFonts w:asciiTheme="majorBidi" w:hAnsiTheme="majorBidi" w:cstheme="majorBidi"/>
          <w:szCs w:val="24"/>
        </w:rPr>
        <w:t xml:space="preserve">in </w:t>
      </w:r>
      <w:r w:rsidR="00856EFF">
        <w:rPr>
          <w:rFonts w:asciiTheme="majorBidi" w:hAnsiTheme="majorBidi" w:cstheme="majorBidi"/>
          <w:szCs w:val="24"/>
        </w:rPr>
        <w:t>non-verbal language (</w:t>
      </w:r>
      <w:r w:rsidR="002C7716">
        <w:rPr>
          <w:rFonts w:asciiTheme="majorBidi" w:hAnsiTheme="majorBidi" w:cstheme="majorBidi"/>
          <w:szCs w:val="24"/>
        </w:rPr>
        <w:t xml:space="preserve">e.g., using </w:t>
      </w:r>
      <w:r w:rsidR="00856EFF">
        <w:rPr>
          <w:rFonts w:asciiTheme="majorBidi" w:hAnsiTheme="majorBidi" w:cstheme="majorBidi"/>
          <w:szCs w:val="24"/>
        </w:rPr>
        <w:t>cartoon characters)</w:t>
      </w:r>
      <w:r w:rsidRPr="002F64A6">
        <w:rPr>
          <w:rFonts w:asciiTheme="majorBidi" w:hAnsiTheme="majorBidi" w:cstheme="majorBidi"/>
          <w:szCs w:val="24"/>
        </w:rPr>
        <w:t>,</w:t>
      </w:r>
      <w:r w:rsidRPr="002F64A6">
        <w:rPr>
          <w:rFonts w:asciiTheme="majorBidi" w:hAnsiTheme="majorBidi" w:cstheme="majorBidi"/>
          <w:bCs/>
          <w:szCs w:val="24"/>
        </w:rPr>
        <w:t xml:space="preserve"> in all work areas in which there is a </w:t>
      </w:r>
      <w:r w:rsidR="00DB23CF">
        <w:rPr>
          <w:rFonts w:asciiTheme="majorBidi" w:hAnsiTheme="majorBidi" w:cstheme="majorBidi"/>
          <w:bCs/>
          <w:szCs w:val="24"/>
        </w:rPr>
        <w:t>“</w:t>
      </w:r>
      <w:r w:rsidRPr="002F64A6">
        <w:rPr>
          <w:rFonts w:asciiTheme="majorBidi" w:hAnsiTheme="majorBidi" w:cstheme="majorBidi"/>
          <w:bCs/>
          <w:szCs w:val="24"/>
        </w:rPr>
        <w:t>reasonable likelihood</w:t>
      </w:r>
      <w:r w:rsidR="00DB23CF">
        <w:rPr>
          <w:rFonts w:asciiTheme="majorBidi" w:hAnsiTheme="majorBidi" w:cstheme="majorBidi"/>
          <w:bCs/>
          <w:szCs w:val="24"/>
        </w:rPr>
        <w:t>”</w:t>
      </w:r>
      <w:r w:rsidRPr="002F64A6">
        <w:rPr>
          <w:rFonts w:asciiTheme="majorBidi" w:hAnsiTheme="majorBidi" w:cstheme="majorBidi"/>
          <w:bCs/>
          <w:szCs w:val="24"/>
        </w:rPr>
        <w:t xml:space="preserve"> of the total heat load exceeding the RAL/REL.</w:t>
      </w:r>
      <w:r w:rsidRPr="00284A75">
        <w:rPr>
          <w:rStyle w:val="FootnoteReference"/>
          <w:rFonts w:asciiTheme="majorBidi" w:hAnsiTheme="majorBidi" w:cstheme="majorBidi"/>
          <w:szCs w:val="24"/>
        </w:rPr>
        <w:footnoteReference w:id="130"/>
      </w:r>
      <w:r w:rsidRPr="002F64A6">
        <w:rPr>
          <w:rFonts w:asciiTheme="majorBidi" w:hAnsiTheme="majorBidi" w:cstheme="majorBidi"/>
          <w:bCs/>
          <w:szCs w:val="24"/>
        </w:rPr>
        <w:t xml:space="preserve"> The signs should contain information on the risk of heat stress and ways to mitigate the risk, including emergency and first aid instructions. </w:t>
      </w:r>
    </w:p>
    <w:p w14:paraId="0124A24E" w14:textId="77777777" w:rsidR="00360794" w:rsidRPr="002F64A6" w:rsidRDefault="00360794" w:rsidP="00360794">
      <w:pPr>
        <w:pStyle w:val="L2"/>
      </w:pPr>
      <w:bookmarkStart w:id="43" w:name="_Toc518979504"/>
      <w:r w:rsidRPr="002F64A6">
        <w:t>Heat Alert Program</w:t>
      </w:r>
      <w:bookmarkEnd w:id="43"/>
    </w:p>
    <w:p w14:paraId="75733BEF" w14:textId="7D46F15A" w:rsidR="00360794" w:rsidRPr="002F64A6" w:rsidRDefault="00360794" w:rsidP="00360794">
      <w:pPr>
        <w:rPr>
          <w:rFonts w:asciiTheme="majorBidi" w:hAnsiTheme="majorBidi" w:cstheme="majorBidi"/>
          <w:bCs/>
          <w:szCs w:val="24"/>
        </w:rPr>
      </w:pPr>
      <w:r w:rsidRPr="002F64A6">
        <w:rPr>
          <w:rFonts w:asciiTheme="majorBidi" w:hAnsiTheme="majorBidi" w:cstheme="majorBidi"/>
          <w:bCs/>
          <w:szCs w:val="24"/>
        </w:rPr>
        <w:t xml:space="preserve">Employers should develop a written Heat Alert Program to be implemented whenever the National Weather Service or other authoritative weather service forecasts a heat </w:t>
      </w:r>
      <w:r w:rsidR="00D5506F">
        <w:rPr>
          <w:rFonts w:asciiTheme="majorBidi" w:hAnsiTheme="majorBidi" w:cstheme="majorBidi"/>
          <w:bCs/>
          <w:szCs w:val="24"/>
        </w:rPr>
        <w:t xml:space="preserve">wave </w:t>
      </w:r>
      <w:r w:rsidR="004E7D21">
        <w:rPr>
          <w:rFonts w:asciiTheme="majorBidi" w:hAnsiTheme="majorBidi" w:cstheme="majorBidi"/>
          <w:bCs/>
          <w:szCs w:val="24"/>
        </w:rPr>
        <w:t xml:space="preserve">in </w:t>
      </w:r>
      <w:r w:rsidRPr="002F64A6">
        <w:rPr>
          <w:rFonts w:asciiTheme="majorBidi" w:hAnsiTheme="majorBidi" w:cstheme="majorBidi"/>
          <w:bCs/>
          <w:szCs w:val="24"/>
        </w:rPr>
        <w:t>the coming day or days.</w:t>
      </w:r>
      <w:r w:rsidRPr="002F64A6">
        <w:rPr>
          <w:rStyle w:val="FootnoteReference"/>
          <w:rFonts w:asciiTheme="majorBidi" w:hAnsiTheme="majorBidi" w:cstheme="majorBidi"/>
          <w:bCs/>
          <w:szCs w:val="24"/>
        </w:rPr>
        <w:footnoteReference w:id="131"/>
      </w:r>
      <w:r w:rsidRPr="002F64A6">
        <w:rPr>
          <w:rFonts w:asciiTheme="majorBidi" w:hAnsiTheme="majorBidi" w:cstheme="majorBidi"/>
          <w:bCs/>
          <w:szCs w:val="24"/>
        </w:rPr>
        <w:t xml:space="preserve"> </w:t>
      </w:r>
      <w:r w:rsidR="00D5506F">
        <w:rPr>
          <w:rFonts w:asciiTheme="majorBidi" w:hAnsiTheme="majorBidi" w:cstheme="majorBidi"/>
          <w:bCs/>
          <w:szCs w:val="24"/>
        </w:rPr>
        <w:t>A heat wave is defined as daily maximum temperature exceeding 95°F (35°C) or exceeds 90°F (32°C) and is 9°F (5°C)</w:t>
      </w:r>
      <w:r w:rsidR="00F44928">
        <w:rPr>
          <w:rFonts w:asciiTheme="majorBidi" w:hAnsiTheme="majorBidi" w:cstheme="majorBidi"/>
          <w:bCs/>
          <w:szCs w:val="24"/>
        </w:rPr>
        <w:t xml:space="preserve"> or more above the maximum reached on the preceding days.</w:t>
      </w:r>
      <w:r w:rsidR="00F44928">
        <w:rPr>
          <w:rStyle w:val="FootnoteReference"/>
          <w:rFonts w:asciiTheme="majorBidi" w:hAnsiTheme="majorBidi" w:cstheme="majorBidi"/>
          <w:bCs/>
          <w:szCs w:val="24"/>
        </w:rPr>
        <w:footnoteReference w:id="132"/>
      </w:r>
      <w:r w:rsidR="00B878B0">
        <w:rPr>
          <w:rFonts w:asciiTheme="majorBidi" w:hAnsiTheme="majorBidi" w:cstheme="majorBidi"/>
          <w:bCs/>
          <w:szCs w:val="24"/>
        </w:rPr>
        <w:t xml:space="preserve"> </w:t>
      </w:r>
      <w:r w:rsidRPr="002F64A6">
        <w:rPr>
          <w:rFonts w:asciiTheme="majorBidi" w:hAnsiTheme="majorBidi" w:cstheme="majorBidi"/>
          <w:bCs/>
          <w:szCs w:val="24"/>
        </w:rPr>
        <w:t>Such a program should involve a committee</w:t>
      </w:r>
      <w:r w:rsidR="00866E6D">
        <w:rPr>
          <w:rFonts w:asciiTheme="majorBidi" w:hAnsiTheme="majorBidi" w:cstheme="majorBidi"/>
          <w:bCs/>
          <w:szCs w:val="24"/>
        </w:rPr>
        <w:t xml:space="preserve">, </w:t>
      </w:r>
      <w:r w:rsidR="00E7511A">
        <w:rPr>
          <w:rFonts w:asciiTheme="majorBidi" w:hAnsiTheme="majorBidi" w:cstheme="majorBidi"/>
          <w:bCs/>
          <w:szCs w:val="24"/>
        </w:rPr>
        <w:t xml:space="preserve">of which workers comprise at least half of the membership, </w:t>
      </w:r>
      <w:r w:rsidRPr="002F64A6">
        <w:rPr>
          <w:rFonts w:asciiTheme="majorBidi" w:hAnsiTheme="majorBidi" w:cstheme="majorBidi"/>
          <w:bCs/>
          <w:szCs w:val="24"/>
        </w:rPr>
        <w:t>tasked with planning all necessary procedures to be taken in the event of a heat wave, including postponing non-urgent work, increasing the number of workers on each shift, increasing rest breaks, and heightened medical surveillance of workers.</w:t>
      </w:r>
      <w:r w:rsidRPr="002F64A6">
        <w:rPr>
          <w:rStyle w:val="FootnoteReference"/>
          <w:rFonts w:asciiTheme="majorBidi" w:hAnsiTheme="majorBidi" w:cstheme="majorBidi"/>
          <w:bCs/>
          <w:szCs w:val="24"/>
        </w:rPr>
        <w:footnoteReference w:id="133"/>
      </w:r>
    </w:p>
    <w:p w14:paraId="60CF4978" w14:textId="77777777" w:rsidR="00360794" w:rsidRPr="002F64A6" w:rsidRDefault="00360794" w:rsidP="00360794">
      <w:pPr>
        <w:pStyle w:val="L2"/>
        <w:rPr>
          <w:bCs/>
        </w:rPr>
      </w:pPr>
      <w:bookmarkStart w:id="44" w:name="_Toc518979505"/>
      <w:r w:rsidRPr="002F64A6">
        <w:t>Worker information and training</w:t>
      </w:r>
      <w:bookmarkEnd w:id="44"/>
    </w:p>
    <w:p w14:paraId="0B42598A" w14:textId="411716F0" w:rsidR="00360794" w:rsidRPr="002F64A6" w:rsidRDefault="00360794" w:rsidP="00360794">
      <w:pPr>
        <w:rPr>
          <w:rFonts w:asciiTheme="majorBidi" w:hAnsiTheme="majorBidi" w:cstheme="majorBidi"/>
          <w:bCs/>
          <w:szCs w:val="24"/>
        </w:rPr>
      </w:pPr>
      <w:r w:rsidRPr="002F64A6">
        <w:rPr>
          <w:rFonts w:asciiTheme="majorBidi" w:hAnsiTheme="majorBidi" w:cstheme="majorBidi"/>
          <w:bCs/>
          <w:szCs w:val="24"/>
        </w:rPr>
        <w:t xml:space="preserve">All </w:t>
      </w:r>
      <w:r w:rsidR="00B86A5D">
        <w:rPr>
          <w:rFonts w:asciiTheme="majorBidi" w:hAnsiTheme="majorBidi" w:cstheme="majorBidi"/>
          <w:bCs/>
          <w:szCs w:val="24"/>
        </w:rPr>
        <w:t xml:space="preserve">new and current </w:t>
      </w:r>
      <w:r w:rsidRPr="002F64A6">
        <w:rPr>
          <w:rFonts w:asciiTheme="majorBidi" w:hAnsiTheme="majorBidi" w:cstheme="majorBidi"/>
          <w:bCs/>
          <w:szCs w:val="24"/>
        </w:rPr>
        <w:t xml:space="preserve">workers who may be put at risk of heat injury or illness </w:t>
      </w:r>
      <w:r w:rsidR="0008265F">
        <w:rPr>
          <w:rFonts w:asciiTheme="majorBidi" w:hAnsiTheme="majorBidi" w:cstheme="majorBidi"/>
          <w:bCs/>
          <w:szCs w:val="24"/>
        </w:rPr>
        <w:t xml:space="preserve">should </w:t>
      </w:r>
      <w:r w:rsidRPr="002F64A6">
        <w:rPr>
          <w:rFonts w:asciiTheme="majorBidi" w:hAnsiTheme="majorBidi" w:cstheme="majorBidi"/>
          <w:bCs/>
          <w:szCs w:val="24"/>
        </w:rPr>
        <w:t xml:space="preserve">be informed, through continuing education programs, of heat stress hazards, preventive measures, signs and symptoms of heat-related illness, first aid procedures, and other key information related to heat stress risk and mitigation. A written training program containing all of </w:t>
      </w:r>
      <w:r w:rsidR="008012D9">
        <w:rPr>
          <w:rFonts w:asciiTheme="majorBidi" w:hAnsiTheme="majorBidi" w:cstheme="majorBidi"/>
          <w:bCs/>
          <w:szCs w:val="24"/>
        </w:rPr>
        <w:t xml:space="preserve">this </w:t>
      </w:r>
      <w:r w:rsidRPr="002F64A6">
        <w:rPr>
          <w:rFonts w:asciiTheme="majorBidi" w:hAnsiTheme="majorBidi" w:cstheme="majorBidi"/>
          <w:bCs/>
          <w:szCs w:val="24"/>
        </w:rPr>
        <w:t>information should be developed. In addition, a heat stress safety data sheet should be posted in all at-risk work areas.</w:t>
      </w:r>
      <w:r w:rsidR="00927450">
        <w:rPr>
          <w:rFonts w:asciiTheme="majorBidi" w:hAnsiTheme="majorBidi" w:cstheme="majorBidi"/>
          <w:bCs/>
          <w:szCs w:val="24"/>
        </w:rPr>
        <w:t xml:space="preserve"> </w:t>
      </w:r>
      <w:r w:rsidR="00927450">
        <w:rPr>
          <w:rFonts w:asciiTheme="majorBidi" w:hAnsiTheme="majorBidi" w:cstheme="majorBidi"/>
          <w:bCs/>
          <w:szCs w:val="24"/>
        </w:rPr>
        <w:lastRenderedPageBreak/>
        <w:t>Trainers should be conducted by instructors qualified by training or experience in</w:t>
      </w:r>
      <w:r w:rsidR="00FE2654">
        <w:rPr>
          <w:rFonts w:asciiTheme="majorBidi" w:hAnsiTheme="majorBidi" w:cstheme="majorBidi"/>
          <w:bCs/>
          <w:szCs w:val="24"/>
        </w:rPr>
        <w:t xml:space="preserve"> occupational safety and health.</w:t>
      </w:r>
      <w:r w:rsidR="00AB7E2F" w:rsidRPr="002F64A6">
        <w:rPr>
          <w:rStyle w:val="FootnoteReference"/>
          <w:rFonts w:asciiTheme="majorBidi" w:hAnsiTheme="majorBidi" w:cstheme="majorBidi"/>
        </w:rPr>
        <w:footnoteReference w:id="134"/>
      </w:r>
      <w:r w:rsidR="00927450">
        <w:rPr>
          <w:rFonts w:asciiTheme="majorBidi" w:hAnsiTheme="majorBidi" w:cstheme="majorBidi"/>
          <w:bCs/>
          <w:szCs w:val="24"/>
        </w:rPr>
        <w:t xml:space="preserve"> </w:t>
      </w:r>
    </w:p>
    <w:p w14:paraId="0B71A78D" w14:textId="77777777" w:rsidR="00360794" w:rsidRPr="002F64A6" w:rsidRDefault="00360794" w:rsidP="00360794">
      <w:pPr>
        <w:pStyle w:val="L2"/>
        <w:rPr>
          <w:bCs/>
        </w:rPr>
      </w:pPr>
      <w:bookmarkStart w:id="45" w:name="_Toc518979506"/>
      <w:r w:rsidRPr="002F64A6">
        <w:t>Heat-related surveillance and recordkeeping</w:t>
      </w:r>
      <w:bookmarkEnd w:id="45"/>
    </w:p>
    <w:p w14:paraId="22358A57" w14:textId="101EAA4E" w:rsidR="00360794" w:rsidRPr="002F64A6" w:rsidRDefault="00360794" w:rsidP="00360794">
      <w:pPr>
        <w:rPr>
          <w:rFonts w:asciiTheme="majorBidi" w:hAnsiTheme="majorBidi" w:cstheme="majorBidi"/>
          <w:szCs w:val="24"/>
        </w:rPr>
      </w:pPr>
      <w:r w:rsidRPr="002F64A6">
        <w:rPr>
          <w:rFonts w:asciiTheme="majorBidi" w:hAnsiTheme="majorBidi" w:cstheme="majorBidi"/>
          <w:bCs/>
          <w:szCs w:val="24"/>
        </w:rPr>
        <w:t>Employers should proactively obtain and analyze data on susceptible workers, workplace modifications to mitigate the risk of heat stress, all heat-related injuries and deaths, and all environmental and physiological measurements related to heat.</w:t>
      </w:r>
      <w:r w:rsidRPr="002F64A6">
        <w:rPr>
          <w:rStyle w:val="FootnoteReference"/>
          <w:rFonts w:asciiTheme="majorBidi" w:hAnsiTheme="majorBidi" w:cstheme="majorBidi"/>
          <w:bCs/>
          <w:szCs w:val="24"/>
        </w:rPr>
        <w:footnoteReference w:id="135"/>
      </w:r>
      <w:r w:rsidRPr="002F64A6">
        <w:rPr>
          <w:rFonts w:asciiTheme="majorBidi" w:hAnsiTheme="majorBidi" w:cstheme="majorBidi"/>
          <w:bCs/>
          <w:szCs w:val="24"/>
        </w:rPr>
        <w:t xml:space="preserve"> All of this information, in addition to medical monitoring data, acclimatization plans, and other key information related to the recommended heat stress standard should be recorded and made available to OSHA</w:t>
      </w:r>
      <w:r w:rsidR="00C42527">
        <w:rPr>
          <w:rFonts w:asciiTheme="majorBidi" w:hAnsiTheme="majorBidi" w:cstheme="majorBidi"/>
          <w:bCs/>
          <w:szCs w:val="24"/>
        </w:rPr>
        <w:t>,</w:t>
      </w:r>
      <w:r w:rsidR="006F346C" w:rsidRPr="002F64A6">
        <w:rPr>
          <w:rStyle w:val="FootnoteReference"/>
          <w:rFonts w:asciiTheme="majorBidi" w:hAnsiTheme="majorBidi" w:cstheme="majorBidi"/>
          <w:bCs/>
          <w:szCs w:val="24"/>
        </w:rPr>
        <w:footnoteReference w:id="136"/>
      </w:r>
      <w:r w:rsidR="00C42527">
        <w:rPr>
          <w:rFonts w:asciiTheme="majorBidi" w:hAnsiTheme="majorBidi" w:cstheme="majorBidi"/>
          <w:bCs/>
          <w:szCs w:val="24"/>
        </w:rPr>
        <w:t xml:space="preserve"> as well as workers and their representatives</w:t>
      </w:r>
      <w:r w:rsidRPr="002F64A6">
        <w:rPr>
          <w:rFonts w:asciiTheme="majorBidi" w:hAnsiTheme="majorBidi" w:cstheme="majorBidi"/>
          <w:bCs/>
          <w:szCs w:val="24"/>
        </w:rPr>
        <w:t>.</w:t>
      </w:r>
    </w:p>
    <w:p w14:paraId="3563C2AB" w14:textId="052842E4" w:rsidR="00ED710D" w:rsidRPr="002F64A6" w:rsidRDefault="00EF58EC" w:rsidP="00E325F1">
      <w:pPr>
        <w:pStyle w:val="L1"/>
      </w:pPr>
      <w:bookmarkStart w:id="46" w:name="_Toc518979507"/>
      <w:r w:rsidRPr="002F64A6">
        <w:t>W</w:t>
      </w:r>
      <w:r w:rsidR="00ED710D" w:rsidRPr="002F64A6">
        <w:t>histleblower protection</w:t>
      </w:r>
      <w:r w:rsidR="00E325F1" w:rsidRPr="002F64A6">
        <w:t>s</w:t>
      </w:r>
      <w:bookmarkEnd w:id="46"/>
    </w:p>
    <w:p w14:paraId="44199E52" w14:textId="5B29B919" w:rsidR="006C2EF8" w:rsidRPr="002F64A6" w:rsidRDefault="00ED710D" w:rsidP="00ED710D">
      <w:pPr>
        <w:spacing w:after="0"/>
        <w:rPr>
          <w:rFonts w:asciiTheme="majorBidi" w:hAnsiTheme="majorBidi" w:cstheme="majorBidi"/>
          <w:bCs/>
          <w:szCs w:val="24"/>
        </w:rPr>
      </w:pPr>
      <w:r w:rsidRPr="002F64A6">
        <w:rPr>
          <w:rFonts w:asciiTheme="majorBidi" w:hAnsiTheme="majorBidi" w:cstheme="majorBidi"/>
          <w:bCs/>
          <w:szCs w:val="24"/>
        </w:rPr>
        <w:t xml:space="preserve">OSHA should also require each employer to institute a whistleblower protection program for workers and supervisors to report violations of the heat stress standard. The agency should adopt specific criteria for employer </w:t>
      </w:r>
      <w:r w:rsidR="00C15450" w:rsidRPr="002F64A6">
        <w:rPr>
          <w:rFonts w:asciiTheme="majorBidi" w:hAnsiTheme="majorBidi" w:cstheme="majorBidi"/>
          <w:bCs/>
          <w:szCs w:val="24"/>
        </w:rPr>
        <w:t>whistleblower protection policies</w:t>
      </w:r>
      <w:r w:rsidR="00655C7B" w:rsidRPr="002F64A6">
        <w:rPr>
          <w:rFonts w:asciiTheme="majorBidi" w:hAnsiTheme="majorBidi" w:cstheme="majorBidi"/>
          <w:bCs/>
          <w:szCs w:val="24"/>
        </w:rPr>
        <w:t>,</w:t>
      </w:r>
      <w:r w:rsidRPr="002F64A6">
        <w:rPr>
          <w:rFonts w:asciiTheme="majorBidi" w:hAnsiTheme="majorBidi" w:cstheme="majorBidi"/>
          <w:bCs/>
          <w:szCs w:val="24"/>
        </w:rPr>
        <w:t xml:space="preserve"> provide model language</w:t>
      </w:r>
      <w:r w:rsidR="00655C7B" w:rsidRPr="002F64A6">
        <w:rPr>
          <w:rFonts w:asciiTheme="majorBidi" w:hAnsiTheme="majorBidi" w:cstheme="majorBidi"/>
          <w:bCs/>
          <w:szCs w:val="24"/>
        </w:rPr>
        <w:t>, or both</w:t>
      </w:r>
      <w:r w:rsidR="005B7C19">
        <w:rPr>
          <w:rFonts w:asciiTheme="majorBidi" w:hAnsiTheme="majorBidi" w:cstheme="majorBidi"/>
          <w:bCs/>
          <w:szCs w:val="24"/>
        </w:rPr>
        <w:t>, as well as refer employers to the agency’s guidance on anti-retaliation programs</w:t>
      </w:r>
      <w:r w:rsidR="006C2EF8" w:rsidRPr="002F64A6">
        <w:rPr>
          <w:rFonts w:asciiTheme="majorBidi" w:hAnsiTheme="majorBidi" w:cstheme="majorBidi"/>
          <w:bCs/>
          <w:szCs w:val="24"/>
        </w:rPr>
        <w:t>.</w:t>
      </w:r>
      <w:r w:rsidR="005B7C19">
        <w:rPr>
          <w:rStyle w:val="FootnoteReference"/>
          <w:rFonts w:asciiTheme="majorBidi" w:hAnsiTheme="majorBidi" w:cstheme="majorBidi"/>
          <w:bCs/>
          <w:szCs w:val="24"/>
        </w:rPr>
        <w:footnoteReference w:id="137"/>
      </w:r>
    </w:p>
    <w:p w14:paraId="716FA057" w14:textId="77777777" w:rsidR="006C2EF8" w:rsidRPr="002F64A6" w:rsidRDefault="006C2EF8" w:rsidP="00ED710D">
      <w:pPr>
        <w:spacing w:after="0"/>
        <w:rPr>
          <w:rFonts w:asciiTheme="majorBidi" w:hAnsiTheme="majorBidi" w:cstheme="majorBidi"/>
          <w:bCs/>
          <w:szCs w:val="24"/>
        </w:rPr>
      </w:pPr>
    </w:p>
    <w:p w14:paraId="3B12A52C" w14:textId="41557B52" w:rsidR="006C2EF8" w:rsidRPr="002F64A6" w:rsidRDefault="006C2EF8" w:rsidP="006C2EF8">
      <w:r w:rsidRPr="002F64A6">
        <w:t>Key criteria for a credible whistleblower protection policy include:</w:t>
      </w:r>
    </w:p>
    <w:p w14:paraId="3FF495AF" w14:textId="77777777" w:rsidR="006C2EF8" w:rsidRPr="002F64A6" w:rsidRDefault="006C2EF8" w:rsidP="00B9292A">
      <w:pPr>
        <w:pStyle w:val="Bullet1"/>
        <w:rPr>
          <w:rFonts w:eastAsiaTheme="minorHAnsi"/>
          <w:sz w:val="22"/>
        </w:rPr>
      </w:pPr>
      <w:r w:rsidRPr="002F64A6">
        <w:t>scope of coverage that includes any employee who disclosed what he or she reasonably believes to be a violation of the heat stress standard;</w:t>
      </w:r>
    </w:p>
    <w:p w14:paraId="631E98FA" w14:textId="211C62FE" w:rsidR="006C2EF8" w:rsidRPr="002F64A6" w:rsidRDefault="006C2EF8" w:rsidP="00B9292A">
      <w:pPr>
        <w:pStyle w:val="Bullet1"/>
        <w:rPr>
          <w:rFonts w:eastAsiaTheme="minorHAnsi"/>
          <w:sz w:val="22"/>
        </w:rPr>
      </w:pPr>
      <w:r w:rsidRPr="002F64A6">
        <w:t xml:space="preserve">a </w:t>
      </w:r>
      <w:r w:rsidR="00DB23CF">
        <w:t>“</w:t>
      </w:r>
      <w:r w:rsidRPr="002F64A6">
        <w:t>clear and convincing evidence</w:t>
      </w:r>
      <w:r w:rsidR="00DB23CF">
        <w:t>”</w:t>
      </w:r>
      <w:r w:rsidRPr="002F64A6">
        <w:t xml:space="preserve"> standard</w:t>
      </w:r>
      <w:r w:rsidR="0079048C" w:rsidRPr="002F64A6">
        <w:t xml:space="preserve"> for employers to prove claims of non-retaliation</w:t>
      </w:r>
      <w:r w:rsidRPr="002F64A6">
        <w:t>;</w:t>
      </w:r>
    </w:p>
    <w:p w14:paraId="1FB8AFEA" w14:textId="07E30667" w:rsidR="006C2EF8" w:rsidRPr="002F64A6" w:rsidRDefault="006B16BD" w:rsidP="00B9292A">
      <w:pPr>
        <w:pStyle w:val="Bullet1"/>
        <w:rPr>
          <w:rFonts w:eastAsiaTheme="minorHAnsi"/>
          <w:sz w:val="22"/>
        </w:rPr>
      </w:pPr>
      <w:r w:rsidRPr="002F64A6">
        <w:t xml:space="preserve">an option for employees to opt for </w:t>
      </w:r>
      <w:r w:rsidR="006C2EF8" w:rsidRPr="002F64A6">
        <w:t>consensus-selection, shared-cost, independent binding arbitration;</w:t>
      </w:r>
    </w:p>
    <w:p w14:paraId="113AFB16" w14:textId="77777777" w:rsidR="006C2EF8" w:rsidRPr="002F64A6" w:rsidRDefault="006C2EF8" w:rsidP="00B9292A">
      <w:pPr>
        <w:pStyle w:val="Bullet1"/>
        <w:rPr>
          <w:rFonts w:eastAsiaTheme="minorHAnsi"/>
          <w:sz w:val="22"/>
        </w:rPr>
      </w:pPr>
      <w:r w:rsidRPr="002F64A6">
        <w:t>appropriate relief, including reinstatement with back pay; and</w:t>
      </w:r>
    </w:p>
    <w:p w14:paraId="203DF4EC" w14:textId="69BE08E7" w:rsidR="006C2EF8" w:rsidRPr="002F64A6" w:rsidRDefault="00C15450" w:rsidP="00B9292A">
      <w:pPr>
        <w:pStyle w:val="Bullet1"/>
        <w:rPr>
          <w:rFonts w:eastAsiaTheme="minorHAnsi"/>
          <w:sz w:val="22"/>
        </w:rPr>
      </w:pPr>
      <w:r w:rsidRPr="002F64A6">
        <w:t xml:space="preserve">a provision that </w:t>
      </w:r>
      <w:r w:rsidR="006C2EF8" w:rsidRPr="002F64A6">
        <w:t xml:space="preserve">rights and remedies </w:t>
      </w:r>
      <w:r w:rsidRPr="002F64A6">
        <w:t xml:space="preserve">under the </w:t>
      </w:r>
      <w:r w:rsidR="006C2EF8" w:rsidRPr="002F64A6">
        <w:t>whistleblower protection policy</w:t>
      </w:r>
      <w:r w:rsidR="004A12CD" w:rsidRPr="002F64A6">
        <w:t xml:space="preserve"> cannot be waived</w:t>
      </w:r>
      <w:r w:rsidR="006C2EF8" w:rsidRPr="002F64A6">
        <w:t xml:space="preserve">. </w:t>
      </w:r>
    </w:p>
    <w:p w14:paraId="4F2FDCE2" w14:textId="095AB1FF" w:rsidR="00ED710D" w:rsidRPr="002F64A6" w:rsidRDefault="00B9292A" w:rsidP="00797D57">
      <w:r w:rsidRPr="002F64A6">
        <w:t xml:space="preserve">Model language </w:t>
      </w:r>
      <w:r w:rsidR="00206A76">
        <w:t>for the agency</w:t>
      </w:r>
      <w:r w:rsidR="00DB23CF">
        <w:t>’</w:t>
      </w:r>
      <w:r w:rsidR="00206A76">
        <w:t xml:space="preserve">s rule </w:t>
      </w:r>
      <w:r w:rsidRPr="002F64A6">
        <w:t>is as follows:</w:t>
      </w:r>
    </w:p>
    <w:p w14:paraId="347E1C9A" w14:textId="3109D461" w:rsidR="00797D57" w:rsidRDefault="00ED710D" w:rsidP="00536111">
      <w:pPr>
        <w:pStyle w:val="Blockquote"/>
      </w:pPr>
      <w:r w:rsidRPr="002F64A6">
        <w:t>No employer shall terminate or in any other way discriminate against any person</w:t>
      </w:r>
      <w:r w:rsidRPr="002F64A6">
        <w:rPr>
          <w:rStyle w:val="FootnoteReference"/>
          <w:szCs w:val="24"/>
        </w:rPr>
        <w:t xml:space="preserve"> </w:t>
      </w:r>
      <w:r w:rsidRPr="002F64A6">
        <w:t>because the person assists in, discloses, or is about to disclose</w:t>
      </w:r>
      <w:r w:rsidRPr="002F64A6">
        <w:rPr>
          <w:rFonts w:eastAsia="Times New Roman"/>
        </w:rPr>
        <w:t xml:space="preserve"> information that the person reasonably believes </w:t>
      </w:r>
      <w:r w:rsidR="006A67FC" w:rsidRPr="002F64A6">
        <w:rPr>
          <w:rFonts w:eastAsia="Times New Roman"/>
        </w:rPr>
        <w:t xml:space="preserve">to be </w:t>
      </w:r>
      <w:r w:rsidRPr="002F64A6">
        <w:rPr>
          <w:rFonts w:eastAsia="Times New Roman"/>
        </w:rPr>
        <w:t xml:space="preserve">evidence </w:t>
      </w:r>
      <w:r w:rsidR="005E692D">
        <w:rPr>
          <w:rFonts w:eastAsia="Times New Roman"/>
        </w:rPr>
        <w:t xml:space="preserve">of </w:t>
      </w:r>
      <w:r w:rsidRPr="002F64A6">
        <w:rPr>
          <w:rFonts w:eastAsia="Times New Roman"/>
        </w:rPr>
        <w:t xml:space="preserve">a violation of this standard; </w:t>
      </w:r>
      <w:r w:rsidRPr="002F64A6">
        <w:t xml:space="preserve">assists in any other action to carry out the purposes of this standard; or </w:t>
      </w:r>
      <w:r w:rsidRPr="002F64A6">
        <w:rPr>
          <w:rFonts w:eastAsia="Times New Roman"/>
        </w:rPr>
        <w:t xml:space="preserve">objects to or refuses </w:t>
      </w:r>
      <w:r w:rsidRPr="002F64A6">
        <w:rPr>
          <w:rFonts w:eastAsia="Times New Roman"/>
        </w:rPr>
        <w:lastRenderedPageBreak/>
        <w:t>to obey an order that the person reasonably believes would cause violation of this standard or the law.</w:t>
      </w:r>
    </w:p>
    <w:p w14:paraId="0269D7B4" w14:textId="18235CBC" w:rsidR="00500695" w:rsidRDefault="00500695" w:rsidP="00536111">
      <w:pPr>
        <w:pStyle w:val="Blockquote"/>
        <w:rPr>
          <w:rFonts w:eastAsia="Times New Roman"/>
          <w:szCs w:val="24"/>
        </w:rPr>
      </w:pPr>
      <w:r>
        <w:rPr>
          <w:rFonts w:eastAsia="Times New Roman"/>
          <w:szCs w:val="24"/>
        </w:rPr>
        <w:t>Each employer shall designate an official to establish and implement the employer</w:t>
      </w:r>
      <w:r w:rsidR="00DB23CF">
        <w:rPr>
          <w:rFonts w:eastAsia="Times New Roman"/>
          <w:szCs w:val="24"/>
        </w:rPr>
        <w:t>’</w:t>
      </w:r>
      <w:r>
        <w:rPr>
          <w:rFonts w:eastAsia="Times New Roman"/>
          <w:szCs w:val="24"/>
        </w:rPr>
        <w:t>s whistleblower</w:t>
      </w:r>
      <w:r w:rsidR="00ED7103">
        <w:rPr>
          <w:rFonts w:eastAsia="Times New Roman"/>
          <w:szCs w:val="24"/>
        </w:rPr>
        <w:t xml:space="preserve"> protection</w:t>
      </w:r>
      <w:r>
        <w:rPr>
          <w:rFonts w:eastAsia="Times New Roman"/>
          <w:szCs w:val="24"/>
        </w:rPr>
        <w:t xml:space="preserve"> policy.</w:t>
      </w:r>
      <w:r w:rsidR="00D30EB0">
        <w:rPr>
          <w:rFonts w:eastAsia="Times New Roman"/>
          <w:szCs w:val="24"/>
        </w:rPr>
        <w:t xml:space="preserve"> The designated official should be free of any real or apparent conflicts of interest in any particular case, and shall be free of pressure from</w:t>
      </w:r>
      <w:r w:rsidR="001A5443">
        <w:rPr>
          <w:rFonts w:eastAsia="Times New Roman"/>
          <w:szCs w:val="24"/>
        </w:rPr>
        <w:t>,</w:t>
      </w:r>
      <w:r w:rsidR="00D30EB0">
        <w:rPr>
          <w:rFonts w:eastAsia="Times New Roman"/>
          <w:szCs w:val="24"/>
        </w:rPr>
        <w:t xml:space="preserve"> or the influence of</w:t>
      </w:r>
      <w:r w:rsidR="001A5443">
        <w:rPr>
          <w:rFonts w:eastAsia="Times New Roman"/>
          <w:szCs w:val="24"/>
        </w:rPr>
        <w:t>,</w:t>
      </w:r>
      <w:r w:rsidR="00D30EB0">
        <w:rPr>
          <w:rFonts w:eastAsia="Times New Roman"/>
          <w:szCs w:val="24"/>
        </w:rPr>
        <w:t xml:space="preserve"> the employer regarding particular cases or in </w:t>
      </w:r>
      <w:r w:rsidR="00C964CE">
        <w:rPr>
          <w:rFonts w:eastAsia="Times New Roman"/>
          <w:szCs w:val="24"/>
        </w:rPr>
        <w:t>the official</w:t>
      </w:r>
      <w:r w:rsidR="00DB23CF">
        <w:rPr>
          <w:rFonts w:eastAsia="Times New Roman"/>
          <w:szCs w:val="24"/>
        </w:rPr>
        <w:t>’</w:t>
      </w:r>
      <w:r w:rsidR="00C964CE">
        <w:rPr>
          <w:rFonts w:eastAsia="Times New Roman"/>
          <w:szCs w:val="24"/>
        </w:rPr>
        <w:t xml:space="preserve">s </w:t>
      </w:r>
      <w:r w:rsidR="001A5443">
        <w:rPr>
          <w:rFonts w:eastAsia="Times New Roman"/>
          <w:szCs w:val="24"/>
        </w:rPr>
        <w:t xml:space="preserve">general course of administering the whistleblower </w:t>
      </w:r>
      <w:r w:rsidR="00ED7103">
        <w:rPr>
          <w:rFonts w:eastAsia="Times New Roman"/>
          <w:szCs w:val="24"/>
        </w:rPr>
        <w:t xml:space="preserve">protection </w:t>
      </w:r>
      <w:r w:rsidR="001A5443">
        <w:rPr>
          <w:rFonts w:eastAsia="Times New Roman"/>
          <w:szCs w:val="24"/>
        </w:rPr>
        <w:t>policy and deciding cases</w:t>
      </w:r>
      <w:r w:rsidR="00D30EB0">
        <w:rPr>
          <w:rFonts w:eastAsia="Times New Roman"/>
          <w:szCs w:val="24"/>
        </w:rPr>
        <w:t>.</w:t>
      </w:r>
    </w:p>
    <w:p w14:paraId="7E5B6273" w14:textId="3F947045" w:rsidR="00ED710D" w:rsidRDefault="00ED710D" w:rsidP="00536111">
      <w:pPr>
        <w:pStyle w:val="Blockquote"/>
        <w:rPr>
          <w:rFonts w:eastAsia="Times New Roman"/>
          <w:szCs w:val="24"/>
        </w:rPr>
      </w:pPr>
      <w:r w:rsidRPr="002F64A6">
        <w:rPr>
          <w:rFonts w:eastAsia="Times New Roman"/>
          <w:szCs w:val="24"/>
        </w:rPr>
        <w:t xml:space="preserve">An employee who believes that he or she has been terminated or otherwise discriminated against in violation of this standard may file a complaint with </w:t>
      </w:r>
      <w:r w:rsidR="00482D58">
        <w:rPr>
          <w:rFonts w:eastAsia="Times New Roman"/>
          <w:szCs w:val="24"/>
        </w:rPr>
        <w:t>the designated official</w:t>
      </w:r>
      <w:r w:rsidRPr="002F64A6">
        <w:rPr>
          <w:rFonts w:eastAsia="Times New Roman"/>
          <w:szCs w:val="24"/>
        </w:rPr>
        <w:t xml:space="preserve"> by the employer.</w:t>
      </w:r>
    </w:p>
    <w:p w14:paraId="1B1F2E40" w14:textId="3C4A9C6D" w:rsidR="009F2420" w:rsidRPr="002F64A6" w:rsidRDefault="009F2420" w:rsidP="00536111">
      <w:pPr>
        <w:pStyle w:val="Blockquote"/>
        <w:rPr>
          <w:szCs w:val="24"/>
        </w:rPr>
      </w:pPr>
      <w:r>
        <w:rPr>
          <w:rFonts w:eastAsia="Times New Roman"/>
          <w:szCs w:val="24"/>
        </w:rPr>
        <w:t>The designated official shall conduct a timely, thorough</w:t>
      </w:r>
      <w:r w:rsidR="00C45043">
        <w:rPr>
          <w:rFonts w:eastAsia="Times New Roman"/>
          <w:szCs w:val="24"/>
        </w:rPr>
        <w:t>, objective, and competent</w:t>
      </w:r>
      <w:r>
        <w:rPr>
          <w:rFonts w:eastAsia="Times New Roman"/>
          <w:szCs w:val="24"/>
        </w:rPr>
        <w:t xml:space="preserve"> investigation </w:t>
      </w:r>
      <w:r w:rsidR="00C45043">
        <w:rPr>
          <w:rFonts w:eastAsia="Times New Roman"/>
          <w:szCs w:val="24"/>
        </w:rPr>
        <w:t>of the complaint</w:t>
      </w:r>
      <w:r w:rsidR="008A772A">
        <w:rPr>
          <w:rFonts w:eastAsia="Times New Roman"/>
          <w:szCs w:val="24"/>
        </w:rPr>
        <w:t>, examining all relevant evidence</w:t>
      </w:r>
      <w:r w:rsidR="00C45043">
        <w:rPr>
          <w:rFonts w:eastAsia="Times New Roman"/>
          <w:szCs w:val="24"/>
        </w:rPr>
        <w:t>.</w:t>
      </w:r>
      <w:r w:rsidR="00F4358A">
        <w:rPr>
          <w:rFonts w:eastAsia="Times New Roman"/>
          <w:szCs w:val="24"/>
        </w:rPr>
        <w:t xml:space="preserve"> The employer shall cooperate fully with the investigation</w:t>
      </w:r>
      <w:r w:rsidR="000029AF">
        <w:rPr>
          <w:rFonts w:eastAsia="Times New Roman"/>
          <w:szCs w:val="24"/>
        </w:rPr>
        <w:t>, including but not limited to securing and making available evidence.</w:t>
      </w:r>
      <w:r w:rsidR="00CC1528">
        <w:rPr>
          <w:rFonts w:eastAsia="Times New Roman"/>
          <w:szCs w:val="24"/>
        </w:rPr>
        <w:t xml:space="preserve"> The confidentiality of all participants in the investigation shall be maintained to the maximum extent possible.</w:t>
      </w:r>
    </w:p>
    <w:p w14:paraId="12DCDBE7" w14:textId="76628245" w:rsidR="00ED710D" w:rsidRPr="002F64A6" w:rsidRDefault="00425B31" w:rsidP="00C053C6">
      <w:pPr>
        <w:pStyle w:val="Blockquote"/>
      </w:pPr>
      <w:bookmarkStart w:id="47" w:name="a_2"/>
      <w:bookmarkEnd w:id="47"/>
      <w:r>
        <w:t xml:space="preserve">The designated official </w:t>
      </w:r>
      <w:r w:rsidR="00C02498">
        <w:t xml:space="preserve">shall make a final decision </w:t>
      </w:r>
      <w:r w:rsidR="001750C8">
        <w:t>whether retaliation occ</w:t>
      </w:r>
      <w:r w:rsidR="00C053C6">
        <w:t xml:space="preserve">urred. The official shall determine that a violation has occurred if the complainant has demonstrated, by a preponderance of the evidence, that </w:t>
      </w:r>
      <w:r w:rsidR="00ED710D" w:rsidRPr="002F64A6">
        <w:t>any behavior protected by this section was a contributing factor in the discrimination alleged in the complaint. Relief may not be ordered if the employer demonstrates by clear and convincing evidence that it would have taken the same unfavorable personnel action for independent, lawful reasons in the absence of such behavior.</w:t>
      </w:r>
    </w:p>
    <w:p w14:paraId="37D2142C" w14:textId="40D78E0B" w:rsidR="00ED710D" w:rsidRPr="002F64A6" w:rsidRDefault="00ED710D" w:rsidP="00536111">
      <w:pPr>
        <w:pStyle w:val="Blockquote"/>
      </w:pPr>
      <w:r w:rsidRPr="002F64A6">
        <w:rPr>
          <w:rFonts w:eastAsia="Times New Roman"/>
          <w:shd w:val="clear" w:color="auto" w:fill="FFFFFF"/>
        </w:rPr>
        <w:t xml:space="preserve">In response to a complaint, </w:t>
      </w:r>
      <w:r w:rsidRPr="002F64A6">
        <w:t xml:space="preserve">if the designated </w:t>
      </w:r>
      <w:r w:rsidR="001976B2">
        <w:t>official</w:t>
      </w:r>
      <w:r w:rsidRPr="002F64A6">
        <w:t xml:space="preserve"> finds that an employer was in violation of this standard, the designated</w:t>
      </w:r>
      <w:r w:rsidR="00DB23CF">
        <w:t xml:space="preserve"> </w:t>
      </w:r>
      <w:r w:rsidR="00DB2AD1">
        <w:t>official</w:t>
      </w:r>
      <w:r w:rsidR="00DB2AD1" w:rsidRPr="002F64A6">
        <w:t xml:space="preserve"> shall </w:t>
      </w:r>
      <w:r w:rsidR="00DB2AD1">
        <w:t xml:space="preserve">determine what remedies are appropriate, including </w:t>
      </w:r>
      <w:r w:rsidRPr="002F64A6">
        <w:t>affirmative action to abate the violation; reinstate</w:t>
      </w:r>
      <w:r w:rsidR="00C139B7">
        <w:t>ment</w:t>
      </w:r>
      <w:r w:rsidRPr="002F64A6">
        <w:t xml:space="preserve"> </w:t>
      </w:r>
      <w:r w:rsidR="00C139B7">
        <w:t xml:space="preserve">of </w:t>
      </w:r>
      <w:r w:rsidRPr="002F64A6">
        <w:t>the complainant to the former position with the same pay and terms and privileges of employment; pay</w:t>
      </w:r>
      <w:r w:rsidR="00C139B7">
        <w:t>ment of</w:t>
      </w:r>
      <w:r w:rsidRPr="002F64A6">
        <w:t xml:space="preserve"> compensatory damages, including back-pay with interest and compensation for any special damages sustained as a result of the retaliation; </w:t>
      </w:r>
      <w:r w:rsidR="00856E2F">
        <w:t xml:space="preserve">public or private </w:t>
      </w:r>
      <w:r w:rsidR="00E10492">
        <w:t xml:space="preserve">statements or announcements </w:t>
      </w:r>
      <w:r w:rsidR="00BB6329">
        <w:t>to restore the whistleblower</w:t>
      </w:r>
      <w:r w:rsidR="00DB23CF">
        <w:t>’</w:t>
      </w:r>
      <w:r w:rsidR="00BB6329">
        <w:t xml:space="preserve">s position or reputation; </w:t>
      </w:r>
      <w:r w:rsidRPr="002F64A6">
        <w:t>and any other relief necessary to make the employee whole.</w:t>
      </w:r>
      <w:r w:rsidR="00DC2E16">
        <w:t xml:space="preserve"> The designated official may also </w:t>
      </w:r>
      <w:r w:rsidR="00612055">
        <w:t>impose further protections, such as monitoring or disciplinary action for the retaliator.</w:t>
      </w:r>
    </w:p>
    <w:p w14:paraId="1E21396C" w14:textId="20512B9D" w:rsidR="0090310A" w:rsidRDefault="00CA5615" w:rsidP="00536111">
      <w:pPr>
        <w:pStyle w:val="Blockquote"/>
      </w:pPr>
      <w:r>
        <w:t>If the complaint is not satisfied with the result, t</w:t>
      </w:r>
      <w:r w:rsidR="0090310A" w:rsidRPr="002F64A6">
        <w:t xml:space="preserve">he </w:t>
      </w:r>
      <w:r w:rsidR="00144116">
        <w:t xml:space="preserve">employer </w:t>
      </w:r>
      <w:r w:rsidR="0090310A" w:rsidRPr="002F64A6">
        <w:t xml:space="preserve">designated </w:t>
      </w:r>
      <w:r w:rsidR="00144116">
        <w:t xml:space="preserve">must </w:t>
      </w:r>
      <w:r w:rsidR="0090310A" w:rsidRPr="002F64A6">
        <w:t>offer the complainant the opportunity to submit the dispute to consensus-selection, independent, binding arbitration</w:t>
      </w:r>
      <w:r w:rsidR="00BE4FF6">
        <w:t xml:space="preserve">. The arbitration shall be conducted by an </w:t>
      </w:r>
      <w:r w:rsidR="00280D67">
        <w:t xml:space="preserve">arbitrator </w:t>
      </w:r>
      <w:r w:rsidR="003E2336">
        <w:t xml:space="preserve">who is agreed upon by both the complainant and the employer, </w:t>
      </w:r>
      <w:r w:rsidR="00280D67">
        <w:t xml:space="preserve">who has </w:t>
      </w:r>
      <w:r w:rsidR="003E2336">
        <w:t xml:space="preserve">no </w:t>
      </w:r>
      <w:r w:rsidR="00D0641D">
        <w:t>real or apparent conflicts of interest</w:t>
      </w:r>
      <w:r w:rsidR="003E2336">
        <w:t>,</w:t>
      </w:r>
      <w:r w:rsidR="00D0641D">
        <w:t xml:space="preserve"> and </w:t>
      </w:r>
      <w:r w:rsidR="003E2336">
        <w:t xml:space="preserve">who </w:t>
      </w:r>
      <w:r w:rsidR="006458D0">
        <w:t xml:space="preserve">has </w:t>
      </w:r>
      <w:r w:rsidR="00280D67">
        <w:t xml:space="preserve">no </w:t>
      </w:r>
      <w:r w:rsidR="006F2E88">
        <w:t>personal or professional relationship with the employer, the whistleblower</w:t>
      </w:r>
      <w:r w:rsidR="003E2336">
        <w:t xml:space="preserve">, </w:t>
      </w:r>
      <w:r w:rsidR="006F2E88">
        <w:t>the alleged retaliator</w:t>
      </w:r>
      <w:r w:rsidR="001D590D">
        <w:t>, or any person who is a subject of the investigation</w:t>
      </w:r>
      <w:r w:rsidR="0090310A" w:rsidRPr="002F64A6">
        <w:t>.</w:t>
      </w:r>
      <w:r w:rsidR="006458D0">
        <w:t xml:space="preserve"> </w:t>
      </w:r>
      <w:r w:rsidR="00AD6E54">
        <w:t xml:space="preserve">The employer and the whistleblower shall share the costs of the arbitration, but the </w:t>
      </w:r>
      <w:r w:rsidR="006265BD">
        <w:t xml:space="preserve">arbitration </w:t>
      </w:r>
      <w:r w:rsidR="006265BD">
        <w:lastRenderedPageBreak/>
        <w:t>agreement shall specify that the arbitrator shall require the employer to compensate the whistleblower for all of his or her arbitration costs</w:t>
      </w:r>
      <w:r w:rsidR="00755AFA">
        <w:t>, including attorney</w:t>
      </w:r>
      <w:r w:rsidR="006265BD">
        <w:t xml:space="preserve"> fees, </w:t>
      </w:r>
      <w:r w:rsidR="00755AFA">
        <w:t xml:space="preserve">if the arbitrator finds in favor of the </w:t>
      </w:r>
      <w:r w:rsidR="00E9467D">
        <w:t>whistleblower</w:t>
      </w:r>
      <w:r w:rsidR="00755AFA">
        <w:t>.</w:t>
      </w:r>
    </w:p>
    <w:p w14:paraId="2CDAAFC6" w14:textId="4509D33A" w:rsidR="00ED710D" w:rsidRPr="002F64A6" w:rsidRDefault="00ED710D" w:rsidP="00536111">
      <w:pPr>
        <w:pStyle w:val="Blockquote"/>
      </w:pPr>
      <w:r w:rsidRPr="002F64A6">
        <w:t>The rights and remedies provided for in this section may not be waived by any agreement, policy form, or condition of employment, including by a pre-dispute arbitration agreement.</w:t>
      </w:r>
      <w:r w:rsidR="006E07EF">
        <w:t xml:space="preserve"> </w:t>
      </w:r>
      <w:r w:rsidR="006E07EF" w:rsidRPr="006E07EF">
        <w:t xml:space="preserve">Nothing in this section preempts or </w:t>
      </w:r>
      <w:r w:rsidR="006E07EF">
        <w:t xml:space="preserve">in any other way </w:t>
      </w:r>
      <w:r w:rsidR="006E07EF" w:rsidRPr="006E07EF">
        <w:t xml:space="preserve">diminishes any </w:t>
      </w:r>
      <w:r w:rsidR="006E07EF">
        <w:t xml:space="preserve">employee rights or </w:t>
      </w:r>
      <w:r w:rsidR="009664A4">
        <w:t xml:space="preserve">any other </w:t>
      </w:r>
      <w:r w:rsidR="006E07EF" w:rsidRPr="006E07EF">
        <w:t>safeguards against discrimination, demotion, discharge, suspension, threats, harassment, reprimand</w:t>
      </w:r>
      <w:r w:rsidR="00E70E18">
        <w:t xml:space="preserve">, </w:t>
      </w:r>
      <w:r w:rsidR="006E07EF" w:rsidRPr="006E07EF">
        <w:t xml:space="preserve">or any other manner of </w:t>
      </w:r>
      <w:r w:rsidR="00E70E18">
        <w:t xml:space="preserve">retaliation </w:t>
      </w:r>
      <w:r w:rsidR="006E07EF" w:rsidRPr="006E07EF">
        <w:t xml:space="preserve">provided by </w:t>
      </w:r>
      <w:r w:rsidR="005614B4">
        <w:t>f</w:t>
      </w:r>
      <w:r w:rsidR="006E07EF" w:rsidRPr="006E07EF">
        <w:t xml:space="preserve">ederal or </w:t>
      </w:r>
      <w:r w:rsidR="005614B4">
        <w:t>s</w:t>
      </w:r>
      <w:r w:rsidR="006E07EF" w:rsidRPr="006E07EF">
        <w:t>tate law.</w:t>
      </w:r>
    </w:p>
    <w:p w14:paraId="03866329" w14:textId="17312F77" w:rsidR="00ED710D" w:rsidRPr="002F64A6" w:rsidRDefault="00ED710D" w:rsidP="00ED710D">
      <w:pPr>
        <w:spacing w:after="0"/>
        <w:rPr>
          <w:szCs w:val="24"/>
        </w:rPr>
      </w:pPr>
      <w:r w:rsidRPr="002F64A6">
        <w:rPr>
          <w:szCs w:val="24"/>
        </w:rPr>
        <w:t>This model language generally reflects best-practice provisions included in OSHA-administered whistleblower statutes enacted since 2000, including the Wendell H. Ford Aviation Investment and Reform Act for the 21st Century, the Moving Ahead for Progress in the 21st Century Act, the Pipeline Safety Improvement Act, the Sarbanes-Oxley Act, Energy Reorganization Act, the Surface Transportation Assistance Act, the Federal Railroad Safety Act, the National Transit Systems Security Act, the Consumer Product Safety Improvement Act, the Seaman</w:t>
      </w:r>
      <w:r w:rsidR="00DB23CF">
        <w:rPr>
          <w:szCs w:val="24"/>
        </w:rPr>
        <w:t>’</w:t>
      </w:r>
      <w:r w:rsidRPr="002F64A6">
        <w:rPr>
          <w:szCs w:val="24"/>
        </w:rPr>
        <w:t xml:space="preserve">s Protection Act, </w:t>
      </w:r>
      <w:r w:rsidR="00CC36CA" w:rsidRPr="002F64A6">
        <w:rPr>
          <w:szCs w:val="24"/>
        </w:rPr>
        <w:t xml:space="preserve">and </w:t>
      </w:r>
      <w:r w:rsidRPr="002F64A6">
        <w:rPr>
          <w:szCs w:val="24"/>
        </w:rPr>
        <w:t>the FDA Food Safety Modernization Act.</w:t>
      </w:r>
    </w:p>
    <w:p w14:paraId="11343BB5" w14:textId="787D096B" w:rsidR="00ED710D" w:rsidRPr="002F64A6" w:rsidRDefault="00352564" w:rsidP="004C7A5A">
      <w:pPr>
        <w:pStyle w:val="L1"/>
      </w:pPr>
      <w:bookmarkStart w:id="48" w:name="_Toc518979508"/>
      <w:r>
        <w:t>Petition r</w:t>
      </w:r>
      <w:r w:rsidR="00ED710D" w:rsidRPr="002F64A6">
        <w:t>equests</w:t>
      </w:r>
      <w:bookmarkEnd w:id="48"/>
    </w:p>
    <w:p w14:paraId="1BE34FCB" w14:textId="7D7F088D" w:rsidR="00ED710D" w:rsidRPr="00FC59EA" w:rsidRDefault="00ED710D" w:rsidP="00BE096D">
      <w:r w:rsidRPr="00FC59EA">
        <w:t xml:space="preserve">Given the clear evidence on the risks of heat stress for both outdoor and indoor workers and the demonstrated feasibility of a protective regulation protecting workers from these dangers, </w:t>
      </w:r>
      <w:r w:rsidR="0047314A" w:rsidRPr="00FC59EA">
        <w:t xml:space="preserve">citing evidence from </w:t>
      </w:r>
      <w:r w:rsidR="0047314A" w:rsidRPr="002F64A6">
        <w:rPr>
          <w:rFonts w:asciiTheme="majorBidi" w:hAnsiTheme="majorBidi" w:cstheme="majorBidi"/>
          <w:bCs/>
          <w:szCs w:val="24"/>
        </w:rPr>
        <w:t xml:space="preserve">a </w:t>
      </w:r>
      <w:r w:rsidR="0047314A" w:rsidRPr="00FC59EA">
        <w:t>state</w:t>
      </w:r>
      <w:r w:rsidR="0047314A" w:rsidRPr="002F64A6">
        <w:rPr>
          <w:rFonts w:asciiTheme="majorBidi" w:hAnsiTheme="majorBidi" w:cstheme="majorBidi"/>
          <w:bCs/>
          <w:szCs w:val="24"/>
        </w:rPr>
        <w:t xml:space="preserve"> such as California and the </w:t>
      </w:r>
      <w:r w:rsidR="00052920">
        <w:rPr>
          <w:rFonts w:asciiTheme="majorBidi" w:hAnsiTheme="majorBidi" w:cstheme="majorBidi"/>
          <w:bCs/>
          <w:szCs w:val="24"/>
        </w:rPr>
        <w:t>m</w:t>
      </w:r>
      <w:r w:rsidR="0047314A" w:rsidRPr="002F64A6">
        <w:rPr>
          <w:rFonts w:asciiTheme="majorBidi" w:hAnsiTheme="majorBidi" w:cstheme="majorBidi"/>
          <w:bCs/>
          <w:szCs w:val="24"/>
        </w:rPr>
        <w:t xml:space="preserve">ilitary, </w:t>
      </w:r>
      <w:r w:rsidRPr="00FC59EA">
        <w:t>there is no valid</w:t>
      </w:r>
      <w:r w:rsidR="0047314A" w:rsidRPr="002F64A6">
        <w:rPr>
          <w:rFonts w:asciiTheme="majorBidi" w:hAnsiTheme="majorBidi" w:cstheme="majorBidi"/>
          <w:bCs/>
          <w:szCs w:val="24"/>
        </w:rPr>
        <w:t>, evidence-based</w:t>
      </w:r>
      <w:r w:rsidRPr="00FC59EA">
        <w:t xml:space="preserve"> reason for OSHA not to immediately initiate the rulemaking process for a federal heat stress standard. We request that such a standard include all of the measures recommended in detail by NIOSH in its 2016 Criteria for a Recommended Standard for heat stress, in addition to a robust whistleblower protection provision </w:t>
      </w:r>
      <w:r w:rsidR="00B2785E">
        <w:t xml:space="preserve">to </w:t>
      </w:r>
      <w:r w:rsidRPr="00FC59EA">
        <w:t>help ensure that the standard</w:t>
      </w:r>
      <w:r w:rsidR="00DB23CF">
        <w:t>’</w:t>
      </w:r>
      <w:r w:rsidRPr="00FC59EA">
        <w:t xml:space="preserve">s provisions are complied with. These requested provisions are as follows (see Section </w:t>
      </w:r>
      <w:r w:rsidR="00C82B25">
        <w:t>V</w:t>
      </w:r>
      <w:r w:rsidRPr="00FC59EA">
        <w:t>. NIOSH Criteria for a Recommended Standard section of the petition for details of each provision):</w:t>
      </w:r>
    </w:p>
    <w:p w14:paraId="7A78EBB2" w14:textId="5840AAF7" w:rsidR="00ED710D" w:rsidRPr="002F64A6" w:rsidRDefault="00ED710D" w:rsidP="00ED710D">
      <w:pPr>
        <w:numPr>
          <w:ilvl w:val="0"/>
          <w:numId w:val="33"/>
        </w:numPr>
        <w:rPr>
          <w:rFonts w:asciiTheme="majorBidi" w:hAnsiTheme="majorBidi" w:cstheme="majorBidi"/>
          <w:b/>
          <w:szCs w:val="24"/>
          <w:u w:val="single"/>
        </w:rPr>
      </w:pPr>
      <w:r w:rsidRPr="002F64A6">
        <w:rPr>
          <w:rFonts w:asciiTheme="majorBidi" w:hAnsiTheme="majorBidi" w:cstheme="majorBidi"/>
          <w:b/>
          <w:szCs w:val="24"/>
          <w:u w:val="single"/>
        </w:rPr>
        <w:t>Heat stress thresholds</w:t>
      </w:r>
      <w:r w:rsidRPr="002F64A6">
        <w:rPr>
          <w:rFonts w:asciiTheme="majorBidi" w:hAnsiTheme="majorBidi" w:cstheme="majorBidi"/>
          <w:bCs/>
          <w:szCs w:val="24"/>
        </w:rPr>
        <w:t>: At NIOSH</w:t>
      </w:r>
      <w:r w:rsidR="00DB23CF">
        <w:rPr>
          <w:rFonts w:asciiTheme="majorBidi" w:hAnsiTheme="majorBidi" w:cstheme="majorBidi"/>
          <w:bCs/>
          <w:szCs w:val="24"/>
        </w:rPr>
        <w:t>’</w:t>
      </w:r>
      <w:r w:rsidRPr="002F64A6">
        <w:rPr>
          <w:rFonts w:asciiTheme="majorBidi" w:hAnsiTheme="majorBidi" w:cstheme="majorBidi"/>
          <w:bCs/>
          <w:szCs w:val="24"/>
        </w:rPr>
        <w:t>s REL/RAL, employers would be required to initiate robust protective measures. These include:</w:t>
      </w:r>
    </w:p>
    <w:p w14:paraId="0BF6FA69" w14:textId="77777777" w:rsidR="00ED710D" w:rsidRPr="002F64A6" w:rsidRDefault="00ED710D" w:rsidP="00ED710D">
      <w:pPr>
        <w:numPr>
          <w:ilvl w:val="1"/>
          <w:numId w:val="33"/>
        </w:numPr>
        <w:rPr>
          <w:rFonts w:asciiTheme="majorBidi" w:hAnsiTheme="majorBidi" w:cstheme="majorBidi"/>
          <w:b/>
          <w:szCs w:val="24"/>
          <w:u w:val="single"/>
        </w:rPr>
      </w:pPr>
      <w:r w:rsidRPr="002F64A6">
        <w:rPr>
          <w:rFonts w:asciiTheme="majorBidi" w:hAnsiTheme="majorBidi" w:cstheme="majorBidi"/>
          <w:b/>
          <w:szCs w:val="24"/>
          <w:u w:val="single"/>
        </w:rPr>
        <w:t>Mandatory rest breaks</w:t>
      </w:r>
      <w:r w:rsidRPr="002F64A6">
        <w:rPr>
          <w:rFonts w:asciiTheme="majorBidi" w:hAnsiTheme="majorBidi" w:cstheme="majorBidi"/>
          <w:bCs/>
          <w:szCs w:val="24"/>
        </w:rPr>
        <w:t>: These should range in duration from 15 to 45 minutes per hour, away from the hot environment. At certain WBGT heat levels, work must be stopped entirely.</w:t>
      </w:r>
    </w:p>
    <w:p w14:paraId="71212365" w14:textId="039E6331" w:rsidR="00ED710D" w:rsidRPr="00153EAD" w:rsidRDefault="00ED710D" w:rsidP="00ED710D">
      <w:pPr>
        <w:numPr>
          <w:ilvl w:val="1"/>
          <w:numId w:val="33"/>
        </w:numPr>
        <w:rPr>
          <w:rFonts w:asciiTheme="majorBidi" w:hAnsiTheme="majorBidi" w:cstheme="majorBidi"/>
          <w:b/>
          <w:szCs w:val="24"/>
          <w:u w:val="single"/>
        </w:rPr>
      </w:pPr>
      <w:r w:rsidRPr="002F64A6">
        <w:rPr>
          <w:rFonts w:asciiTheme="majorBidi" w:hAnsiTheme="majorBidi" w:cstheme="majorBidi"/>
          <w:b/>
          <w:szCs w:val="24"/>
          <w:u w:val="single"/>
        </w:rPr>
        <w:t>Shade</w:t>
      </w:r>
      <w:r w:rsidRPr="002F64A6">
        <w:rPr>
          <w:rFonts w:asciiTheme="majorBidi" w:hAnsiTheme="majorBidi" w:cstheme="majorBidi"/>
          <w:bCs/>
          <w:szCs w:val="24"/>
        </w:rPr>
        <w:t>: In outdoor environments, employers must provide access to sufficient areas of shade, both during the rest breaks. In addition, we request that shaded areas be provided to all workers upon request.</w:t>
      </w:r>
    </w:p>
    <w:p w14:paraId="66402863" w14:textId="77777777" w:rsidR="00153EAD" w:rsidRPr="002F64A6" w:rsidRDefault="00153EAD" w:rsidP="00153EAD">
      <w:pPr>
        <w:pStyle w:val="Bullet2"/>
        <w:rPr>
          <w:b/>
          <w:u w:val="single"/>
        </w:rPr>
      </w:pPr>
      <w:r w:rsidRPr="002F64A6">
        <w:rPr>
          <w:b/>
          <w:u w:val="single"/>
        </w:rPr>
        <w:t>PPE</w:t>
      </w:r>
      <w:r w:rsidRPr="002F64A6">
        <w:t>: Employers must provide PPE (e.g., water-cooled garments, air-cooled garments, or cooling vests)</w:t>
      </w:r>
      <w:r>
        <w:t xml:space="preserve">, </w:t>
      </w:r>
      <w:r w:rsidRPr="00F5019F">
        <w:t>light-colored, breathable fabric garments</w:t>
      </w:r>
      <w:r>
        <w:t xml:space="preserve"> where workplace conditions permit, </w:t>
      </w:r>
      <w:r w:rsidRPr="002F64A6">
        <w:t>to protect workers from heat-related illness, at all times when total heat stress load reaches the RAL/REL, especially during mandatory rest breaks.</w:t>
      </w:r>
    </w:p>
    <w:p w14:paraId="1F57BB7A" w14:textId="43FE47BF" w:rsidR="00ED710D" w:rsidRPr="002F64A6" w:rsidRDefault="00ED710D" w:rsidP="00ED710D">
      <w:pPr>
        <w:numPr>
          <w:ilvl w:val="0"/>
          <w:numId w:val="33"/>
        </w:numPr>
        <w:rPr>
          <w:rFonts w:asciiTheme="majorBidi" w:hAnsiTheme="majorBidi" w:cstheme="majorBidi"/>
          <w:b/>
          <w:szCs w:val="24"/>
          <w:u w:val="single"/>
        </w:rPr>
      </w:pPr>
      <w:r w:rsidRPr="002F64A6">
        <w:rPr>
          <w:rFonts w:asciiTheme="majorBidi" w:hAnsiTheme="majorBidi" w:cstheme="majorBidi"/>
          <w:b/>
          <w:szCs w:val="24"/>
          <w:u w:val="single"/>
        </w:rPr>
        <w:lastRenderedPageBreak/>
        <w:t>Hydration</w:t>
      </w:r>
      <w:r w:rsidRPr="002F64A6">
        <w:rPr>
          <w:rFonts w:asciiTheme="majorBidi" w:hAnsiTheme="majorBidi" w:cstheme="majorBidi"/>
          <w:b/>
          <w:szCs w:val="24"/>
        </w:rPr>
        <w:t>:</w:t>
      </w:r>
      <w:r w:rsidRPr="002F64A6">
        <w:rPr>
          <w:rFonts w:asciiTheme="majorBidi" w:hAnsiTheme="majorBidi" w:cstheme="majorBidi"/>
          <w:bCs/>
          <w:szCs w:val="24"/>
        </w:rPr>
        <w:t xml:space="preserve"> Workers must be given access</w:t>
      </w:r>
      <w:r w:rsidR="006141CD">
        <w:rPr>
          <w:rFonts w:asciiTheme="majorBidi" w:hAnsiTheme="majorBidi" w:cstheme="majorBidi"/>
          <w:bCs/>
          <w:szCs w:val="24"/>
        </w:rPr>
        <w:t>—</w:t>
      </w:r>
      <w:r w:rsidRPr="002F64A6">
        <w:rPr>
          <w:rFonts w:asciiTheme="majorBidi" w:hAnsiTheme="majorBidi" w:cstheme="majorBidi"/>
          <w:bCs/>
          <w:szCs w:val="24"/>
        </w:rPr>
        <w:t>at no cost to themselves</w:t>
      </w:r>
      <w:r w:rsidR="006141CD">
        <w:rPr>
          <w:rFonts w:asciiTheme="majorBidi" w:hAnsiTheme="majorBidi" w:cstheme="majorBidi"/>
          <w:bCs/>
          <w:szCs w:val="24"/>
        </w:rPr>
        <w:t>—</w:t>
      </w:r>
      <w:r w:rsidRPr="002F64A6">
        <w:rPr>
          <w:rFonts w:asciiTheme="majorBidi" w:hAnsiTheme="majorBidi" w:cstheme="majorBidi"/>
          <w:bCs/>
          <w:szCs w:val="24"/>
        </w:rPr>
        <w:t>to recommended quantities of water and electrolytes sufficient to maintain adequate levels of hydration at varying levels of heat.</w:t>
      </w:r>
    </w:p>
    <w:p w14:paraId="03BFEC73" w14:textId="43D964E4" w:rsidR="00ED710D" w:rsidRPr="002F64A6" w:rsidRDefault="00ED710D" w:rsidP="00ED710D">
      <w:pPr>
        <w:numPr>
          <w:ilvl w:val="0"/>
          <w:numId w:val="33"/>
        </w:numPr>
        <w:rPr>
          <w:rFonts w:asciiTheme="majorBidi" w:hAnsiTheme="majorBidi" w:cstheme="majorBidi"/>
          <w:szCs w:val="24"/>
        </w:rPr>
      </w:pPr>
      <w:r w:rsidRPr="002F64A6">
        <w:rPr>
          <w:rFonts w:asciiTheme="majorBidi" w:hAnsiTheme="majorBidi" w:cstheme="majorBidi"/>
          <w:b/>
          <w:szCs w:val="24"/>
          <w:u w:val="single"/>
        </w:rPr>
        <w:t>Heat acclimatization plan</w:t>
      </w:r>
      <w:r w:rsidRPr="002F64A6">
        <w:rPr>
          <w:rFonts w:asciiTheme="majorBidi" w:hAnsiTheme="majorBidi" w:cstheme="majorBidi"/>
          <w:b/>
          <w:szCs w:val="24"/>
        </w:rPr>
        <w:t>:</w:t>
      </w:r>
      <w:r w:rsidRPr="002F64A6">
        <w:rPr>
          <w:rFonts w:asciiTheme="majorBidi" w:hAnsiTheme="majorBidi" w:cstheme="majorBidi"/>
          <w:bCs/>
          <w:szCs w:val="24"/>
        </w:rPr>
        <w:t xml:space="preserve"> All workers beginning work in high-heat environments, or who will be working in hotter conditions than usual (e.g.</w:t>
      </w:r>
      <w:r w:rsidR="002A0CBB" w:rsidRPr="002F64A6">
        <w:rPr>
          <w:rFonts w:asciiTheme="majorBidi" w:hAnsiTheme="majorBidi" w:cstheme="majorBidi"/>
          <w:bCs/>
          <w:szCs w:val="24"/>
        </w:rPr>
        <w:t>,</w:t>
      </w:r>
      <w:r w:rsidRPr="002F64A6">
        <w:rPr>
          <w:rFonts w:asciiTheme="majorBidi" w:hAnsiTheme="majorBidi" w:cstheme="majorBidi"/>
          <w:bCs/>
          <w:szCs w:val="24"/>
        </w:rPr>
        <w:t xml:space="preserve"> during a heat wave), must be gradually acclimatized to the work over a period of at least 7</w:t>
      </w:r>
      <w:r w:rsidR="001804B2">
        <w:rPr>
          <w:rFonts w:asciiTheme="majorBidi" w:hAnsiTheme="majorBidi" w:cstheme="majorBidi"/>
          <w:bCs/>
          <w:szCs w:val="24"/>
        </w:rPr>
        <w:t xml:space="preserve"> to </w:t>
      </w:r>
      <w:r w:rsidRPr="002F64A6">
        <w:rPr>
          <w:rFonts w:asciiTheme="majorBidi" w:hAnsiTheme="majorBidi" w:cstheme="majorBidi"/>
          <w:bCs/>
          <w:szCs w:val="24"/>
        </w:rPr>
        <w:t>14 days.</w:t>
      </w:r>
    </w:p>
    <w:p w14:paraId="74DEA2EF" w14:textId="77777777" w:rsidR="00ED710D" w:rsidRPr="002F64A6" w:rsidRDefault="00ED710D" w:rsidP="00ED710D">
      <w:pPr>
        <w:numPr>
          <w:ilvl w:val="0"/>
          <w:numId w:val="33"/>
        </w:numPr>
        <w:rPr>
          <w:rFonts w:asciiTheme="majorBidi" w:hAnsiTheme="majorBidi" w:cstheme="majorBidi"/>
          <w:b/>
          <w:bCs/>
          <w:szCs w:val="24"/>
          <w:u w:val="single"/>
        </w:rPr>
      </w:pPr>
      <w:r w:rsidRPr="002F64A6">
        <w:rPr>
          <w:rFonts w:asciiTheme="majorBidi" w:hAnsiTheme="majorBidi" w:cstheme="majorBidi"/>
          <w:b/>
          <w:szCs w:val="24"/>
          <w:u w:val="single"/>
        </w:rPr>
        <w:t>Exposure monitoring</w:t>
      </w:r>
      <w:r w:rsidRPr="002F64A6">
        <w:rPr>
          <w:rFonts w:asciiTheme="majorBidi" w:hAnsiTheme="majorBidi" w:cstheme="majorBidi"/>
          <w:b/>
          <w:szCs w:val="24"/>
        </w:rPr>
        <w:t>:</w:t>
      </w:r>
      <w:r w:rsidRPr="002F64A6">
        <w:rPr>
          <w:rFonts w:asciiTheme="majorBidi" w:hAnsiTheme="majorBidi" w:cstheme="majorBidi"/>
          <w:bCs/>
          <w:szCs w:val="24"/>
        </w:rPr>
        <w:t xml:space="preserve"> Employers must monitor both environmental heat exposure and employee workloads to ensure that no worker is exposed to heat stress at or above the RAL/REL.</w:t>
      </w:r>
    </w:p>
    <w:p w14:paraId="1C1D9CA5" w14:textId="77777777" w:rsidR="00ED710D" w:rsidRPr="002F64A6" w:rsidRDefault="00ED710D" w:rsidP="00ED710D">
      <w:pPr>
        <w:numPr>
          <w:ilvl w:val="0"/>
          <w:numId w:val="34"/>
        </w:numPr>
        <w:rPr>
          <w:rFonts w:asciiTheme="majorBidi" w:hAnsiTheme="majorBidi" w:cstheme="majorBidi"/>
          <w:szCs w:val="24"/>
        </w:rPr>
      </w:pPr>
      <w:r w:rsidRPr="002F64A6">
        <w:rPr>
          <w:rFonts w:asciiTheme="majorBidi" w:hAnsiTheme="majorBidi" w:cstheme="majorBidi"/>
          <w:b/>
          <w:szCs w:val="24"/>
          <w:u w:val="single"/>
        </w:rPr>
        <w:t>Medical monitoring</w:t>
      </w:r>
      <w:r w:rsidRPr="002F64A6">
        <w:rPr>
          <w:rFonts w:asciiTheme="majorBidi" w:hAnsiTheme="majorBidi" w:cstheme="majorBidi"/>
          <w:b/>
          <w:szCs w:val="24"/>
        </w:rPr>
        <w:t>:</w:t>
      </w:r>
      <w:r w:rsidRPr="002F64A6">
        <w:rPr>
          <w:rFonts w:asciiTheme="majorBidi" w:hAnsiTheme="majorBidi" w:cstheme="majorBidi"/>
          <w:bCs/>
          <w:szCs w:val="24"/>
        </w:rPr>
        <w:t xml:space="preserve"> Employers must institute a medical monitoring program for all workers who are or may be exposed to heat stress at or above the RAL/REL. </w:t>
      </w:r>
    </w:p>
    <w:p w14:paraId="370F161F" w14:textId="77777777" w:rsidR="00ED710D" w:rsidRPr="002F64A6" w:rsidRDefault="00ED710D" w:rsidP="00ED710D">
      <w:pPr>
        <w:numPr>
          <w:ilvl w:val="0"/>
          <w:numId w:val="34"/>
        </w:numPr>
        <w:rPr>
          <w:rFonts w:asciiTheme="majorBidi" w:hAnsiTheme="majorBidi" w:cstheme="majorBidi"/>
          <w:szCs w:val="24"/>
        </w:rPr>
      </w:pPr>
      <w:r w:rsidRPr="002F64A6">
        <w:rPr>
          <w:rFonts w:asciiTheme="majorBidi" w:hAnsiTheme="majorBidi" w:cstheme="majorBidi"/>
          <w:b/>
          <w:bCs/>
          <w:szCs w:val="24"/>
          <w:u w:val="single"/>
        </w:rPr>
        <w:t>Hazard notification</w:t>
      </w:r>
      <w:r w:rsidRPr="002F64A6">
        <w:rPr>
          <w:rFonts w:asciiTheme="majorBidi" w:hAnsiTheme="majorBidi" w:cstheme="majorBidi"/>
          <w:b/>
          <w:bCs/>
          <w:szCs w:val="24"/>
        </w:rPr>
        <w:t>:</w:t>
      </w:r>
      <w:r w:rsidRPr="002F64A6">
        <w:rPr>
          <w:rFonts w:asciiTheme="majorBidi" w:hAnsiTheme="majorBidi" w:cstheme="majorBidi"/>
          <w:szCs w:val="24"/>
        </w:rPr>
        <w:t xml:space="preserve"> Employers must post prominent signs, in all relevant languages, in high-heat areas warning of the dangers of heat stress.</w:t>
      </w:r>
    </w:p>
    <w:p w14:paraId="58D0753B" w14:textId="77777777" w:rsidR="00ED710D" w:rsidRPr="002F64A6" w:rsidRDefault="00ED710D" w:rsidP="00ED710D">
      <w:pPr>
        <w:numPr>
          <w:ilvl w:val="0"/>
          <w:numId w:val="34"/>
        </w:numPr>
        <w:rPr>
          <w:rFonts w:asciiTheme="majorBidi" w:hAnsiTheme="majorBidi" w:cstheme="majorBidi"/>
          <w:szCs w:val="24"/>
        </w:rPr>
      </w:pPr>
      <w:r w:rsidRPr="002F64A6">
        <w:rPr>
          <w:rFonts w:asciiTheme="majorBidi" w:hAnsiTheme="majorBidi" w:cstheme="majorBidi"/>
          <w:b/>
          <w:bCs/>
          <w:szCs w:val="24"/>
          <w:u w:val="single"/>
        </w:rPr>
        <w:t>Heat Alert Program</w:t>
      </w:r>
      <w:r w:rsidRPr="002F64A6">
        <w:rPr>
          <w:rFonts w:asciiTheme="majorBidi" w:hAnsiTheme="majorBidi" w:cstheme="majorBidi"/>
          <w:b/>
          <w:bCs/>
          <w:szCs w:val="24"/>
        </w:rPr>
        <w:t xml:space="preserve">: </w:t>
      </w:r>
      <w:r w:rsidRPr="002F64A6">
        <w:rPr>
          <w:rFonts w:asciiTheme="majorBidi" w:hAnsiTheme="majorBidi" w:cstheme="majorBidi"/>
          <w:szCs w:val="24"/>
        </w:rPr>
        <w:t>Employers must develop a written Heat Alert Program to be implemented whenever the National Weather Service or other authoritative weather service forecasts a heat wave in the coming day or days.</w:t>
      </w:r>
    </w:p>
    <w:p w14:paraId="502E4DB2" w14:textId="63A613F9" w:rsidR="00ED710D" w:rsidRPr="002F64A6" w:rsidRDefault="005718A4" w:rsidP="00ED710D">
      <w:pPr>
        <w:numPr>
          <w:ilvl w:val="0"/>
          <w:numId w:val="34"/>
        </w:numPr>
        <w:rPr>
          <w:rFonts w:asciiTheme="majorBidi" w:hAnsiTheme="majorBidi" w:cstheme="majorBidi"/>
          <w:szCs w:val="24"/>
        </w:rPr>
      </w:pPr>
      <w:r>
        <w:rPr>
          <w:rFonts w:asciiTheme="majorBidi" w:hAnsiTheme="majorBidi" w:cstheme="majorBidi"/>
          <w:b/>
          <w:bCs/>
          <w:szCs w:val="24"/>
          <w:u w:val="single"/>
        </w:rPr>
        <w:t>Instructor-led w</w:t>
      </w:r>
      <w:r w:rsidR="00ED710D" w:rsidRPr="002F64A6">
        <w:rPr>
          <w:rFonts w:asciiTheme="majorBidi" w:hAnsiTheme="majorBidi" w:cstheme="majorBidi"/>
          <w:b/>
          <w:bCs/>
          <w:szCs w:val="24"/>
          <w:u w:val="single"/>
        </w:rPr>
        <w:t>orker information and training</w:t>
      </w:r>
      <w:r w:rsidR="00ED710D" w:rsidRPr="002F64A6">
        <w:rPr>
          <w:rFonts w:asciiTheme="majorBidi" w:hAnsiTheme="majorBidi" w:cstheme="majorBidi"/>
          <w:b/>
          <w:bCs/>
          <w:szCs w:val="24"/>
        </w:rPr>
        <w:t>:</w:t>
      </w:r>
      <w:r w:rsidR="00ED710D" w:rsidRPr="002F64A6">
        <w:rPr>
          <w:rFonts w:asciiTheme="majorBidi" w:hAnsiTheme="majorBidi" w:cstheme="majorBidi"/>
          <w:szCs w:val="24"/>
        </w:rPr>
        <w:t xml:space="preserve"> All workers and supervisors who work in areas where there is a reasonable likelihood of heat injury must be trained </w:t>
      </w:r>
      <w:r w:rsidR="00331FC0">
        <w:rPr>
          <w:rFonts w:asciiTheme="majorBidi" w:hAnsiTheme="majorBidi" w:cstheme="majorBidi"/>
          <w:szCs w:val="24"/>
        </w:rPr>
        <w:t>by qualified instructors</w:t>
      </w:r>
      <w:r w:rsidR="00331FC0" w:rsidRPr="002F64A6">
        <w:rPr>
          <w:rFonts w:asciiTheme="majorBidi" w:hAnsiTheme="majorBidi" w:cstheme="majorBidi"/>
          <w:szCs w:val="24"/>
        </w:rPr>
        <w:t xml:space="preserve"> </w:t>
      </w:r>
      <w:r w:rsidR="00ED710D" w:rsidRPr="002F64A6">
        <w:rPr>
          <w:rFonts w:asciiTheme="majorBidi" w:hAnsiTheme="majorBidi" w:cstheme="majorBidi"/>
          <w:szCs w:val="24"/>
        </w:rPr>
        <w:t>on measures to prevent and mitigate the risk. A written training program must be developed to serve as the basis for this training.</w:t>
      </w:r>
    </w:p>
    <w:p w14:paraId="1B6789C5" w14:textId="77777777" w:rsidR="00ED710D" w:rsidRPr="002F64A6" w:rsidRDefault="00ED710D" w:rsidP="00ED710D">
      <w:pPr>
        <w:numPr>
          <w:ilvl w:val="0"/>
          <w:numId w:val="34"/>
        </w:numPr>
        <w:rPr>
          <w:rFonts w:asciiTheme="majorBidi" w:hAnsiTheme="majorBidi" w:cstheme="majorBidi"/>
          <w:b/>
          <w:bCs/>
          <w:i/>
          <w:iCs/>
          <w:szCs w:val="24"/>
        </w:rPr>
      </w:pPr>
      <w:r w:rsidRPr="002F64A6">
        <w:rPr>
          <w:rFonts w:asciiTheme="majorBidi" w:hAnsiTheme="majorBidi" w:cstheme="majorBidi"/>
          <w:b/>
          <w:szCs w:val="24"/>
          <w:u w:val="single"/>
        </w:rPr>
        <w:t>Heat-related surveillance and recordkeeping</w:t>
      </w:r>
      <w:r w:rsidRPr="002F64A6">
        <w:rPr>
          <w:rFonts w:asciiTheme="majorBidi" w:hAnsiTheme="majorBidi" w:cstheme="majorBidi"/>
          <w:bCs/>
          <w:szCs w:val="24"/>
        </w:rPr>
        <w:t>: Employers should proactively obtain and analyze data on all heat-related injuries and deaths, environmental and physiological measurements related to heat, and other heat-related information. This information, in addition to medical monitoring data, acclimatization plans, and other key information related to the recommended heat stress standard should be recorded and made available to OSHA.</w:t>
      </w:r>
    </w:p>
    <w:p w14:paraId="6E1D17D1" w14:textId="3F0C18A2" w:rsidR="00ED710D" w:rsidRPr="002F64A6" w:rsidRDefault="00ED710D" w:rsidP="00192A92">
      <w:pPr>
        <w:pStyle w:val="Bullet1"/>
        <w:rPr>
          <w:b/>
        </w:rPr>
      </w:pPr>
      <w:r w:rsidRPr="002F64A6">
        <w:rPr>
          <w:b/>
          <w:u w:val="single"/>
        </w:rPr>
        <w:t>Whistleblower protection</w:t>
      </w:r>
      <w:r w:rsidR="00106755">
        <w:rPr>
          <w:b/>
          <w:u w:val="single"/>
        </w:rPr>
        <w:t>s</w:t>
      </w:r>
      <w:r w:rsidRPr="002F64A6">
        <w:rPr>
          <w:b/>
        </w:rPr>
        <w:t>:</w:t>
      </w:r>
      <w:r w:rsidRPr="002F64A6">
        <w:t xml:space="preserve"> </w:t>
      </w:r>
      <w:r w:rsidR="00D90267" w:rsidRPr="002F64A6">
        <w:t>Each employer must institute an independent whistleblower protection program for employees and supervisors to report violations of the heat stress standard. OSHA should provide criteria or model language to serve as the basis for the whistleblower protection programs.</w:t>
      </w:r>
    </w:p>
    <w:p w14:paraId="6D27912D" w14:textId="20ADF1FD" w:rsidR="00ED710D" w:rsidRPr="002F64A6" w:rsidRDefault="00ED710D" w:rsidP="00D84E78">
      <w:pPr>
        <w:pStyle w:val="L1"/>
      </w:pPr>
      <w:bookmarkStart w:id="49" w:name="_Toc518979509"/>
      <w:r w:rsidRPr="002F64A6">
        <w:t>Environmental impact statement</w:t>
      </w:r>
      <w:bookmarkEnd w:id="49"/>
    </w:p>
    <w:p w14:paraId="21F96D0D" w14:textId="77777777" w:rsidR="00ED710D" w:rsidRPr="002F64A6" w:rsidRDefault="00ED710D" w:rsidP="00ED710D">
      <w:pPr>
        <w:rPr>
          <w:rFonts w:asciiTheme="majorBidi" w:hAnsiTheme="majorBidi" w:cstheme="majorBidi"/>
          <w:szCs w:val="24"/>
        </w:rPr>
      </w:pPr>
      <w:r w:rsidRPr="002F64A6">
        <w:rPr>
          <w:rFonts w:asciiTheme="majorBidi" w:hAnsiTheme="majorBidi" w:cstheme="majorBidi"/>
          <w:szCs w:val="24"/>
        </w:rPr>
        <w:t>Nothing requested in this petition will have an impact on the environment.</w:t>
      </w:r>
    </w:p>
    <w:p w14:paraId="78D94F61" w14:textId="4C294955" w:rsidR="00ED710D" w:rsidRPr="002F64A6" w:rsidRDefault="00ED710D" w:rsidP="00D84E78">
      <w:pPr>
        <w:pStyle w:val="L1"/>
      </w:pPr>
      <w:bookmarkStart w:id="50" w:name="_Toc518979510"/>
      <w:r w:rsidRPr="002F64A6">
        <w:lastRenderedPageBreak/>
        <w:t>Certification</w:t>
      </w:r>
      <w:bookmarkEnd w:id="50"/>
    </w:p>
    <w:p w14:paraId="43C73D44" w14:textId="77777777" w:rsidR="00ED710D" w:rsidRPr="002F64A6" w:rsidRDefault="00ED710D" w:rsidP="00ED710D">
      <w:pPr>
        <w:rPr>
          <w:rFonts w:asciiTheme="majorBidi" w:hAnsiTheme="majorBidi" w:cstheme="majorBidi"/>
          <w:szCs w:val="24"/>
        </w:rPr>
      </w:pPr>
      <w:r w:rsidRPr="002F64A6">
        <w:rPr>
          <w:rFonts w:asciiTheme="majorBidi" w:hAnsiTheme="majorBidi" w:cstheme="majorBidi"/>
          <w:szCs w:val="24"/>
        </w:rPr>
        <w:t>We certify that, to the best of our knowledge and belief, this petition includes all information and views on which this petition relies, and that it includes representative data and information known to the petitioners which are unfavorable to the petition.</w:t>
      </w:r>
    </w:p>
    <w:p w14:paraId="4D862B73" w14:textId="77777777" w:rsidR="00ED710D" w:rsidRPr="002F64A6" w:rsidRDefault="00ED710D" w:rsidP="00ED710D">
      <w:pPr>
        <w:rPr>
          <w:rFonts w:asciiTheme="majorBidi" w:hAnsiTheme="majorBidi" w:cstheme="majorBidi"/>
          <w:szCs w:val="24"/>
        </w:rPr>
      </w:pPr>
      <w:r w:rsidRPr="002F64A6">
        <w:rPr>
          <w:rFonts w:asciiTheme="majorBidi" w:hAnsiTheme="majorBidi" w:cstheme="majorBidi"/>
          <w:szCs w:val="24"/>
        </w:rPr>
        <w:t>Sincerely,</w:t>
      </w:r>
    </w:p>
    <w:p w14:paraId="2F3DBB23" w14:textId="77777777" w:rsidR="00ED710D" w:rsidRDefault="00ED710D" w:rsidP="00ED710D">
      <w:pPr>
        <w:rPr>
          <w:rFonts w:asciiTheme="majorBidi" w:hAnsiTheme="majorBidi" w:cstheme="majorBidi"/>
          <w:szCs w:val="24"/>
        </w:rPr>
      </w:pPr>
      <w:r w:rsidRPr="002F64A6">
        <w:rPr>
          <w:rFonts w:asciiTheme="majorBidi" w:hAnsiTheme="majorBidi" w:cstheme="majorBidi"/>
          <w:szCs w:val="24"/>
        </w:rPr>
        <w:t>Public Citizen</w:t>
      </w:r>
    </w:p>
    <w:p w14:paraId="69BC7883" w14:textId="7E683179" w:rsidR="005406BF" w:rsidRDefault="005406BF" w:rsidP="00ED710D">
      <w:pPr>
        <w:rPr>
          <w:rFonts w:asciiTheme="majorBidi" w:hAnsiTheme="majorBidi" w:cstheme="majorBidi"/>
          <w:szCs w:val="24"/>
        </w:rPr>
      </w:pPr>
      <w:r>
        <w:rPr>
          <w:rFonts w:asciiTheme="majorBidi" w:hAnsiTheme="majorBidi" w:cstheme="majorBidi"/>
          <w:szCs w:val="24"/>
        </w:rPr>
        <w:t>Farmworker Justice</w:t>
      </w:r>
    </w:p>
    <w:p w14:paraId="04CA14C6" w14:textId="578BB0E4" w:rsidR="00DB357F" w:rsidRPr="002F64A6" w:rsidRDefault="00DB357F" w:rsidP="00ED710D">
      <w:pPr>
        <w:rPr>
          <w:rFonts w:asciiTheme="majorBidi" w:hAnsiTheme="majorBidi" w:cstheme="majorBidi"/>
          <w:szCs w:val="24"/>
        </w:rPr>
      </w:pPr>
      <w:r>
        <w:t>United Farm Workers</w:t>
      </w:r>
    </w:p>
    <w:p w14:paraId="4D6FFF6A" w14:textId="655DD9BE" w:rsidR="00ED710D" w:rsidRPr="002F64A6" w:rsidRDefault="003B32C2" w:rsidP="00ED710D">
      <w:pPr>
        <w:rPr>
          <w:rFonts w:asciiTheme="majorBidi" w:hAnsiTheme="majorBidi" w:cstheme="majorBidi"/>
          <w:szCs w:val="24"/>
        </w:rPr>
      </w:pPr>
      <w:r>
        <w:rPr>
          <w:rFonts w:asciiTheme="majorBidi" w:hAnsiTheme="majorBidi" w:cstheme="majorBidi"/>
          <w:szCs w:val="24"/>
        </w:rPr>
        <w:t>[</w:t>
      </w:r>
      <w:r w:rsidR="005D1E11">
        <w:rPr>
          <w:rFonts w:asciiTheme="majorBidi" w:hAnsiTheme="majorBidi" w:cstheme="majorBidi"/>
          <w:szCs w:val="24"/>
        </w:rPr>
        <w:t xml:space="preserve">tk </w:t>
      </w:r>
      <w:r>
        <w:rPr>
          <w:rFonts w:asciiTheme="majorBidi" w:hAnsiTheme="majorBidi" w:cstheme="majorBidi"/>
          <w:szCs w:val="24"/>
        </w:rPr>
        <w:t>list others]</w:t>
      </w:r>
    </w:p>
    <w:p w14:paraId="72BC05F6" w14:textId="148E9EC3" w:rsidR="00564149" w:rsidRPr="002F64A6" w:rsidRDefault="00564149" w:rsidP="007E02B1">
      <w:r w:rsidRPr="002F64A6">
        <w:br w:type="page"/>
      </w:r>
    </w:p>
    <w:p w14:paraId="5D36EBAA" w14:textId="623051B9" w:rsidR="0055085C" w:rsidRPr="002F64A6" w:rsidRDefault="0055085C" w:rsidP="009C287A">
      <w:pPr>
        <w:pStyle w:val="L1"/>
        <w:numPr>
          <w:ilvl w:val="0"/>
          <w:numId w:val="0"/>
        </w:numPr>
        <w:jc w:val="center"/>
      </w:pPr>
      <w:bookmarkStart w:id="51" w:name="_Toc518979511"/>
      <w:r w:rsidRPr="002F64A6">
        <w:lastRenderedPageBreak/>
        <w:t>Appendix</w:t>
      </w:r>
      <w:bookmarkEnd w:id="51"/>
    </w:p>
    <w:p w14:paraId="0CD030FA" w14:textId="54EDD043" w:rsidR="00663310" w:rsidRDefault="00663310" w:rsidP="00663310">
      <w:pPr>
        <w:pStyle w:val="Caption"/>
      </w:pPr>
      <w:bookmarkStart w:id="52" w:name="_Ref515982349"/>
      <w:r>
        <w:t xml:space="preserve">Table </w:t>
      </w:r>
      <w:r w:rsidR="00A46EC9">
        <w:fldChar w:fldCharType="begin"/>
      </w:r>
      <w:r w:rsidR="00A46EC9">
        <w:instrText xml:space="preserve"> SEQ Table \* ARABIC </w:instrText>
      </w:r>
      <w:r w:rsidR="00A46EC9">
        <w:fldChar w:fldCharType="separate"/>
      </w:r>
      <w:r w:rsidR="00E35FAB">
        <w:rPr>
          <w:noProof/>
        </w:rPr>
        <w:t>9</w:t>
      </w:r>
      <w:r w:rsidR="00A46EC9">
        <w:rPr>
          <w:noProof/>
        </w:rPr>
        <w:fldChar w:fldCharType="end"/>
      </w:r>
      <w:bookmarkEnd w:id="52"/>
      <w:r>
        <w:t>. Heat stress standards of Canadian provinces</w:t>
      </w:r>
    </w:p>
    <w:tbl>
      <w:tblPr>
        <w:tblStyle w:val="LightShading-Accent5"/>
        <w:tblW w:w="5000" w:type="pct"/>
        <w:tblLayout w:type="fixed"/>
        <w:tblLook w:val="04A0" w:firstRow="1" w:lastRow="0" w:firstColumn="1" w:lastColumn="0" w:noHBand="0" w:noVBand="1"/>
      </w:tblPr>
      <w:tblGrid>
        <w:gridCol w:w="1075"/>
        <w:gridCol w:w="3161"/>
        <w:gridCol w:w="1847"/>
        <w:gridCol w:w="3267"/>
      </w:tblGrid>
      <w:tr w:rsidR="00663310" w:rsidRPr="00663310" w14:paraId="50EAA945" w14:textId="77777777" w:rsidTr="00906FF5">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98" w:type="dxa"/>
            <w:noWrap/>
            <w:hideMark/>
          </w:tcPr>
          <w:p w14:paraId="353CAF7B" w14:textId="5DADF8B4" w:rsidR="00663310" w:rsidRPr="00663310" w:rsidRDefault="00663310" w:rsidP="00663310">
            <w:pPr>
              <w:pStyle w:val="TableHeading"/>
              <w:jc w:val="left"/>
              <w:rPr>
                <w:sz w:val="16"/>
                <w:szCs w:val="16"/>
              </w:rPr>
            </w:pPr>
            <w:bookmarkStart w:id="53" w:name="_Ref514867611"/>
            <w:bookmarkStart w:id="54" w:name="_Ref514867605"/>
            <w:r w:rsidRPr="00663310">
              <w:rPr>
                <w:sz w:val="16"/>
                <w:szCs w:val="16"/>
              </w:rPr>
              <w:t>Province/</w:t>
            </w:r>
            <w:r>
              <w:rPr>
                <w:sz w:val="16"/>
                <w:szCs w:val="16"/>
              </w:rPr>
              <w:br/>
            </w:r>
            <w:r w:rsidRPr="00663310">
              <w:rPr>
                <w:sz w:val="16"/>
                <w:szCs w:val="16"/>
              </w:rPr>
              <w:t>territory</w:t>
            </w:r>
          </w:p>
        </w:tc>
        <w:tc>
          <w:tcPr>
            <w:tcW w:w="3240" w:type="dxa"/>
            <w:noWrap/>
            <w:hideMark/>
          </w:tcPr>
          <w:p w14:paraId="7424C56A" w14:textId="77777777" w:rsidR="00663310" w:rsidRPr="00663310" w:rsidRDefault="00663310" w:rsidP="00663310">
            <w:pPr>
              <w:pStyle w:val="TableHeading"/>
              <w:cnfStyle w:val="100000000000" w:firstRow="1" w:lastRow="0" w:firstColumn="0" w:lastColumn="0" w:oddVBand="0" w:evenVBand="0" w:oddHBand="0" w:evenHBand="0" w:firstRowFirstColumn="0" w:firstRowLastColumn="0" w:lastRowFirstColumn="0" w:lastRowLastColumn="0"/>
              <w:rPr>
                <w:sz w:val="16"/>
                <w:szCs w:val="16"/>
              </w:rPr>
            </w:pPr>
            <w:r w:rsidRPr="00663310">
              <w:rPr>
                <w:sz w:val="16"/>
                <w:szCs w:val="16"/>
              </w:rPr>
              <w:t>Legislation</w:t>
            </w:r>
          </w:p>
        </w:tc>
        <w:tc>
          <w:tcPr>
            <w:tcW w:w="1890" w:type="dxa"/>
            <w:noWrap/>
            <w:hideMark/>
          </w:tcPr>
          <w:p w14:paraId="41B67B81" w14:textId="77777777" w:rsidR="00663310" w:rsidRPr="00663310" w:rsidRDefault="00663310" w:rsidP="00663310">
            <w:pPr>
              <w:pStyle w:val="TableHeading"/>
              <w:cnfStyle w:val="100000000000" w:firstRow="1" w:lastRow="0" w:firstColumn="0" w:lastColumn="0" w:oddVBand="0" w:evenVBand="0" w:oddHBand="0" w:evenHBand="0" w:firstRowFirstColumn="0" w:firstRowLastColumn="0" w:lastRowFirstColumn="0" w:lastRowLastColumn="0"/>
              <w:rPr>
                <w:sz w:val="16"/>
                <w:szCs w:val="16"/>
              </w:rPr>
            </w:pPr>
            <w:r w:rsidRPr="00663310">
              <w:rPr>
                <w:sz w:val="16"/>
                <w:szCs w:val="16"/>
              </w:rPr>
              <w:t>Environment</w:t>
            </w:r>
          </w:p>
        </w:tc>
        <w:tc>
          <w:tcPr>
            <w:tcW w:w="3348" w:type="dxa"/>
            <w:noWrap/>
            <w:hideMark/>
          </w:tcPr>
          <w:p w14:paraId="10ACD16B" w14:textId="77777777" w:rsidR="00663310" w:rsidRPr="00663310" w:rsidRDefault="00663310" w:rsidP="00663310">
            <w:pPr>
              <w:pStyle w:val="TableHeading"/>
              <w:cnfStyle w:val="100000000000" w:firstRow="1" w:lastRow="0" w:firstColumn="0" w:lastColumn="0" w:oddVBand="0" w:evenVBand="0" w:oddHBand="0" w:evenHBand="0" w:firstRowFirstColumn="0" w:firstRowLastColumn="0" w:lastRowFirstColumn="0" w:lastRowLastColumn="0"/>
              <w:rPr>
                <w:sz w:val="16"/>
                <w:szCs w:val="16"/>
              </w:rPr>
            </w:pPr>
            <w:r w:rsidRPr="00663310">
              <w:rPr>
                <w:sz w:val="16"/>
                <w:szCs w:val="16"/>
              </w:rPr>
              <w:t>Required controls</w:t>
            </w:r>
          </w:p>
        </w:tc>
      </w:tr>
      <w:tr w:rsidR="00663310" w:rsidRPr="00663310" w14:paraId="060FD5A5" w14:textId="77777777" w:rsidTr="00906FF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98" w:type="dxa"/>
            <w:noWrap/>
            <w:vAlign w:val="top"/>
            <w:hideMark/>
          </w:tcPr>
          <w:p w14:paraId="556CAD22" w14:textId="77777777" w:rsidR="00663310" w:rsidRPr="003F6252" w:rsidRDefault="00663310" w:rsidP="00663310">
            <w:pPr>
              <w:pStyle w:val="TableLeft"/>
              <w:rPr>
                <w:sz w:val="14"/>
                <w:szCs w:val="14"/>
              </w:rPr>
            </w:pPr>
            <w:r w:rsidRPr="003F6252">
              <w:rPr>
                <w:sz w:val="14"/>
                <w:szCs w:val="14"/>
              </w:rPr>
              <w:t>British Columbia</w:t>
            </w:r>
          </w:p>
        </w:tc>
        <w:tc>
          <w:tcPr>
            <w:tcW w:w="3240" w:type="dxa"/>
            <w:noWrap/>
            <w:vAlign w:val="top"/>
            <w:hideMark/>
          </w:tcPr>
          <w:p w14:paraId="453ACEDD" w14:textId="77777777" w:rsidR="00663310" w:rsidRPr="003F6252" w:rsidRDefault="00663310" w:rsidP="00663310">
            <w:pPr>
              <w:pStyle w:val="TableLeft"/>
              <w:cnfStyle w:val="000000100000" w:firstRow="0" w:lastRow="0" w:firstColumn="0" w:lastColumn="0" w:oddVBand="0" w:evenVBand="0" w:oddHBand="1" w:evenHBand="0" w:firstRowFirstColumn="0" w:firstRowLastColumn="0" w:lastRowFirstColumn="0" w:lastRowLastColumn="0"/>
              <w:rPr>
                <w:sz w:val="14"/>
                <w:szCs w:val="14"/>
              </w:rPr>
            </w:pPr>
            <w:r w:rsidRPr="003F6252">
              <w:rPr>
                <w:sz w:val="14"/>
                <w:szCs w:val="14"/>
              </w:rPr>
              <w:t>Part 7(28)of B.C. Occupational Health and Safety Regulation, 2004. Required to adhere to 2003 ACGIH standard (TLVs)</w:t>
            </w:r>
          </w:p>
        </w:tc>
        <w:tc>
          <w:tcPr>
            <w:tcW w:w="1890" w:type="dxa"/>
            <w:noWrap/>
            <w:vAlign w:val="top"/>
            <w:hideMark/>
          </w:tcPr>
          <w:p w14:paraId="7C1EC222" w14:textId="77777777" w:rsidR="00663310" w:rsidRPr="003F6252" w:rsidRDefault="00663310" w:rsidP="00663310">
            <w:pPr>
              <w:pStyle w:val="TableLeft"/>
              <w:cnfStyle w:val="000000100000" w:firstRow="0" w:lastRow="0" w:firstColumn="0" w:lastColumn="0" w:oddVBand="0" w:evenVBand="0" w:oddHBand="1" w:evenHBand="0" w:firstRowFirstColumn="0" w:firstRowLastColumn="0" w:lastRowFirstColumn="0" w:lastRowLastColumn="0"/>
              <w:rPr>
                <w:sz w:val="14"/>
                <w:szCs w:val="14"/>
              </w:rPr>
            </w:pPr>
            <w:r w:rsidRPr="003F6252">
              <w:rPr>
                <w:sz w:val="14"/>
                <w:szCs w:val="14"/>
              </w:rPr>
              <w:t>All working environments except firefighting</w:t>
            </w:r>
          </w:p>
        </w:tc>
        <w:tc>
          <w:tcPr>
            <w:tcW w:w="3348" w:type="dxa"/>
            <w:noWrap/>
            <w:vAlign w:val="top"/>
            <w:hideMark/>
          </w:tcPr>
          <w:p w14:paraId="430A87FD" w14:textId="77777777" w:rsidR="00663310" w:rsidRPr="003F6252" w:rsidRDefault="00663310" w:rsidP="00663310">
            <w:pPr>
              <w:pStyle w:val="TableLeft"/>
              <w:cnfStyle w:val="000000100000" w:firstRow="0" w:lastRow="0" w:firstColumn="0" w:lastColumn="0" w:oddVBand="0" w:evenVBand="0" w:oddHBand="1" w:evenHBand="0" w:firstRowFirstColumn="0" w:firstRowLastColumn="0" w:lastRowFirstColumn="0" w:lastRowLastColumn="0"/>
              <w:rPr>
                <w:sz w:val="14"/>
                <w:szCs w:val="14"/>
              </w:rPr>
            </w:pPr>
            <w:r w:rsidRPr="003F6252">
              <w:rPr>
                <w:sz w:val="14"/>
                <w:szCs w:val="14"/>
              </w:rPr>
              <w:t>Administrative and engineering controls must be implemented to reduce exposure of workers to levels below ACGIH criteria</w:t>
            </w:r>
          </w:p>
        </w:tc>
      </w:tr>
      <w:tr w:rsidR="00663310" w:rsidRPr="00663310" w14:paraId="61136825" w14:textId="77777777" w:rsidTr="00906FF5">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98" w:type="dxa"/>
            <w:noWrap/>
            <w:vAlign w:val="top"/>
            <w:hideMark/>
          </w:tcPr>
          <w:p w14:paraId="2883E187" w14:textId="77777777" w:rsidR="00663310" w:rsidRPr="003F6252" w:rsidRDefault="00663310" w:rsidP="00663310">
            <w:pPr>
              <w:pStyle w:val="TableLeft"/>
              <w:rPr>
                <w:sz w:val="14"/>
                <w:szCs w:val="14"/>
              </w:rPr>
            </w:pPr>
            <w:r w:rsidRPr="003F6252">
              <w:rPr>
                <w:sz w:val="14"/>
                <w:szCs w:val="14"/>
              </w:rPr>
              <w:t>Alberta</w:t>
            </w:r>
          </w:p>
        </w:tc>
        <w:tc>
          <w:tcPr>
            <w:tcW w:w="3240" w:type="dxa"/>
            <w:noWrap/>
            <w:vAlign w:val="top"/>
            <w:hideMark/>
          </w:tcPr>
          <w:p w14:paraId="666FAF90" w14:textId="77777777" w:rsidR="00663310" w:rsidRPr="003F6252" w:rsidRDefault="00663310" w:rsidP="00663310">
            <w:pPr>
              <w:pStyle w:val="TableLeft"/>
              <w:cnfStyle w:val="000000010000" w:firstRow="0" w:lastRow="0" w:firstColumn="0" w:lastColumn="0" w:oddVBand="0" w:evenVBand="0" w:oddHBand="0" w:evenHBand="1" w:firstRowFirstColumn="0" w:firstRowLastColumn="0" w:lastRowFirstColumn="0" w:lastRowLastColumn="0"/>
              <w:rPr>
                <w:sz w:val="14"/>
                <w:szCs w:val="14"/>
              </w:rPr>
            </w:pPr>
            <w:r w:rsidRPr="003F6252">
              <w:rPr>
                <w:sz w:val="14"/>
                <w:szCs w:val="14"/>
              </w:rPr>
              <w:t>No legal requirements. Recommended to use 2002 ACGIH standard (TLVs) or Humidex</w:t>
            </w:r>
          </w:p>
        </w:tc>
        <w:tc>
          <w:tcPr>
            <w:tcW w:w="1890" w:type="dxa"/>
            <w:noWrap/>
            <w:vAlign w:val="top"/>
            <w:hideMark/>
          </w:tcPr>
          <w:p w14:paraId="65AF1801" w14:textId="77777777" w:rsidR="00663310" w:rsidRPr="003F6252" w:rsidRDefault="00663310" w:rsidP="00663310">
            <w:pPr>
              <w:pStyle w:val="TableLeft"/>
              <w:cnfStyle w:val="000000010000" w:firstRow="0" w:lastRow="0" w:firstColumn="0" w:lastColumn="0" w:oddVBand="0" w:evenVBand="0" w:oddHBand="0" w:evenHBand="1" w:firstRowFirstColumn="0" w:firstRowLastColumn="0" w:lastRowFirstColumn="0" w:lastRowLastColumn="0"/>
              <w:rPr>
                <w:sz w:val="14"/>
                <w:szCs w:val="14"/>
              </w:rPr>
            </w:pPr>
            <w:r w:rsidRPr="003F6252">
              <w:rPr>
                <w:sz w:val="14"/>
                <w:szCs w:val="14"/>
              </w:rPr>
              <w:t>All workplaces</w:t>
            </w:r>
          </w:p>
        </w:tc>
        <w:tc>
          <w:tcPr>
            <w:tcW w:w="3348" w:type="dxa"/>
            <w:noWrap/>
            <w:vAlign w:val="top"/>
            <w:hideMark/>
          </w:tcPr>
          <w:p w14:paraId="0938BF66" w14:textId="77777777" w:rsidR="00663310" w:rsidRPr="003F6252" w:rsidRDefault="00663310" w:rsidP="00663310">
            <w:pPr>
              <w:pStyle w:val="TableLeft"/>
              <w:cnfStyle w:val="000000010000" w:firstRow="0" w:lastRow="0" w:firstColumn="0" w:lastColumn="0" w:oddVBand="0" w:evenVBand="0" w:oddHBand="0" w:evenHBand="1" w:firstRowFirstColumn="0" w:firstRowLastColumn="0" w:lastRowFirstColumn="0" w:lastRowLastColumn="0"/>
              <w:rPr>
                <w:sz w:val="14"/>
                <w:szCs w:val="14"/>
              </w:rPr>
            </w:pPr>
            <w:r w:rsidRPr="003F6252">
              <w:rPr>
                <w:sz w:val="14"/>
                <w:szCs w:val="14"/>
              </w:rPr>
              <w:t>None required</w:t>
            </w:r>
          </w:p>
        </w:tc>
      </w:tr>
      <w:tr w:rsidR="00663310" w:rsidRPr="00663310" w14:paraId="72D3544C" w14:textId="77777777" w:rsidTr="00906FF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98" w:type="dxa"/>
            <w:noWrap/>
            <w:vAlign w:val="top"/>
            <w:hideMark/>
          </w:tcPr>
          <w:p w14:paraId="408F4735" w14:textId="77777777" w:rsidR="00663310" w:rsidRPr="003F6252" w:rsidRDefault="00663310" w:rsidP="00663310">
            <w:pPr>
              <w:pStyle w:val="TableLeft"/>
              <w:rPr>
                <w:sz w:val="14"/>
                <w:szCs w:val="14"/>
              </w:rPr>
            </w:pPr>
            <w:r w:rsidRPr="003F6252">
              <w:rPr>
                <w:sz w:val="14"/>
                <w:szCs w:val="14"/>
              </w:rPr>
              <w:t>Saskatchewan</w:t>
            </w:r>
          </w:p>
        </w:tc>
        <w:tc>
          <w:tcPr>
            <w:tcW w:w="3240" w:type="dxa"/>
            <w:noWrap/>
            <w:vAlign w:val="top"/>
            <w:hideMark/>
          </w:tcPr>
          <w:p w14:paraId="53AB8815" w14:textId="77777777" w:rsidR="00663310" w:rsidRPr="003F6252" w:rsidRDefault="00663310" w:rsidP="00663310">
            <w:pPr>
              <w:pStyle w:val="TableLeft"/>
              <w:cnfStyle w:val="000000100000" w:firstRow="0" w:lastRow="0" w:firstColumn="0" w:lastColumn="0" w:oddVBand="0" w:evenVBand="0" w:oddHBand="1" w:evenHBand="0" w:firstRowFirstColumn="0" w:firstRowLastColumn="0" w:lastRowFirstColumn="0" w:lastRowLastColumn="0"/>
              <w:rPr>
                <w:sz w:val="14"/>
                <w:szCs w:val="14"/>
              </w:rPr>
            </w:pPr>
            <w:r w:rsidRPr="003F6252">
              <w:rPr>
                <w:sz w:val="14"/>
                <w:szCs w:val="14"/>
              </w:rPr>
              <w:t>Section70 of Saskatchewan Occupational Health and Safety Regulations 1996, requires employers to maintain reasonable thermal conditions for work performed using ACGIH standard (TLVs)</w:t>
            </w:r>
          </w:p>
        </w:tc>
        <w:tc>
          <w:tcPr>
            <w:tcW w:w="1890" w:type="dxa"/>
            <w:noWrap/>
            <w:vAlign w:val="top"/>
            <w:hideMark/>
          </w:tcPr>
          <w:p w14:paraId="76906092" w14:textId="77777777" w:rsidR="00663310" w:rsidRPr="003F6252" w:rsidRDefault="00663310" w:rsidP="00663310">
            <w:pPr>
              <w:pStyle w:val="TableLeft"/>
              <w:cnfStyle w:val="000000100000" w:firstRow="0" w:lastRow="0" w:firstColumn="0" w:lastColumn="0" w:oddVBand="0" w:evenVBand="0" w:oddHBand="1" w:evenHBand="0" w:firstRowFirstColumn="0" w:firstRowLastColumn="0" w:lastRowFirstColumn="0" w:lastRowLastColumn="0"/>
              <w:rPr>
                <w:sz w:val="14"/>
                <w:szCs w:val="14"/>
              </w:rPr>
            </w:pPr>
            <w:r w:rsidRPr="003F6252">
              <w:rPr>
                <w:sz w:val="14"/>
                <w:szCs w:val="14"/>
              </w:rPr>
              <w:t>Indoor working environments</w:t>
            </w:r>
          </w:p>
        </w:tc>
        <w:tc>
          <w:tcPr>
            <w:tcW w:w="3348" w:type="dxa"/>
            <w:noWrap/>
            <w:vAlign w:val="top"/>
            <w:hideMark/>
          </w:tcPr>
          <w:p w14:paraId="1BD5C42B" w14:textId="25B8169A" w:rsidR="00663310" w:rsidRPr="003F6252" w:rsidRDefault="00DB23CF" w:rsidP="00663310">
            <w:pPr>
              <w:pStyle w:val="TableLeft"/>
              <w:cnfStyle w:val="000000100000" w:firstRow="0" w:lastRow="0" w:firstColumn="0" w:lastColumn="0" w:oddVBand="0" w:evenVBand="0" w:oddHBand="1" w:evenHBand="0" w:firstRowFirstColumn="0" w:firstRowLastColumn="0" w:lastRowFirstColumn="0" w:lastRowLastColumn="0"/>
              <w:rPr>
                <w:sz w:val="14"/>
                <w:szCs w:val="14"/>
              </w:rPr>
            </w:pPr>
            <w:r>
              <w:rPr>
                <w:sz w:val="14"/>
                <w:szCs w:val="14"/>
              </w:rPr>
              <w:t>“</w:t>
            </w:r>
            <w:r w:rsidR="00663310" w:rsidRPr="003F6252">
              <w:rPr>
                <w:sz w:val="14"/>
                <w:szCs w:val="14"/>
              </w:rPr>
              <w:t>Must use effective measures to protect workers from heat stress disorders</w:t>
            </w:r>
            <w:r>
              <w:rPr>
                <w:sz w:val="14"/>
                <w:szCs w:val="14"/>
              </w:rPr>
              <w:t>”</w:t>
            </w:r>
            <w:r w:rsidR="00663310" w:rsidRPr="003F6252">
              <w:rPr>
                <w:sz w:val="14"/>
                <w:szCs w:val="14"/>
              </w:rPr>
              <w:t xml:space="preserve"> including administrative and engineering controls</w:t>
            </w:r>
          </w:p>
        </w:tc>
      </w:tr>
      <w:tr w:rsidR="00663310" w:rsidRPr="00663310" w14:paraId="357F735C" w14:textId="77777777" w:rsidTr="00906FF5">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98" w:type="dxa"/>
            <w:noWrap/>
            <w:vAlign w:val="top"/>
            <w:hideMark/>
          </w:tcPr>
          <w:p w14:paraId="3055EE08" w14:textId="77777777" w:rsidR="00663310" w:rsidRPr="003F6252" w:rsidRDefault="00663310" w:rsidP="00663310">
            <w:pPr>
              <w:pStyle w:val="TableLeft"/>
              <w:rPr>
                <w:sz w:val="14"/>
                <w:szCs w:val="14"/>
              </w:rPr>
            </w:pPr>
            <w:r w:rsidRPr="003F6252">
              <w:rPr>
                <w:sz w:val="14"/>
                <w:szCs w:val="14"/>
              </w:rPr>
              <w:t>Manitoba</w:t>
            </w:r>
          </w:p>
        </w:tc>
        <w:tc>
          <w:tcPr>
            <w:tcW w:w="3240" w:type="dxa"/>
            <w:noWrap/>
            <w:vAlign w:val="top"/>
            <w:hideMark/>
          </w:tcPr>
          <w:p w14:paraId="6B997DA6" w14:textId="77777777" w:rsidR="00663310" w:rsidRPr="003F6252" w:rsidRDefault="00663310" w:rsidP="00663310">
            <w:pPr>
              <w:pStyle w:val="TableLeft"/>
              <w:cnfStyle w:val="000000010000" w:firstRow="0" w:lastRow="0" w:firstColumn="0" w:lastColumn="0" w:oddVBand="0" w:evenVBand="0" w:oddHBand="0" w:evenHBand="1" w:firstRowFirstColumn="0" w:firstRowLastColumn="0" w:lastRowFirstColumn="0" w:lastRowLastColumn="0"/>
              <w:rPr>
                <w:sz w:val="14"/>
                <w:szCs w:val="14"/>
              </w:rPr>
            </w:pPr>
            <w:r w:rsidRPr="003F6252">
              <w:rPr>
                <w:sz w:val="14"/>
                <w:szCs w:val="14"/>
              </w:rPr>
              <w:t>Part 4.12 of Manitoba General Workplace Requirements Regulation 217/2006.Required to adhere to 2006 ACGIH standard (TLVs)</w:t>
            </w:r>
          </w:p>
        </w:tc>
        <w:tc>
          <w:tcPr>
            <w:tcW w:w="1890" w:type="dxa"/>
            <w:noWrap/>
            <w:vAlign w:val="top"/>
            <w:hideMark/>
          </w:tcPr>
          <w:p w14:paraId="7A7633D9" w14:textId="77777777" w:rsidR="00663310" w:rsidRPr="003F6252" w:rsidRDefault="00663310" w:rsidP="00663310">
            <w:pPr>
              <w:pStyle w:val="TableLeft"/>
              <w:cnfStyle w:val="000000010000" w:firstRow="0" w:lastRow="0" w:firstColumn="0" w:lastColumn="0" w:oddVBand="0" w:evenVBand="0" w:oddHBand="0" w:evenHBand="1" w:firstRowFirstColumn="0" w:firstRowLastColumn="0" w:lastRowFirstColumn="0" w:lastRowLastColumn="0"/>
              <w:rPr>
                <w:sz w:val="14"/>
                <w:szCs w:val="14"/>
              </w:rPr>
            </w:pPr>
            <w:r w:rsidRPr="003F6252">
              <w:rPr>
                <w:sz w:val="14"/>
                <w:szCs w:val="14"/>
              </w:rPr>
              <w:t>All workplaces</w:t>
            </w:r>
          </w:p>
        </w:tc>
        <w:tc>
          <w:tcPr>
            <w:tcW w:w="3348" w:type="dxa"/>
            <w:noWrap/>
            <w:vAlign w:val="top"/>
            <w:hideMark/>
          </w:tcPr>
          <w:p w14:paraId="23B0176D" w14:textId="7A238070" w:rsidR="00663310" w:rsidRPr="003F6252" w:rsidRDefault="00DB23CF" w:rsidP="00663310">
            <w:pPr>
              <w:pStyle w:val="TableLeft"/>
              <w:cnfStyle w:val="000000010000" w:firstRow="0" w:lastRow="0" w:firstColumn="0" w:lastColumn="0" w:oddVBand="0" w:evenVBand="0" w:oddHBand="0" w:evenHBand="1" w:firstRowFirstColumn="0" w:firstRowLastColumn="0" w:lastRowFirstColumn="0" w:lastRowLastColumn="0"/>
              <w:rPr>
                <w:sz w:val="14"/>
                <w:szCs w:val="14"/>
              </w:rPr>
            </w:pPr>
            <w:r>
              <w:rPr>
                <w:sz w:val="14"/>
                <w:szCs w:val="14"/>
              </w:rPr>
              <w:t>“</w:t>
            </w:r>
            <w:r w:rsidR="00663310" w:rsidRPr="003F6252">
              <w:rPr>
                <w:sz w:val="14"/>
                <w:szCs w:val="14"/>
              </w:rPr>
              <w:t>Must provide worker with information, instruction and training in heat stress symptoms and precautions to be taken</w:t>
            </w:r>
            <w:r>
              <w:rPr>
                <w:sz w:val="14"/>
                <w:szCs w:val="14"/>
              </w:rPr>
              <w:t>”</w:t>
            </w:r>
          </w:p>
        </w:tc>
      </w:tr>
      <w:tr w:rsidR="00663310" w:rsidRPr="00663310" w14:paraId="69774966" w14:textId="77777777" w:rsidTr="00906FF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98" w:type="dxa"/>
            <w:noWrap/>
            <w:vAlign w:val="top"/>
            <w:hideMark/>
          </w:tcPr>
          <w:p w14:paraId="75796430" w14:textId="77777777" w:rsidR="00663310" w:rsidRPr="003F6252" w:rsidRDefault="00663310" w:rsidP="00663310">
            <w:pPr>
              <w:pStyle w:val="TableLeft"/>
              <w:rPr>
                <w:sz w:val="14"/>
                <w:szCs w:val="14"/>
              </w:rPr>
            </w:pPr>
            <w:r w:rsidRPr="003F6252">
              <w:rPr>
                <w:sz w:val="14"/>
                <w:szCs w:val="14"/>
              </w:rPr>
              <w:t>Ontario</w:t>
            </w:r>
          </w:p>
        </w:tc>
        <w:tc>
          <w:tcPr>
            <w:tcW w:w="3240" w:type="dxa"/>
            <w:noWrap/>
            <w:vAlign w:val="top"/>
            <w:hideMark/>
          </w:tcPr>
          <w:p w14:paraId="4D05887D" w14:textId="52F6899D" w:rsidR="00663310" w:rsidRPr="003F6252" w:rsidRDefault="00663310" w:rsidP="00663310">
            <w:pPr>
              <w:pStyle w:val="TableLeft"/>
              <w:cnfStyle w:val="000000100000" w:firstRow="0" w:lastRow="0" w:firstColumn="0" w:lastColumn="0" w:oddVBand="0" w:evenVBand="0" w:oddHBand="1" w:evenHBand="0" w:firstRowFirstColumn="0" w:firstRowLastColumn="0" w:lastRowFirstColumn="0" w:lastRowLastColumn="0"/>
              <w:rPr>
                <w:sz w:val="14"/>
                <w:szCs w:val="14"/>
              </w:rPr>
            </w:pPr>
            <w:r w:rsidRPr="003F6252">
              <w:rPr>
                <w:sz w:val="14"/>
                <w:szCs w:val="14"/>
              </w:rPr>
              <w:t xml:space="preserve">Legally required under section 25(2) h of Ontario Occupational Health and Safety Act to protect workers from heat stress. Recommends adhering to latest </w:t>
            </w:r>
            <w:r w:rsidR="00DB23CF">
              <w:rPr>
                <w:sz w:val="14"/>
                <w:szCs w:val="14"/>
              </w:rPr>
              <w:t>“</w:t>
            </w:r>
            <w:r w:rsidRPr="003F6252">
              <w:rPr>
                <w:sz w:val="14"/>
                <w:szCs w:val="14"/>
              </w:rPr>
              <w:t>unacclimatized</w:t>
            </w:r>
            <w:r w:rsidR="00DB23CF">
              <w:rPr>
                <w:sz w:val="14"/>
                <w:szCs w:val="14"/>
              </w:rPr>
              <w:t>”</w:t>
            </w:r>
            <w:r w:rsidRPr="003F6252">
              <w:rPr>
                <w:sz w:val="14"/>
                <w:szCs w:val="14"/>
              </w:rPr>
              <w:t xml:space="preserve"> ACGIH standard (TLVs)</w:t>
            </w:r>
          </w:p>
        </w:tc>
        <w:tc>
          <w:tcPr>
            <w:tcW w:w="1890" w:type="dxa"/>
            <w:noWrap/>
            <w:vAlign w:val="top"/>
            <w:hideMark/>
          </w:tcPr>
          <w:p w14:paraId="6851F169" w14:textId="0A244E16" w:rsidR="00663310" w:rsidRPr="003F6252" w:rsidRDefault="00663310" w:rsidP="00663310">
            <w:pPr>
              <w:pStyle w:val="TableLeft"/>
              <w:cnfStyle w:val="000000100000" w:firstRow="0" w:lastRow="0" w:firstColumn="0" w:lastColumn="0" w:oddVBand="0" w:evenVBand="0" w:oddHBand="1" w:evenHBand="0" w:firstRowFirstColumn="0" w:firstRowLastColumn="0" w:lastRowFirstColumn="0" w:lastRowLastColumn="0"/>
              <w:rPr>
                <w:sz w:val="14"/>
                <w:szCs w:val="14"/>
              </w:rPr>
            </w:pPr>
            <w:r w:rsidRPr="003F6252">
              <w:rPr>
                <w:sz w:val="14"/>
                <w:szCs w:val="14"/>
              </w:rPr>
              <w:t xml:space="preserve">Workers in hot environments due to </w:t>
            </w:r>
            <w:r w:rsidR="00DB23CF">
              <w:rPr>
                <w:sz w:val="14"/>
                <w:szCs w:val="14"/>
              </w:rPr>
              <w:t>“</w:t>
            </w:r>
            <w:r w:rsidRPr="003F6252">
              <w:rPr>
                <w:sz w:val="14"/>
                <w:szCs w:val="14"/>
              </w:rPr>
              <w:t>hot processes</w:t>
            </w:r>
            <w:r w:rsidR="00DB23CF">
              <w:rPr>
                <w:sz w:val="14"/>
                <w:szCs w:val="14"/>
              </w:rPr>
              <w:t>”</w:t>
            </w:r>
            <w:r w:rsidRPr="003F6252">
              <w:rPr>
                <w:sz w:val="14"/>
                <w:szCs w:val="14"/>
              </w:rPr>
              <w:t xml:space="preserve"> or hot weather</w:t>
            </w:r>
          </w:p>
        </w:tc>
        <w:tc>
          <w:tcPr>
            <w:tcW w:w="3348" w:type="dxa"/>
            <w:noWrap/>
            <w:vAlign w:val="top"/>
            <w:hideMark/>
          </w:tcPr>
          <w:p w14:paraId="2AA7265B" w14:textId="17AA05B6" w:rsidR="00663310" w:rsidRPr="003F6252" w:rsidRDefault="00DB23CF" w:rsidP="00663310">
            <w:pPr>
              <w:pStyle w:val="TableLeft"/>
              <w:cnfStyle w:val="000000100000" w:firstRow="0" w:lastRow="0" w:firstColumn="0" w:lastColumn="0" w:oddVBand="0" w:evenVBand="0" w:oddHBand="1" w:evenHBand="0" w:firstRowFirstColumn="0" w:firstRowLastColumn="0" w:lastRowFirstColumn="0" w:lastRowLastColumn="0"/>
              <w:rPr>
                <w:sz w:val="14"/>
                <w:szCs w:val="14"/>
              </w:rPr>
            </w:pPr>
            <w:r>
              <w:rPr>
                <w:sz w:val="14"/>
                <w:szCs w:val="14"/>
              </w:rPr>
              <w:t>“</w:t>
            </w:r>
            <w:r w:rsidR="00663310" w:rsidRPr="003F6252">
              <w:rPr>
                <w:sz w:val="14"/>
                <w:szCs w:val="14"/>
              </w:rPr>
              <w:t>Must take every precaution reasonable in circumstances to protect worker . . . including hot environment policies and procedures.</w:t>
            </w:r>
            <w:r>
              <w:rPr>
                <w:sz w:val="14"/>
                <w:szCs w:val="14"/>
              </w:rPr>
              <w:t>”</w:t>
            </w:r>
            <w:r w:rsidR="00663310" w:rsidRPr="003F6252">
              <w:rPr>
                <w:sz w:val="14"/>
                <w:szCs w:val="14"/>
              </w:rPr>
              <w:t xml:space="preserve"> Suggests administrative and engineering controls, and protective clothing</w:t>
            </w:r>
          </w:p>
        </w:tc>
      </w:tr>
      <w:tr w:rsidR="00663310" w:rsidRPr="00663310" w14:paraId="4223F9CE" w14:textId="77777777" w:rsidTr="00906FF5">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98" w:type="dxa"/>
            <w:noWrap/>
            <w:vAlign w:val="top"/>
            <w:hideMark/>
          </w:tcPr>
          <w:p w14:paraId="2047ADD1" w14:textId="77777777" w:rsidR="00663310" w:rsidRPr="003F6252" w:rsidRDefault="00663310" w:rsidP="00663310">
            <w:pPr>
              <w:pStyle w:val="TableLeft"/>
              <w:rPr>
                <w:sz w:val="14"/>
                <w:szCs w:val="14"/>
              </w:rPr>
            </w:pPr>
            <w:r w:rsidRPr="003F6252">
              <w:rPr>
                <w:sz w:val="14"/>
                <w:szCs w:val="14"/>
              </w:rPr>
              <w:t>Quebec</w:t>
            </w:r>
          </w:p>
        </w:tc>
        <w:tc>
          <w:tcPr>
            <w:tcW w:w="3240" w:type="dxa"/>
            <w:noWrap/>
            <w:vAlign w:val="top"/>
            <w:hideMark/>
          </w:tcPr>
          <w:p w14:paraId="78E3E3A5" w14:textId="77777777" w:rsidR="00663310" w:rsidRPr="003F6252" w:rsidRDefault="00663310" w:rsidP="00663310">
            <w:pPr>
              <w:pStyle w:val="TableLeft"/>
              <w:cnfStyle w:val="000000010000" w:firstRow="0" w:lastRow="0" w:firstColumn="0" w:lastColumn="0" w:oddVBand="0" w:evenVBand="0" w:oddHBand="0" w:evenHBand="1" w:firstRowFirstColumn="0" w:firstRowLastColumn="0" w:lastRowFirstColumn="0" w:lastRowLastColumn="0"/>
              <w:rPr>
                <w:sz w:val="14"/>
                <w:szCs w:val="14"/>
              </w:rPr>
            </w:pPr>
            <w:r w:rsidRPr="003F6252">
              <w:rPr>
                <w:sz w:val="14"/>
                <w:szCs w:val="14"/>
              </w:rPr>
              <w:t>Section2.1,regulation15 of Quebec Règlement sur la qualité du milieu de travail, requires hot environments to be monitored using WBGT index and adhere to TLVs similar to ACGIH standard</w:t>
            </w:r>
          </w:p>
        </w:tc>
        <w:tc>
          <w:tcPr>
            <w:tcW w:w="1890" w:type="dxa"/>
            <w:noWrap/>
            <w:vAlign w:val="top"/>
            <w:hideMark/>
          </w:tcPr>
          <w:p w14:paraId="59A11E09" w14:textId="77777777" w:rsidR="00663310" w:rsidRPr="003F6252" w:rsidRDefault="00663310" w:rsidP="00663310">
            <w:pPr>
              <w:pStyle w:val="TableLeft"/>
              <w:cnfStyle w:val="000000010000" w:firstRow="0" w:lastRow="0" w:firstColumn="0" w:lastColumn="0" w:oddVBand="0" w:evenVBand="0" w:oddHBand="0" w:evenHBand="1" w:firstRowFirstColumn="0" w:firstRowLastColumn="0" w:lastRowFirstColumn="0" w:lastRowLastColumn="0"/>
              <w:rPr>
                <w:sz w:val="14"/>
                <w:szCs w:val="14"/>
              </w:rPr>
            </w:pPr>
            <w:r w:rsidRPr="003F6252">
              <w:rPr>
                <w:sz w:val="14"/>
                <w:szCs w:val="14"/>
              </w:rPr>
              <w:t>All workplaces</w:t>
            </w:r>
          </w:p>
        </w:tc>
        <w:tc>
          <w:tcPr>
            <w:tcW w:w="3348" w:type="dxa"/>
            <w:noWrap/>
            <w:vAlign w:val="top"/>
            <w:hideMark/>
          </w:tcPr>
          <w:p w14:paraId="150A2B18" w14:textId="2A89ADA8" w:rsidR="00663310" w:rsidRPr="003F6252" w:rsidRDefault="00663310" w:rsidP="00663310">
            <w:pPr>
              <w:pStyle w:val="TableLeft"/>
              <w:cnfStyle w:val="000000010000" w:firstRow="0" w:lastRow="0" w:firstColumn="0" w:lastColumn="0" w:oddVBand="0" w:evenVBand="0" w:oddHBand="0" w:evenHBand="1" w:firstRowFirstColumn="0" w:firstRowLastColumn="0" w:lastRowFirstColumn="0" w:lastRowLastColumn="0"/>
              <w:rPr>
                <w:sz w:val="14"/>
                <w:szCs w:val="14"/>
              </w:rPr>
            </w:pPr>
            <w:r w:rsidRPr="003F6252">
              <w:rPr>
                <w:sz w:val="14"/>
                <w:szCs w:val="14"/>
              </w:rPr>
              <w:t xml:space="preserve">Translated in English: </w:t>
            </w:r>
            <w:r w:rsidR="00DB23CF">
              <w:rPr>
                <w:sz w:val="14"/>
                <w:szCs w:val="14"/>
              </w:rPr>
              <w:t>“</w:t>
            </w:r>
            <w:r w:rsidRPr="003F6252">
              <w:rPr>
                <w:sz w:val="14"/>
                <w:szCs w:val="14"/>
              </w:rPr>
              <w:t>When individuals are to be exposed to temperatures above those indicated; the following conditions apply: The worker must be submitted to medical surveillance and it must be established that his heat tolerance is better than the average individual</w:t>
            </w:r>
            <w:r w:rsidR="00DB23CF">
              <w:rPr>
                <w:sz w:val="14"/>
                <w:szCs w:val="14"/>
              </w:rPr>
              <w:t>”</w:t>
            </w:r>
          </w:p>
        </w:tc>
      </w:tr>
      <w:tr w:rsidR="00663310" w:rsidRPr="00663310" w14:paraId="2D36610D" w14:textId="77777777" w:rsidTr="00906FF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98" w:type="dxa"/>
            <w:noWrap/>
            <w:vAlign w:val="top"/>
            <w:hideMark/>
          </w:tcPr>
          <w:p w14:paraId="7933359D" w14:textId="77777777" w:rsidR="00663310" w:rsidRPr="003F6252" w:rsidRDefault="00663310" w:rsidP="00663310">
            <w:pPr>
              <w:pStyle w:val="TableLeft"/>
              <w:rPr>
                <w:sz w:val="14"/>
                <w:szCs w:val="14"/>
              </w:rPr>
            </w:pPr>
            <w:r w:rsidRPr="003F6252">
              <w:rPr>
                <w:sz w:val="14"/>
                <w:szCs w:val="14"/>
              </w:rPr>
              <w:t>New Brunswick</w:t>
            </w:r>
          </w:p>
        </w:tc>
        <w:tc>
          <w:tcPr>
            <w:tcW w:w="3240" w:type="dxa"/>
            <w:noWrap/>
            <w:vAlign w:val="top"/>
            <w:hideMark/>
          </w:tcPr>
          <w:p w14:paraId="3C9CC9D0" w14:textId="4C765860" w:rsidR="00663310" w:rsidRPr="003F6252" w:rsidRDefault="00663310" w:rsidP="00663310">
            <w:pPr>
              <w:pStyle w:val="TableLeft"/>
              <w:cnfStyle w:val="000000100000" w:firstRow="0" w:lastRow="0" w:firstColumn="0" w:lastColumn="0" w:oddVBand="0" w:evenVBand="0" w:oddHBand="1" w:evenHBand="0" w:firstRowFirstColumn="0" w:firstRowLastColumn="0" w:lastRowFirstColumn="0" w:lastRowLastColumn="0"/>
              <w:rPr>
                <w:sz w:val="14"/>
                <w:szCs w:val="14"/>
              </w:rPr>
            </w:pPr>
            <w:r w:rsidRPr="003F6252">
              <w:rPr>
                <w:sz w:val="14"/>
                <w:szCs w:val="14"/>
              </w:rPr>
              <w:t xml:space="preserve">Section 22 to 23 of New Brunswick Occupational Health and Safety Act (O.C.91-1035) </w:t>
            </w:r>
            <w:r w:rsidR="00DB23CF">
              <w:rPr>
                <w:sz w:val="14"/>
                <w:szCs w:val="14"/>
              </w:rPr>
              <w:t>“</w:t>
            </w:r>
            <w:r w:rsidRPr="003F6252">
              <w:rPr>
                <w:sz w:val="14"/>
                <w:szCs w:val="14"/>
              </w:rPr>
              <w:t>employer shall ensure 1997 ACGIH standard (TLVs) is followed</w:t>
            </w:r>
            <w:r w:rsidR="00DB23CF">
              <w:rPr>
                <w:sz w:val="14"/>
                <w:szCs w:val="14"/>
              </w:rPr>
              <w:t>”</w:t>
            </w:r>
          </w:p>
        </w:tc>
        <w:tc>
          <w:tcPr>
            <w:tcW w:w="1890" w:type="dxa"/>
            <w:noWrap/>
            <w:vAlign w:val="top"/>
            <w:hideMark/>
          </w:tcPr>
          <w:p w14:paraId="65F6FB1D" w14:textId="77777777" w:rsidR="00663310" w:rsidRPr="003F6252" w:rsidRDefault="00663310" w:rsidP="00663310">
            <w:pPr>
              <w:pStyle w:val="TableLeft"/>
              <w:cnfStyle w:val="000000100000" w:firstRow="0" w:lastRow="0" w:firstColumn="0" w:lastColumn="0" w:oddVBand="0" w:evenVBand="0" w:oddHBand="1" w:evenHBand="0" w:firstRowFirstColumn="0" w:firstRowLastColumn="0" w:lastRowFirstColumn="0" w:lastRowLastColumn="0"/>
              <w:rPr>
                <w:sz w:val="14"/>
                <w:szCs w:val="14"/>
              </w:rPr>
            </w:pPr>
            <w:r w:rsidRPr="003F6252">
              <w:rPr>
                <w:sz w:val="14"/>
                <w:szCs w:val="14"/>
              </w:rPr>
              <w:t>All workplaces</w:t>
            </w:r>
          </w:p>
        </w:tc>
        <w:tc>
          <w:tcPr>
            <w:tcW w:w="3348" w:type="dxa"/>
            <w:noWrap/>
            <w:vAlign w:val="top"/>
            <w:hideMark/>
          </w:tcPr>
          <w:p w14:paraId="4F0C7D79" w14:textId="4CBECB5C" w:rsidR="00663310" w:rsidRPr="003F6252" w:rsidRDefault="00DB23CF" w:rsidP="00663310">
            <w:pPr>
              <w:pStyle w:val="TableLeft"/>
              <w:cnfStyle w:val="000000100000" w:firstRow="0" w:lastRow="0" w:firstColumn="0" w:lastColumn="0" w:oddVBand="0" w:evenVBand="0" w:oddHBand="1" w:evenHBand="0" w:firstRowFirstColumn="0" w:firstRowLastColumn="0" w:lastRowFirstColumn="0" w:lastRowLastColumn="0"/>
              <w:rPr>
                <w:sz w:val="14"/>
                <w:szCs w:val="14"/>
              </w:rPr>
            </w:pPr>
            <w:r>
              <w:rPr>
                <w:sz w:val="14"/>
                <w:szCs w:val="14"/>
              </w:rPr>
              <w:t>“</w:t>
            </w:r>
            <w:r w:rsidR="00663310" w:rsidRPr="003F6252">
              <w:rPr>
                <w:sz w:val="14"/>
                <w:szCs w:val="14"/>
              </w:rPr>
              <w:t>Ensure a competent person instructs employee in significance of heat stress symptoms and in precautions to be taken to avoid injury</w:t>
            </w:r>
            <w:r>
              <w:rPr>
                <w:sz w:val="14"/>
                <w:szCs w:val="14"/>
              </w:rPr>
              <w:t>”</w:t>
            </w:r>
          </w:p>
        </w:tc>
      </w:tr>
      <w:tr w:rsidR="00663310" w:rsidRPr="00663310" w14:paraId="556C048A" w14:textId="77777777" w:rsidTr="00906FF5">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98" w:type="dxa"/>
            <w:noWrap/>
            <w:vAlign w:val="top"/>
            <w:hideMark/>
          </w:tcPr>
          <w:p w14:paraId="1A35FE40" w14:textId="77777777" w:rsidR="00663310" w:rsidRPr="003F6252" w:rsidRDefault="00663310" w:rsidP="00663310">
            <w:pPr>
              <w:pStyle w:val="TableLeft"/>
              <w:rPr>
                <w:sz w:val="14"/>
                <w:szCs w:val="14"/>
              </w:rPr>
            </w:pPr>
            <w:r w:rsidRPr="003F6252">
              <w:rPr>
                <w:sz w:val="14"/>
                <w:szCs w:val="14"/>
              </w:rPr>
              <w:t>Prince Edward Island</w:t>
            </w:r>
          </w:p>
        </w:tc>
        <w:tc>
          <w:tcPr>
            <w:tcW w:w="3240" w:type="dxa"/>
            <w:noWrap/>
            <w:vAlign w:val="top"/>
            <w:hideMark/>
          </w:tcPr>
          <w:p w14:paraId="24679E84" w14:textId="77777777" w:rsidR="00663310" w:rsidRPr="003F6252" w:rsidRDefault="00663310" w:rsidP="00663310">
            <w:pPr>
              <w:pStyle w:val="TableLeft"/>
              <w:cnfStyle w:val="000000010000" w:firstRow="0" w:lastRow="0" w:firstColumn="0" w:lastColumn="0" w:oddVBand="0" w:evenVBand="0" w:oddHBand="0" w:evenHBand="1" w:firstRowFirstColumn="0" w:firstRowLastColumn="0" w:lastRowFirstColumn="0" w:lastRowLastColumn="0"/>
              <w:rPr>
                <w:sz w:val="14"/>
                <w:szCs w:val="14"/>
              </w:rPr>
            </w:pPr>
            <w:r w:rsidRPr="003F6252">
              <w:rPr>
                <w:sz w:val="14"/>
                <w:szCs w:val="14"/>
              </w:rPr>
              <w:t>Prince Edward Island Occupational Health and Safety Regulation 42.1 legislatively requires that 2006 ACGIH standard (TLVs) is followed</w:t>
            </w:r>
          </w:p>
        </w:tc>
        <w:tc>
          <w:tcPr>
            <w:tcW w:w="1890" w:type="dxa"/>
            <w:noWrap/>
            <w:vAlign w:val="top"/>
            <w:hideMark/>
          </w:tcPr>
          <w:p w14:paraId="3638E972" w14:textId="77777777" w:rsidR="00663310" w:rsidRPr="003F6252" w:rsidRDefault="00663310" w:rsidP="00663310">
            <w:pPr>
              <w:pStyle w:val="TableLeft"/>
              <w:cnfStyle w:val="000000010000" w:firstRow="0" w:lastRow="0" w:firstColumn="0" w:lastColumn="0" w:oddVBand="0" w:evenVBand="0" w:oddHBand="0" w:evenHBand="1" w:firstRowFirstColumn="0" w:firstRowLastColumn="0" w:lastRowFirstColumn="0" w:lastRowLastColumn="0"/>
              <w:rPr>
                <w:sz w:val="14"/>
                <w:szCs w:val="14"/>
              </w:rPr>
            </w:pPr>
            <w:r w:rsidRPr="003F6252">
              <w:rPr>
                <w:sz w:val="14"/>
                <w:szCs w:val="14"/>
              </w:rPr>
              <w:t>All workplaces</w:t>
            </w:r>
          </w:p>
        </w:tc>
        <w:tc>
          <w:tcPr>
            <w:tcW w:w="3348" w:type="dxa"/>
            <w:noWrap/>
            <w:vAlign w:val="top"/>
            <w:hideMark/>
          </w:tcPr>
          <w:p w14:paraId="40609CCC" w14:textId="55E7E9E5" w:rsidR="00663310" w:rsidRPr="003F6252" w:rsidRDefault="00663310" w:rsidP="00663310">
            <w:pPr>
              <w:pStyle w:val="TableLeft"/>
              <w:cnfStyle w:val="000000010000" w:firstRow="0" w:lastRow="0" w:firstColumn="0" w:lastColumn="0" w:oddVBand="0" w:evenVBand="0" w:oddHBand="0" w:evenHBand="1" w:firstRowFirstColumn="0" w:firstRowLastColumn="0" w:lastRowFirstColumn="0" w:lastRowLastColumn="0"/>
              <w:rPr>
                <w:sz w:val="14"/>
                <w:szCs w:val="14"/>
              </w:rPr>
            </w:pPr>
            <w:r w:rsidRPr="003F6252">
              <w:rPr>
                <w:sz w:val="14"/>
                <w:szCs w:val="14"/>
              </w:rPr>
              <w:t xml:space="preserve">Where there is a risk of injury or illness from heat, employer is required to take </w:t>
            </w:r>
            <w:r w:rsidR="00DB23CF">
              <w:rPr>
                <w:sz w:val="14"/>
                <w:szCs w:val="14"/>
              </w:rPr>
              <w:t>“</w:t>
            </w:r>
            <w:r w:rsidRPr="003F6252">
              <w:rPr>
                <w:sz w:val="14"/>
                <w:szCs w:val="14"/>
              </w:rPr>
              <w:t>every reasonable precaution to ensure worker safety</w:t>
            </w:r>
            <w:r w:rsidR="00DB23CF">
              <w:rPr>
                <w:sz w:val="14"/>
                <w:szCs w:val="14"/>
              </w:rPr>
              <w:t>”</w:t>
            </w:r>
            <w:r w:rsidRPr="003F6252">
              <w:rPr>
                <w:sz w:val="14"/>
                <w:szCs w:val="14"/>
              </w:rPr>
              <w:t xml:space="preserve"> including management plan to minimize health risk, writing procedures, and provide equipment and training workers in preventative measures</w:t>
            </w:r>
          </w:p>
        </w:tc>
      </w:tr>
      <w:tr w:rsidR="00663310" w:rsidRPr="00663310" w14:paraId="0EB8E434" w14:textId="77777777" w:rsidTr="00906FF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98" w:type="dxa"/>
            <w:noWrap/>
            <w:vAlign w:val="top"/>
            <w:hideMark/>
          </w:tcPr>
          <w:p w14:paraId="2BF71872" w14:textId="77777777" w:rsidR="00663310" w:rsidRPr="003F6252" w:rsidRDefault="00663310" w:rsidP="00663310">
            <w:pPr>
              <w:pStyle w:val="TableLeft"/>
              <w:rPr>
                <w:sz w:val="14"/>
                <w:szCs w:val="14"/>
              </w:rPr>
            </w:pPr>
            <w:r w:rsidRPr="003F6252">
              <w:rPr>
                <w:sz w:val="14"/>
                <w:szCs w:val="14"/>
              </w:rPr>
              <w:t>Nova Scotia</w:t>
            </w:r>
          </w:p>
        </w:tc>
        <w:tc>
          <w:tcPr>
            <w:tcW w:w="3240" w:type="dxa"/>
            <w:noWrap/>
            <w:vAlign w:val="top"/>
            <w:hideMark/>
          </w:tcPr>
          <w:p w14:paraId="41719FFC" w14:textId="77777777" w:rsidR="00663310" w:rsidRPr="003F6252" w:rsidRDefault="00663310" w:rsidP="00663310">
            <w:pPr>
              <w:pStyle w:val="TableLeft"/>
              <w:cnfStyle w:val="000000100000" w:firstRow="0" w:lastRow="0" w:firstColumn="0" w:lastColumn="0" w:oddVBand="0" w:evenVBand="0" w:oddHBand="1" w:evenHBand="0" w:firstRowFirstColumn="0" w:firstRowLastColumn="0" w:lastRowFirstColumn="0" w:lastRowLastColumn="0"/>
              <w:rPr>
                <w:sz w:val="14"/>
                <w:szCs w:val="14"/>
              </w:rPr>
            </w:pPr>
            <w:r w:rsidRPr="003F6252">
              <w:rPr>
                <w:sz w:val="14"/>
                <w:szCs w:val="14"/>
              </w:rPr>
              <w:t>Nova Scotia Occupational Health Regulations for Construction states occupational exposure limits in the heat must adhere to values similar to ACGIH standard (TLVs)</w:t>
            </w:r>
          </w:p>
        </w:tc>
        <w:tc>
          <w:tcPr>
            <w:tcW w:w="1890" w:type="dxa"/>
            <w:noWrap/>
            <w:vAlign w:val="top"/>
            <w:hideMark/>
          </w:tcPr>
          <w:p w14:paraId="3F1366D5" w14:textId="77777777" w:rsidR="00663310" w:rsidRPr="003F6252" w:rsidRDefault="00663310" w:rsidP="00663310">
            <w:pPr>
              <w:pStyle w:val="TableLeft"/>
              <w:cnfStyle w:val="000000100000" w:firstRow="0" w:lastRow="0" w:firstColumn="0" w:lastColumn="0" w:oddVBand="0" w:evenVBand="0" w:oddHBand="1" w:evenHBand="0" w:firstRowFirstColumn="0" w:firstRowLastColumn="0" w:lastRowFirstColumn="0" w:lastRowLastColumn="0"/>
              <w:rPr>
                <w:sz w:val="14"/>
                <w:szCs w:val="14"/>
              </w:rPr>
            </w:pPr>
            <w:r w:rsidRPr="003F6252">
              <w:rPr>
                <w:sz w:val="14"/>
                <w:szCs w:val="14"/>
              </w:rPr>
              <w:t>Construction</w:t>
            </w:r>
          </w:p>
        </w:tc>
        <w:tc>
          <w:tcPr>
            <w:tcW w:w="3348" w:type="dxa"/>
            <w:noWrap/>
            <w:vAlign w:val="top"/>
            <w:hideMark/>
          </w:tcPr>
          <w:p w14:paraId="665CBC83" w14:textId="77777777" w:rsidR="00663310" w:rsidRPr="003F6252" w:rsidRDefault="00663310" w:rsidP="00663310">
            <w:pPr>
              <w:pStyle w:val="TableLeft"/>
              <w:cnfStyle w:val="000000100000" w:firstRow="0" w:lastRow="0" w:firstColumn="0" w:lastColumn="0" w:oddVBand="0" w:evenVBand="0" w:oddHBand="1" w:evenHBand="0" w:firstRowFirstColumn="0" w:firstRowLastColumn="0" w:lastRowFirstColumn="0" w:lastRowLastColumn="0"/>
              <w:rPr>
                <w:sz w:val="14"/>
                <w:szCs w:val="14"/>
              </w:rPr>
            </w:pPr>
            <w:r w:rsidRPr="003F6252">
              <w:rPr>
                <w:sz w:val="14"/>
                <w:szCs w:val="14"/>
              </w:rPr>
              <w:t>Suggests administrative and engineering controls</w:t>
            </w:r>
          </w:p>
        </w:tc>
      </w:tr>
      <w:tr w:rsidR="00663310" w:rsidRPr="00663310" w14:paraId="4509B9FD" w14:textId="77777777" w:rsidTr="00906FF5">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98" w:type="dxa"/>
            <w:noWrap/>
            <w:vAlign w:val="top"/>
            <w:hideMark/>
          </w:tcPr>
          <w:p w14:paraId="661766F8" w14:textId="77777777" w:rsidR="00663310" w:rsidRPr="003F6252" w:rsidRDefault="00663310" w:rsidP="00663310">
            <w:pPr>
              <w:pStyle w:val="TableLeft"/>
              <w:rPr>
                <w:sz w:val="14"/>
                <w:szCs w:val="14"/>
              </w:rPr>
            </w:pPr>
            <w:r w:rsidRPr="003F6252">
              <w:rPr>
                <w:sz w:val="14"/>
                <w:szCs w:val="14"/>
              </w:rPr>
              <w:t>Newfoundland and Labrador</w:t>
            </w:r>
          </w:p>
        </w:tc>
        <w:tc>
          <w:tcPr>
            <w:tcW w:w="3240" w:type="dxa"/>
            <w:noWrap/>
            <w:vAlign w:val="top"/>
            <w:hideMark/>
          </w:tcPr>
          <w:p w14:paraId="2AD62E42" w14:textId="77777777" w:rsidR="00663310" w:rsidRPr="003F6252" w:rsidRDefault="00663310" w:rsidP="00663310">
            <w:pPr>
              <w:pStyle w:val="TableLeft"/>
              <w:cnfStyle w:val="000000010000" w:firstRow="0" w:lastRow="0" w:firstColumn="0" w:lastColumn="0" w:oddVBand="0" w:evenVBand="0" w:oddHBand="0" w:evenHBand="1" w:firstRowFirstColumn="0" w:firstRowLastColumn="0" w:lastRowFirstColumn="0" w:lastRowLastColumn="0"/>
              <w:rPr>
                <w:sz w:val="14"/>
                <w:szCs w:val="14"/>
              </w:rPr>
            </w:pPr>
            <w:r w:rsidRPr="003F6252">
              <w:rPr>
                <w:sz w:val="14"/>
                <w:szCs w:val="14"/>
              </w:rPr>
              <w:t>Section10 of the Occupational Health and Safety Act of the Consolidated Newfoundland Regulation (1165/96) requires workplace conditions of a thermal environment which are reasonable and consistent with degree of work as established by latest ACGIH standard (TLVs)</w:t>
            </w:r>
          </w:p>
        </w:tc>
        <w:tc>
          <w:tcPr>
            <w:tcW w:w="1890" w:type="dxa"/>
            <w:noWrap/>
            <w:vAlign w:val="top"/>
            <w:hideMark/>
          </w:tcPr>
          <w:p w14:paraId="75B95E9C" w14:textId="77777777" w:rsidR="00663310" w:rsidRPr="003F6252" w:rsidRDefault="00663310" w:rsidP="00663310">
            <w:pPr>
              <w:pStyle w:val="TableLeft"/>
              <w:cnfStyle w:val="000000010000" w:firstRow="0" w:lastRow="0" w:firstColumn="0" w:lastColumn="0" w:oddVBand="0" w:evenVBand="0" w:oddHBand="0" w:evenHBand="1" w:firstRowFirstColumn="0" w:firstRowLastColumn="0" w:lastRowFirstColumn="0" w:lastRowLastColumn="0"/>
              <w:rPr>
                <w:sz w:val="14"/>
                <w:szCs w:val="14"/>
              </w:rPr>
            </w:pPr>
            <w:r w:rsidRPr="003F6252">
              <w:rPr>
                <w:sz w:val="14"/>
                <w:szCs w:val="14"/>
              </w:rPr>
              <w:t>All workplaces</w:t>
            </w:r>
          </w:p>
        </w:tc>
        <w:tc>
          <w:tcPr>
            <w:tcW w:w="3348" w:type="dxa"/>
            <w:noWrap/>
            <w:vAlign w:val="top"/>
            <w:hideMark/>
          </w:tcPr>
          <w:p w14:paraId="636F6F32" w14:textId="05D5D18D" w:rsidR="00663310" w:rsidRPr="003F6252" w:rsidRDefault="00DB23CF" w:rsidP="00663310">
            <w:pPr>
              <w:pStyle w:val="TableLeft"/>
              <w:cnfStyle w:val="000000010000" w:firstRow="0" w:lastRow="0" w:firstColumn="0" w:lastColumn="0" w:oddVBand="0" w:evenVBand="0" w:oddHBand="0" w:evenHBand="1" w:firstRowFirstColumn="0" w:firstRowLastColumn="0" w:lastRowFirstColumn="0" w:lastRowLastColumn="0"/>
              <w:rPr>
                <w:sz w:val="14"/>
                <w:szCs w:val="14"/>
              </w:rPr>
            </w:pPr>
            <w:r>
              <w:rPr>
                <w:sz w:val="14"/>
                <w:szCs w:val="14"/>
              </w:rPr>
              <w:t>“</w:t>
            </w:r>
            <w:r w:rsidR="00663310" w:rsidRPr="003F6252">
              <w:rPr>
                <w:sz w:val="14"/>
                <w:szCs w:val="14"/>
              </w:rPr>
              <w:t>Shall make further provisions for health and safety and reasonable thermal comfort of workers.</w:t>
            </w:r>
            <w:r>
              <w:rPr>
                <w:sz w:val="14"/>
                <w:szCs w:val="14"/>
              </w:rPr>
              <w:t>”</w:t>
            </w:r>
            <w:r w:rsidR="00663310" w:rsidRPr="003F6252">
              <w:rPr>
                <w:sz w:val="14"/>
                <w:szCs w:val="14"/>
              </w:rPr>
              <w:t xml:space="preserve"> Suggests administrative and engineering controls, and protective clothing</w:t>
            </w:r>
          </w:p>
        </w:tc>
      </w:tr>
      <w:tr w:rsidR="00663310" w:rsidRPr="00663310" w14:paraId="6C764637" w14:textId="77777777" w:rsidTr="00906FF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98" w:type="dxa"/>
            <w:noWrap/>
            <w:vAlign w:val="top"/>
            <w:hideMark/>
          </w:tcPr>
          <w:p w14:paraId="2130FD2C" w14:textId="77777777" w:rsidR="00663310" w:rsidRPr="003F6252" w:rsidRDefault="00663310" w:rsidP="00663310">
            <w:pPr>
              <w:pStyle w:val="TableLeft"/>
              <w:rPr>
                <w:sz w:val="14"/>
                <w:szCs w:val="14"/>
              </w:rPr>
            </w:pPr>
            <w:r w:rsidRPr="003F6252">
              <w:rPr>
                <w:sz w:val="14"/>
                <w:szCs w:val="14"/>
              </w:rPr>
              <w:t>Yukon Territory</w:t>
            </w:r>
          </w:p>
        </w:tc>
        <w:tc>
          <w:tcPr>
            <w:tcW w:w="3240" w:type="dxa"/>
            <w:noWrap/>
            <w:vAlign w:val="top"/>
            <w:hideMark/>
          </w:tcPr>
          <w:p w14:paraId="6F6D47CA" w14:textId="77777777" w:rsidR="00663310" w:rsidRPr="003F6252" w:rsidRDefault="00663310" w:rsidP="00663310">
            <w:pPr>
              <w:pStyle w:val="TableLeft"/>
              <w:cnfStyle w:val="000000100000" w:firstRow="0" w:lastRow="0" w:firstColumn="0" w:lastColumn="0" w:oddVBand="0" w:evenVBand="0" w:oddHBand="1" w:evenHBand="0" w:firstRowFirstColumn="0" w:firstRowLastColumn="0" w:lastRowFirstColumn="0" w:lastRowLastColumn="0"/>
              <w:rPr>
                <w:sz w:val="14"/>
                <w:szCs w:val="14"/>
              </w:rPr>
            </w:pPr>
            <w:r w:rsidRPr="003F6252">
              <w:rPr>
                <w:sz w:val="14"/>
                <w:szCs w:val="14"/>
              </w:rPr>
              <w:t>Section 9 of the Yukon Occupational Health Regulations 2005, requires thermal conditions to be reasonable and appropriate to the nature of work. Suggests monitoring conditions but does not recommend specific method</w:t>
            </w:r>
          </w:p>
        </w:tc>
        <w:tc>
          <w:tcPr>
            <w:tcW w:w="1890" w:type="dxa"/>
            <w:noWrap/>
            <w:vAlign w:val="top"/>
            <w:hideMark/>
          </w:tcPr>
          <w:p w14:paraId="4E68032C" w14:textId="77777777" w:rsidR="00663310" w:rsidRPr="003F6252" w:rsidRDefault="00663310" w:rsidP="00663310">
            <w:pPr>
              <w:pStyle w:val="TableLeft"/>
              <w:cnfStyle w:val="000000100000" w:firstRow="0" w:lastRow="0" w:firstColumn="0" w:lastColumn="0" w:oddVBand="0" w:evenVBand="0" w:oddHBand="1" w:evenHBand="0" w:firstRowFirstColumn="0" w:firstRowLastColumn="0" w:lastRowFirstColumn="0" w:lastRowLastColumn="0"/>
              <w:rPr>
                <w:sz w:val="14"/>
                <w:szCs w:val="14"/>
              </w:rPr>
            </w:pPr>
            <w:r w:rsidRPr="003F6252">
              <w:rPr>
                <w:sz w:val="14"/>
                <w:szCs w:val="14"/>
              </w:rPr>
              <w:t>Indoor workplaces</w:t>
            </w:r>
          </w:p>
        </w:tc>
        <w:tc>
          <w:tcPr>
            <w:tcW w:w="3348" w:type="dxa"/>
            <w:noWrap/>
            <w:vAlign w:val="top"/>
            <w:hideMark/>
          </w:tcPr>
          <w:p w14:paraId="074E9351" w14:textId="338F1100" w:rsidR="00663310" w:rsidRPr="003F6252" w:rsidRDefault="00DB23CF" w:rsidP="00663310">
            <w:pPr>
              <w:pStyle w:val="TableLeft"/>
              <w:cnfStyle w:val="000000100000" w:firstRow="0" w:lastRow="0" w:firstColumn="0" w:lastColumn="0" w:oddVBand="0" w:evenVBand="0" w:oddHBand="1" w:evenHBand="0" w:firstRowFirstColumn="0" w:firstRowLastColumn="0" w:lastRowFirstColumn="0" w:lastRowLastColumn="0"/>
              <w:rPr>
                <w:sz w:val="14"/>
                <w:szCs w:val="14"/>
              </w:rPr>
            </w:pPr>
            <w:r>
              <w:rPr>
                <w:sz w:val="14"/>
                <w:szCs w:val="14"/>
              </w:rPr>
              <w:t>“</w:t>
            </w:r>
            <w:r w:rsidR="00663310" w:rsidRPr="003F6252">
              <w:rPr>
                <w:sz w:val="14"/>
                <w:szCs w:val="14"/>
              </w:rPr>
              <w:t>Provide effective protection for the health and safety and reasonable thermal comfort of workers.</w:t>
            </w:r>
            <w:r>
              <w:rPr>
                <w:sz w:val="14"/>
                <w:szCs w:val="14"/>
              </w:rPr>
              <w:t>”</w:t>
            </w:r>
            <w:r w:rsidR="00663310" w:rsidRPr="003F6252">
              <w:rPr>
                <w:sz w:val="14"/>
                <w:szCs w:val="14"/>
              </w:rPr>
              <w:t xml:space="preserve"> Suggests administrative and engineering controls, acclimatization and protective clothing</w:t>
            </w:r>
          </w:p>
        </w:tc>
      </w:tr>
      <w:tr w:rsidR="00663310" w:rsidRPr="00663310" w14:paraId="3DEE3AAE" w14:textId="77777777" w:rsidTr="00906FF5">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98" w:type="dxa"/>
            <w:noWrap/>
            <w:vAlign w:val="top"/>
            <w:hideMark/>
          </w:tcPr>
          <w:p w14:paraId="1070AA3D" w14:textId="77777777" w:rsidR="00663310" w:rsidRPr="003F6252" w:rsidRDefault="00663310" w:rsidP="00663310">
            <w:pPr>
              <w:pStyle w:val="TableLeft"/>
              <w:rPr>
                <w:sz w:val="14"/>
                <w:szCs w:val="14"/>
              </w:rPr>
            </w:pPr>
            <w:r w:rsidRPr="003F6252">
              <w:rPr>
                <w:sz w:val="14"/>
                <w:szCs w:val="14"/>
              </w:rPr>
              <w:t>Northwest Territories</w:t>
            </w:r>
          </w:p>
        </w:tc>
        <w:tc>
          <w:tcPr>
            <w:tcW w:w="3240" w:type="dxa"/>
            <w:noWrap/>
            <w:vAlign w:val="top"/>
            <w:hideMark/>
          </w:tcPr>
          <w:p w14:paraId="4D3F9C2F" w14:textId="06005CDE" w:rsidR="00663310" w:rsidRPr="003F6252" w:rsidRDefault="00663310" w:rsidP="00663310">
            <w:pPr>
              <w:pStyle w:val="TableLeft"/>
              <w:cnfStyle w:val="000000010000" w:firstRow="0" w:lastRow="0" w:firstColumn="0" w:lastColumn="0" w:oddVBand="0" w:evenVBand="0" w:oddHBand="0" w:evenHBand="1" w:firstRowFirstColumn="0" w:firstRowLastColumn="0" w:lastRowFirstColumn="0" w:lastRowLastColumn="0"/>
              <w:rPr>
                <w:sz w:val="14"/>
                <w:szCs w:val="14"/>
              </w:rPr>
            </w:pPr>
            <w:r w:rsidRPr="003F6252">
              <w:rPr>
                <w:sz w:val="14"/>
                <w:szCs w:val="14"/>
              </w:rPr>
              <w:t>Section 9.60 of Revised Regulations of the Northwest Territories 1990, requires hot environments be monitored. Requires adherence to 1994</w:t>
            </w:r>
            <w:r w:rsidR="001804B2">
              <w:rPr>
                <w:sz w:val="14"/>
                <w:szCs w:val="14"/>
              </w:rPr>
              <w:t>–</w:t>
            </w:r>
            <w:r w:rsidRPr="003F6252">
              <w:rPr>
                <w:sz w:val="14"/>
                <w:szCs w:val="14"/>
              </w:rPr>
              <w:t>1995 ACGIH standard (TLVs)</w:t>
            </w:r>
          </w:p>
        </w:tc>
        <w:tc>
          <w:tcPr>
            <w:tcW w:w="1890" w:type="dxa"/>
            <w:noWrap/>
            <w:vAlign w:val="top"/>
            <w:hideMark/>
          </w:tcPr>
          <w:p w14:paraId="1C578F7E" w14:textId="77777777" w:rsidR="00663310" w:rsidRPr="003F6252" w:rsidRDefault="00663310" w:rsidP="00663310">
            <w:pPr>
              <w:pStyle w:val="TableLeft"/>
              <w:cnfStyle w:val="000000010000" w:firstRow="0" w:lastRow="0" w:firstColumn="0" w:lastColumn="0" w:oddVBand="0" w:evenVBand="0" w:oddHBand="0" w:evenHBand="1" w:firstRowFirstColumn="0" w:firstRowLastColumn="0" w:lastRowFirstColumn="0" w:lastRowLastColumn="0"/>
              <w:rPr>
                <w:sz w:val="14"/>
                <w:szCs w:val="14"/>
              </w:rPr>
            </w:pPr>
            <w:r w:rsidRPr="003F6252">
              <w:rPr>
                <w:sz w:val="14"/>
                <w:szCs w:val="14"/>
              </w:rPr>
              <w:t>Underground mines</w:t>
            </w:r>
          </w:p>
        </w:tc>
        <w:tc>
          <w:tcPr>
            <w:tcW w:w="3348" w:type="dxa"/>
            <w:noWrap/>
            <w:vAlign w:val="top"/>
            <w:hideMark/>
          </w:tcPr>
          <w:p w14:paraId="66289523" w14:textId="0FB53881" w:rsidR="00663310" w:rsidRPr="003F6252" w:rsidRDefault="00DB23CF" w:rsidP="00663310">
            <w:pPr>
              <w:pStyle w:val="TableLeft"/>
              <w:cnfStyle w:val="000000010000" w:firstRow="0" w:lastRow="0" w:firstColumn="0" w:lastColumn="0" w:oddVBand="0" w:evenVBand="0" w:oddHBand="0" w:evenHBand="1" w:firstRowFirstColumn="0" w:firstRowLastColumn="0" w:lastRowFirstColumn="0" w:lastRowLastColumn="0"/>
              <w:rPr>
                <w:sz w:val="14"/>
                <w:szCs w:val="14"/>
              </w:rPr>
            </w:pPr>
            <w:r>
              <w:rPr>
                <w:sz w:val="14"/>
                <w:szCs w:val="14"/>
              </w:rPr>
              <w:t>“</w:t>
            </w:r>
            <w:r w:rsidR="00663310" w:rsidRPr="003F6252">
              <w:rPr>
                <w:sz w:val="14"/>
                <w:szCs w:val="14"/>
              </w:rPr>
              <w:t>Manager shall institute a program</w:t>
            </w:r>
            <w:r>
              <w:rPr>
                <w:sz w:val="14"/>
                <w:szCs w:val="14"/>
              </w:rPr>
              <w:t>”</w:t>
            </w:r>
            <w:r w:rsidR="00663310" w:rsidRPr="003F6252">
              <w:rPr>
                <w:sz w:val="14"/>
                <w:szCs w:val="14"/>
              </w:rPr>
              <w:t xml:space="preserve"> including informing and training employees for recognizing symptoms. Protective measures are also required to </w:t>
            </w:r>
            <w:r>
              <w:rPr>
                <w:sz w:val="14"/>
                <w:szCs w:val="14"/>
              </w:rPr>
              <w:t>“</w:t>
            </w:r>
            <w:r w:rsidR="00663310" w:rsidRPr="003F6252">
              <w:rPr>
                <w:sz w:val="14"/>
                <w:szCs w:val="14"/>
              </w:rPr>
              <w:t>adequately protect employees</w:t>
            </w:r>
            <w:r>
              <w:rPr>
                <w:sz w:val="14"/>
                <w:szCs w:val="14"/>
              </w:rPr>
              <w:t>”</w:t>
            </w:r>
          </w:p>
        </w:tc>
      </w:tr>
      <w:tr w:rsidR="00663310" w:rsidRPr="00663310" w14:paraId="0FAD7137" w14:textId="77777777" w:rsidTr="00906FF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98" w:type="dxa"/>
            <w:noWrap/>
            <w:vAlign w:val="top"/>
            <w:hideMark/>
          </w:tcPr>
          <w:p w14:paraId="774DEC51" w14:textId="77777777" w:rsidR="00663310" w:rsidRPr="003F6252" w:rsidRDefault="00663310" w:rsidP="00663310">
            <w:pPr>
              <w:pStyle w:val="TableLeft"/>
              <w:rPr>
                <w:sz w:val="14"/>
                <w:szCs w:val="14"/>
              </w:rPr>
            </w:pPr>
            <w:r w:rsidRPr="003F6252">
              <w:rPr>
                <w:sz w:val="14"/>
                <w:szCs w:val="14"/>
              </w:rPr>
              <w:t>Nunavut</w:t>
            </w:r>
          </w:p>
        </w:tc>
        <w:tc>
          <w:tcPr>
            <w:tcW w:w="3240" w:type="dxa"/>
            <w:noWrap/>
            <w:vAlign w:val="top"/>
            <w:hideMark/>
          </w:tcPr>
          <w:p w14:paraId="036FC7BB" w14:textId="13EE7AD3" w:rsidR="00663310" w:rsidRPr="003F6252" w:rsidRDefault="00663310" w:rsidP="00663310">
            <w:pPr>
              <w:pStyle w:val="TableLeft"/>
              <w:cnfStyle w:val="000000100000" w:firstRow="0" w:lastRow="0" w:firstColumn="0" w:lastColumn="0" w:oddVBand="0" w:evenVBand="0" w:oddHBand="1" w:evenHBand="0" w:firstRowFirstColumn="0" w:firstRowLastColumn="0" w:lastRowFirstColumn="0" w:lastRowLastColumn="0"/>
              <w:rPr>
                <w:sz w:val="14"/>
                <w:szCs w:val="14"/>
              </w:rPr>
            </w:pPr>
            <w:r w:rsidRPr="003F6252">
              <w:rPr>
                <w:sz w:val="14"/>
                <w:szCs w:val="14"/>
              </w:rPr>
              <w:t>Section 9.60 of Nunavut Mine Health and Safety Act, Mine Health and Safety Regulations 2003, requires hot environments be monitored. Requires adherence to1994</w:t>
            </w:r>
            <w:r w:rsidR="00F76892">
              <w:rPr>
                <w:sz w:val="14"/>
                <w:szCs w:val="14"/>
              </w:rPr>
              <w:t>–</w:t>
            </w:r>
            <w:r w:rsidRPr="003F6252">
              <w:rPr>
                <w:sz w:val="14"/>
                <w:szCs w:val="14"/>
              </w:rPr>
              <w:t>1995 ACGIH standard (TLVs)</w:t>
            </w:r>
          </w:p>
        </w:tc>
        <w:tc>
          <w:tcPr>
            <w:tcW w:w="1890" w:type="dxa"/>
            <w:noWrap/>
            <w:vAlign w:val="top"/>
            <w:hideMark/>
          </w:tcPr>
          <w:p w14:paraId="724DFE6A" w14:textId="77777777" w:rsidR="00663310" w:rsidRPr="003F6252" w:rsidRDefault="00663310" w:rsidP="00663310">
            <w:pPr>
              <w:pStyle w:val="TableLeft"/>
              <w:cnfStyle w:val="000000100000" w:firstRow="0" w:lastRow="0" w:firstColumn="0" w:lastColumn="0" w:oddVBand="0" w:evenVBand="0" w:oddHBand="1" w:evenHBand="0" w:firstRowFirstColumn="0" w:firstRowLastColumn="0" w:lastRowFirstColumn="0" w:lastRowLastColumn="0"/>
              <w:rPr>
                <w:sz w:val="14"/>
                <w:szCs w:val="14"/>
              </w:rPr>
            </w:pPr>
            <w:r w:rsidRPr="003F6252">
              <w:rPr>
                <w:sz w:val="14"/>
                <w:szCs w:val="14"/>
              </w:rPr>
              <w:t>Underground mines</w:t>
            </w:r>
          </w:p>
        </w:tc>
        <w:tc>
          <w:tcPr>
            <w:tcW w:w="3348" w:type="dxa"/>
            <w:noWrap/>
            <w:vAlign w:val="top"/>
            <w:hideMark/>
          </w:tcPr>
          <w:p w14:paraId="35260C2A" w14:textId="14C728A0" w:rsidR="00663310" w:rsidRPr="003F6252" w:rsidRDefault="00DB23CF" w:rsidP="00663310">
            <w:pPr>
              <w:pStyle w:val="TableLeft"/>
              <w:cnfStyle w:val="000000100000" w:firstRow="0" w:lastRow="0" w:firstColumn="0" w:lastColumn="0" w:oddVBand="0" w:evenVBand="0" w:oddHBand="1" w:evenHBand="0" w:firstRowFirstColumn="0" w:firstRowLastColumn="0" w:lastRowFirstColumn="0" w:lastRowLastColumn="0"/>
              <w:rPr>
                <w:sz w:val="14"/>
                <w:szCs w:val="14"/>
              </w:rPr>
            </w:pPr>
            <w:r>
              <w:rPr>
                <w:sz w:val="14"/>
                <w:szCs w:val="14"/>
              </w:rPr>
              <w:t>“</w:t>
            </w:r>
            <w:r w:rsidR="00663310" w:rsidRPr="003F6252">
              <w:rPr>
                <w:sz w:val="14"/>
                <w:szCs w:val="14"/>
              </w:rPr>
              <w:t>Manager shall institute a program</w:t>
            </w:r>
            <w:r>
              <w:rPr>
                <w:sz w:val="14"/>
                <w:szCs w:val="14"/>
              </w:rPr>
              <w:t>”</w:t>
            </w:r>
            <w:r w:rsidR="00663310" w:rsidRPr="003F6252">
              <w:rPr>
                <w:sz w:val="14"/>
                <w:szCs w:val="14"/>
              </w:rPr>
              <w:t xml:space="preserve"> including informing and training employees for recognizing symptoms. Protective measures are also required to </w:t>
            </w:r>
            <w:r>
              <w:rPr>
                <w:sz w:val="14"/>
                <w:szCs w:val="14"/>
              </w:rPr>
              <w:t>“</w:t>
            </w:r>
            <w:r w:rsidR="00663310" w:rsidRPr="003F6252">
              <w:rPr>
                <w:sz w:val="14"/>
                <w:szCs w:val="14"/>
              </w:rPr>
              <w:t>adequately protect employees</w:t>
            </w:r>
            <w:r>
              <w:rPr>
                <w:sz w:val="14"/>
                <w:szCs w:val="14"/>
              </w:rPr>
              <w:t>”</w:t>
            </w:r>
          </w:p>
        </w:tc>
      </w:tr>
    </w:tbl>
    <w:p w14:paraId="10213561" w14:textId="6D77F6D8" w:rsidR="009E3D18" w:rsidRPr="009E3D18" w:rsidRDefault="009E3D18" w:rsidP="009E3D18">
      <w:pPr>
        <w:pStyle w:val="Asterisks"/>
      </w:pPr>
      <w:r>
        <w:t>Source: Jay and Kenny. p. 847, Table III.</w:t>
      </w:r>
    </w:p>
    <w:p w14:paraId="2F38990B" w14:textId="51B19BC5" w:rsidR="0055085C" w:rsidRPr="002F64A6" w:rsidRDefault="0055085C" w:rsidP="0055085C">
      <w:pPr>
        <w:pStyle w:val="Caption"/>
      </w:pPr>
      <w:bookmarkStart w:id="55" w:name="_Ref515982683"/>
      <w:r w:rsidRPr="002F64A6">
        <w:lastRenderedPageBreak/>
        <w:t xml:space="preserve">Figure </w:t>
      </w:r>
      <w:r w:rsidR="00A46EC9">
        <w:fldChar w:fldCharType="begin"/>
      </w:r>
      <w:r w:rsidR="00A46EC9">
        <w:instrText xml:space="preserve"> SEQ Figure \* ARABIC </w:instrText>
      </w:r>
      <w:r w:rsidR="00A46EC9">
        <w:fldChar w:fldCharType="separate"/>
      </w:r>
      <w:r w:rsidR="00E35FAB">
        <w:rPr>
          <w:noProof/>
        </w:rPr>
        <w:t>7</w:t>
      </w:r>
      <w:r w:rsidR="00A46EC9">
        <w:rPr>
          <w:noProof/>
        </w:rPr>
        <w:fldChar w:fldCharType="end"/>
      </w:r>
      <w:bookmarkEnd w:id="53"/>
      <w:bookmarkEnd w:id="55"/>
      <w:r w:rsidRPr="002F64A6">
        <w:t>. U.S. Navy PHEL curves</w:t>
      </w:r>
      <w:bookmarkEnd w:id="54"/>
    </w:p>
    <w:p w14:paraId="29540B2C" w14:textId="77777777" w:rsidR="0055085C" w:rsidRPr="002F64A6" w:rsidRDefault="0055085C" w:rsidP="0055085C">
      <w:r w:rsidRPr="002F64A6">
        <w:rPr>
          <w:noProof/>
        </w:rPr>
        <w:drawing>
          <wp:inline distT="0" distB="0" distL="0" distR="0" wp14:anchorId="04698B01" wp14:editId="6006699F">
            <wp:extent cx="5943600" cy="3329305"/>
            <wp:effectExtent l="0" t="0" r="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943600" cy="3329305"/>
                    </a:xfrm>
                    <a:prstGeom prst="rect">
                      <a:avLst/>
                    </a:prstGeom>
                  </pic:spPr>
                </pic:pic>
              </a:graphicData>
            </a:graphic>
          </wp:inline>
        </w:drawing>
      </w:r>
    </w:p>
    <w:p w14:paraId="183D581A" w14:textId="59FC92C9" w:rsidR="0055085C" w:rsidRPr="002F64A6" w:rsidRDefault="0055085C" w:rsidP="00964699">
      <w:pPr>
        <w:pStyle w:val="Asterisks"/>
        <w:ind w:left="540" w:right="360"/>
      </w:pPr>
      <w:r w:rsidRPr="002F64A6">
        <w:t xml:space="preserve">Source: </w:t>
      </w:r>
      <w:r w:rsidR="00534ABA" w:rsidRPr="00534ABA">
        <w:t>Manual of Naval Preventive Medicine. Department of the Navy. NAVMED P-5010-3 (Rev. 2-2009)</w:t>
      </w:r>
      <w:r w:rsidR="00534ABA">
        <w:t>.</w:t>
      </w:r>
      <w:r w:rsidRPr="002F64A6">
        <w:t xml:space="preserve"> p. 3-17, Figure 3-5.</w:t>
      </w:r>
    </w:p>
    <w:p w14:paraId="1EFBC256" w14:textId="77777777" w:rsidR="0055085C" w:rsidRPr="002F64A6" w:rsidRDefault="0055085C"/>
    <w:p w14:paraId="76B7F338" w14:textId="1C43DCCC" w:rsidR="00D34767" w:rsidRPr="002F64A6" w:rsidRDefault="00D34767" w:rsidP="00D34767">
      <w:pPr>
        <w:pStyle w:val="Caption"/>
      </w:pPr>
      <w:bookmarkStart w:id="56" w:name="_Ref514867648"/>
      <w:r w:rsidRPr="002F64A6">
        <w:lastRenderedPageBreak/>
        <w:t xml:space="preserve">Table </w:t>
      </w:r>
      <w:r w:rsidR="00A46EC9">
        <w:fldChar w:fldCharType="begin"/>
      </w:r>
      <w:r w:rsidR="00A46EC9">
        <w:instrText xml:space="preserve"> SEQ Table \* ARABIC </w:instrText>
      </w:r>
      <w:r w:rsidR="00A46EC9">
        <w:fldChar w:fldCharType="separate"/>
      </w:r>
      <w:r w:rsidR="00E35FAB">
        <w:rPr>
          <w:noProof/>
        </w:rPr>
        <w:t>10</w:t>
      </w:r>
      <w:r w:rsidR="00A46EC9">
        <w:rPr>
          <w:noProof/>
        </w:rPr>
        <w:fldChar w:fldCharType="end"/>
      </w:r>
      <w:bookmarkEnd w:id="56"/>
      <w:r w:rsidRPr="002F64A6">
        <w:t>. U.S. Navy PHEL time limits for PHEL curves I-VI without the</w:t>
      </w:r>
      <w:r w:rsidRPr="002F64A6">
        <w:br/>
        <w:t>presence of fuel combustion gases/fuel vapors</w:t>
      </w:r>
    </w:p>
    <w:p w14:paraId="710EE4CE" w14:textId="0555C856" w:rsidR="0055085C" w:rsidRDefault="00D34767" w:rsidP="00D34767">
      <w:pPr>
        <w:jc w:val="center"/>
      </w:pPr>
      <w:r w:rsidRPr="002F64A6">
        <w:rPr>
          <w:noProof/>
        </w:rPr>
        <w:drawing>
          <wp:inline distT="0" distB="0" distL="0" distR="0" wp14:anchorId="46F34443" wp14:editId="23DA3BF0">
            <wp:extent cx="5280371" cy="7727153"/>
            <wp:effectExtent l="0" t="0" r="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5285267" cy="7734318"/>
                    </a:xfrm>
                    <a:prstGeom prst="rect">
                      <a:avLst/>
                    </a:prstGeom>
                  </pic:spPr>
                </pic:pic>
              </a:graphicData>
            </a:graphic>
          </wp:inline>
        </w:drawing>
      </w:r>
    </w:p>
    <w:sectPr w:rsidR="0055085C" w:rsidSect="000021E8">
      <w:headerReference w:type="default" r:id="rId22"/>
      <w:footerReference w:type="default" r:id="rId23"/>
      <w:headerReference w:type="first" r:id="rId24"/>
      <w:endnotePr>
        <w:numFmt w:val="decimal"/>
      </w:endnotePr>
      <w:pgSz w:w="12240" w:h="15840"/>
      <w:pgMar w:top="1440" w:right="1440" w:bottom="1440" w:left="1440" w:header="288"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EC9206" w14:textId="77777777" w:rsidR="00A46EC9" w:rsidRDefault="00A46EC9" w:rsidP="00ED710D">
      <w:pPr>
        <w:spacing w:after="0"/>
      </w:pPr>
      <w:r>
        <w:separator/>
      </w:r>
    </w:p>
  </w:endnote>
  <w:endnote w:type="continuationSeparator" w:id="0">
    <w:p w14:paraId="06AA6CC4" w14:textId="77777777" w:rsidR="00A46EC9" w:rsidRDefault="00A46EC9" w:rsidP="00ED710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dvTTdf3ef5c4.I">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2956458"/>
      <w:docPartObj>
        <w:docPartGallery w:val="Page Numbers (Bottom of Page)"/>
        <w:docPartUnique/>
      </w:docPartObj>
    </w:sdtPr>
    <w:sdtEndPr>
      <w:rPr>
        <w:noProof/>
      </w:rPr>
    </w:sdtEndPr>
    <w:sdtContent>
      <w:p w14:paraId="003B57B6" w14:textId="77777777" w:rsidR="001232D3" w:rsidRDefault="001232D3">
        <w:pPr>
          <w:pStyle w:val="Footer"/>
          <w:jc w:val="center"/>
        </w:pPr>
        <w:r>
          <w:fldChar w:fldCharType="begin"/>
        </w:r>
        <w:r>
          <w:instrText xml:space="preserve"> PAGE   \* MERGEFORMAT </w:instrText>
        </w:r>
        <w:r>
          <w:fldChar w:fldCharType="separate"/>
        </w:r>
        <w:r w:rsidR="00150986">
          <w:rPr>
            <w:noProof/>
          </w:rPr>
          <w:t>8</w:t>
        </w:r>
        <w:r>
          <w:rPr>
            <w:noProof/>
          </w:rPr>
          <w:fldChar w:fldCharType="end"/>
        </w:r>
      </w:p>
    </w:sdtContent>
  </w:sdt>
  <w:p w14:paraId="7FA08EF8" w14:textId="77777777" w:rsidR="001232D3" w:rsidRDefault="001232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D4AD41" w14:textId="77777777" w:rsidR="00A46EC9" w:rsidRDefault="00A46EC9" w:rsidP="00ED710D">
      <w:pPr>
        <w:spacing w:after="0"/>
      </w:pPr>
      <w:r>
        <w:separator/>
      </w:r>
    </w:p>
  </w:footnote>
  <w:footnote w:type="continuationSeparator" w:id="0">
    <w:p w14:paraId="47ADBEA4" w14:textId="77777777" w:rsidR="00A46EC9" w:rsidRDefault="00A46EC9" w:rsidP="00ED710D">
      <w:pPr>
        <w:spacing w:after="0"/>
      </w:pPr>
      <w:r>
        <w:continuationSeparator/>
      </w:r>
    </w:p>
  </w:footnote>
  <w:footnote w:id="1">
    <w:p w14:paraId="172C171F" w14:textId="0585193C" w:rsidR="001232D3" w:rsidRPr="006D7F24" w:rsidRDefault="001232D3">
      <w:pPr>
        <w:pStyle w:val="FootnoteText"/>
      </w:pPr>
      <w:r w:rsidRPr="006D7F24">
        <w:rPr>
          <w:rStyle w:val="FootnoteReference"/>
        </w:rPr>
        <w:footnoteRef/>
      </w:r>
      <w:r w:rsidRPr="006D7F24">
        <w:t xml:space="preserve"> </w:t>
      </w:r>
      <w:r w:rsidRPr="006D7F24">
        <w:rPr>
          <w:rFonts w:asciiTheme="majorBidi" w:hAnsiTheme="majorBidi" w:cstheme="majorBidi"/>
        </w:rPr>
        <w:t xml:space="preserve">NIOSH [2016]. NIOSH criteria for a recommended standard: occupational exposure to heat and hot environments. By Jacklitsch B, Williams WJ, Musolin K, Coca A, Kim J-H, Turner N. Cincinnati, OH: U.S. Department of Health and Human Services, Centers for Disease Control and Prevention, National Institute for Occupational Safety and Health, DHHS (NIOSH) Publication 2016-106. </w:t>
      </w:r>
      <w:hyperlink r:id="rId1" w:history="1">
        <w:r w:rsidRPr="006D7F24">
          <w:rPr>
            <w:rStyle w:val="Hyperlink"/>
            <w:rFonts w:asciiTheme="majorBidi" w:hAnsiTheme="majorBidi" w:cstheme="majorBidi"/>
          </w:rPr>
          <w:t>https://www.cdc.gov/niosh/docs/2016-106/pdfs/2016-106.pdf</w:t>
        </w:r>
      </w:hyperlink>
      <w:r w:rsidRPr="006D7F24">
        <w:rPr>
          <w:rFonts w:asciiTheme="majorBidi" w:hAnsiTheme="majorBidi" w:cstheme="majorBidi"/>
        </w:rPr>
        <w:t xml:space="preserve">. Accessed March 12, 2018. </w:t>
      </w:r>
      <w:r w:rsidRPr="006D7F24">
        <w:rPr>
          <w:rFonts w:asciiTheme="majorBidi" w:hAnsiTheme="majorBidi" w:cstheme="majorBidi"/>
          <w:bCs/>
        </w:rPr>
        <w:t xml:space="preserve">Hereafter referred to as </w:t>
      </w:r>
      <w:r>
        <w:rPr>
          <w:rFonts w:asciiTheme="majorBidi" w:hAnsiTheme="majorBidi" w:cstheme="majorBidi"/>
          <w:bCs/>
        </w:rPr>
        <w:t>“</w:t>
      </w:r>
      <w:r w:rsidRPr="006D7F24">
        <w:rPr>
          <w:rFonts w:asciiTheme="majorBidi" w:hAnsiTheme="majorBidi" w:cstheme="majorBidi"/>
          <w:bCs/>
        </w:rPr>
        <w:t>NIOSH 2016 Criteria Recommendations.</w:t>
      </w:r>
      <w:r>
        <w:rPr>
          <w:rFonts w:asciiTheme="majorBidi" w:hAnsiTheme="majorBidi" w:cstheme="majorBidi"/>
          <w:bCs/>
        </w:rPr>
        <w:t>”</w:t>
      </w:r>
      <w:r w:rsidRPr="006D7F24">
        <w:rPr>
          <w:rFonts w:asciiTheme="majorBidi" w:hAnsiTheme="majorBidi" w:cstheme="majorBidi"/>
          <w:bCs/>
        </w:rPr>
        <w:t xml:space="preserve"> </w:t>
      </w:r>
      <w:r w:rsidRPr="006D7F24">
        <w:rPr>
          <w:rFonts w:asciiTheme="majorBidi" w:hAnsiTheme="majorBidi" w:cstheme="majorBidi"/>
        </w:rPr>
        <w:t>p. 96.</w:t>
      </w:r>
    </w:p>
  </w:footnote>
  <w:footnote w:id="2">
    <w:p w14:paraId="09BE777B" w14:textId="0F5F440F" w:rsidR="001232D3" w:rsidRPr="006D7F24" w:rsidRDefault="001232D3" w:rsidP="00ED710D">
      <w:pPr>
        <w:pStyle w:val="FootnoteText"/>
        <w:contextualSpacing/>
        <w:rPr>
          <w:rFonts w:asciiTheme="majorBidi" w:hAnsiTheme="majorBidi" w:cstheme="majorBidi"/>
        </w:rPr>
      </w:pPr>
      <w:r w:rsidRPr="006D7F24">
        <w:rPr>
          <w:rStyle w:val="FootnoteReference"/>
          <w:rFonts w:asciiTheme="majorBidi" w:hAnsiTheme="majorBidi" w:cstheme="majorBidi"/>
        </w:rPr>
        <w:footnoteRef/>
      </w:r>
      <w:r w:rsidRPr="006D7F24">
        <w:rPr>
          <w:rFonts w:asciiTheme="majorBidi" w:hAnsiTheme="majorBidi" w:cstheme="majorBidi"/>
          <w:bCs/>
          <w:sz w:val="24"/>
          <w:szCs w:val="22"/>
        </w:rPr>
        <w:t xml:space="preserve"> </w:t>
      </w:r>
      <w:r w:rsidRPr="006D7F24">
        <w:rPr>
          <w:rFonts w:asciiTheme="majorBidi" w:hAnsiTheme="majorBidi" w:cstheme="majorBidi"/>
          <w:bCs/>
        </w:rPr>
        <w:t>NIOSH 2016 Criteria Recommendations</w:t>
      </w:r>
      <w:r w:rsidRPr="006D7F24">
        <w:rPr>
          <w:rFonts w:asciiTheme="majorBidi" w:hAnsiTheme="majorBidi" w:cstheme="majorBidi"/>
        </w:rPr>
        <w:t>.</w:t>
      </w:r>
    </w:p>
  </w:footnote>
  <w:footnote w:id="3">
    <w:p w14:paraId="647E7BC5" w14:textId="276663C5" w:rsidR="001232D3" w:rsidRDefault="001232D3">
      <w:pPr>
        <w:pStyle w:val="FootnoteText"/>
      </w:pPr>
      <w:r>
        <w:rPr>
          <w:rStyle w:val="FootnoteReference"/>
        </w:rPr>
        <w:footnoteRef/>
      </w:r>
      <w:r>
        <w:t xml:space="preserve"> </w:t>
      </w:r>
      <w:r w:rsidR="00CD3DC9">
        <w:t xml:space="preserve">Wet bulb globe temperature is a measure of heat stress in direct sunlight. It takes into account temperature, </w:t>
      </w:r>
      <w:r w:rsidR="00CD3DC9">
        <w:rPr>
          <w:color w:val="000000"/>
        </w:rPr>
        <w:t xml:space="preserve">humidity, wind speed, sun angle and cloud cover. </w:t>
      </w:r>
      <w:r w:rsidR="00CD3DC9">
        <w:t>By contrast</w:t>
      </w:r>
      <w:r w:rsidR="009177F7">
        <w:t xml:space="preserve">, </w:t>
      </w:r>
      <w:r w:rsidR="00AD0F81">
        <w:t xml:space="preserve">the </w:t>
      </w:r>
      <w:r w:rsidR="009177F7">
        <w:t xml:space="preserve">heat index </w:t>
      </w:r>
      <w:r w:rsidR="00496E0D">
        <w:t>takes into account</w:t>
      </w:r>
      <w:r w:rsidR="009177F7">
        <w:t xml:space="preserve"> only temperature and humidity</w:t>
      </w:r>
      <w:r w:rsidR="006703CF">
        <w:t xml:space="preserve"> and is calculated for shady areas</w:t>
      </w:r>
      <w:r w:rsidR="009177F7">
        <w:t xml:space="preserve">. </w:t>
      </w:r>
      <w:r w:rsidR="007C670E">
        <w:t xml:space="preserve">National Weather Service. WetBulb Globe Temperature. </w:t>
      </w:r>
      <w:hyperlink r:id="rId2" w:history="1">
        <w:r w:rsidR="007C670E" w:rsidRPr="00CC2545">
          <w:rPr>
            <w:rStyle w:val="Hyperlink"/>
          </w:rPr>
          <w:t>https://www.weather.gov/tsa/wbgt</w:t>
        </w:r>
      </w:hyperlink>
      <w:r w:rsidR="007C670E">
        <w:t>. Accessed July 9, 2018.</w:t>
      </w:r>
    </w:p>
  </w:footnote>
  <w:footnote w:id="4">
    <w:p w14:paraId="0AB9B71C" w14:textId="1EF8FD31" w:rsidR="001232D3" w:rsidRPr="006D7F24" w:rsidRDefault="001232D3" w:rsidP="00434BC7">
      <w:pPr>
        <w:pStyle w:val="FootnoteText"/>
        <w:contextualSpacing/>
        <w:rPr>
          <w:rFonts w:asciiTheme="majorBidi" w:hAnsiTheme="majorBidi" w:cstheme="majorBidi"/>
        </w:rPr>
      </w:pPr>
      <w:r w:rsidRPr="006D7F24">
        <w:rPr>
          <w:rStyle w:val="FootnoteReference"/>
          <w:rFonts w:asciiTheme="majorBidi" w:hAnsiTheme="majorBidi" w:cstheme="majorBidi"/>
        </w:rPr>
        <w:footnoteRef/>
      </w:r>
      <w:r w:rsidRPr="006D7F24">
        <w:rPr>
          <w:rFonts w:asciiTheme="majorBidi" w:hAnsiTheme="majorBidi" w:cstheme="majorBidi"/>
        </w:rPr>
        <w:t xml:space="preserve"> YaleEnvironment360. It</w:t>
      </w:r>
      <w:r>
        <w:rPr>
          <w:rFonts w:asciiTheme="majorBidi" w:hAnsiTheme="majorBidi" w:cstheme="majorBidi"/>
        </w:rPr>
        <w:t>’</w:t>
      </w:r>
      <w:r w:rsidRPr="006D7F24">
        <w:rPr>
          <w:rFonts w:asciiTheme="majorBidi" w:hAnsiTheme="majorBidi" w:cstheme="majorBidi"/>
        </w:rPr>
        <w:t xml:space="preserve">s Official: 2017 Was the </w:t>
      </w:r>
      <w:r w:rsidR="009A35C9">
        <w:rPr>
          <w:rFonts w:asciiTheme="majorBidi" w:hAnsiTheme="majorBidi" w:cstheme="majorBidi"/>
        </w:rPr>
        <w:t>s</w:t>
      </w:r>
      <w:r w:rsidRPr="006D7F24">
        <w:rPr>
          <w:rFonts w:asciiTheme="majorBidi" w:hAnsiTheme="majorBidi" w:cstheme="majorBidi"/>
        </w:rPr>
        <w:t xml:space="preserve">econd </w:t>
      </w:r>
      <w:r w:rsidR="009A35C9">
        <w:rPr>
          <w:rFonts w:asciiTheme="majorBidi" w:hAnsiTheme="majorBidi" w:cstheme="majorBidi"/>
        </w:rPr>
        <w:t>h</w:t>
      </w:r>
      <w:r w:rsidRPr="006D7F24">
        <w:rPr>
          <w:rFonts w:asciiTheme="majorBidi" w:hAnsiTheme="majorBidi" w:cstheme="majorBidi"/>
        </w:rPr>
        <w:t xml:space="preserve">ottest </w:t>
      </w:r>
      <w:r w:rsidR="009A35C9">
        <w:rPr>
          <w:rFonts w:asciiTheme="majorBidi" w:hAnsiTheme="majorBidi" w:cstheme="majorBidi"/>
        </w:rPr>
        <w:t>y</w:t>
      </w:r>
      <w:r w:rsidRPr="006D7F24">
        <w:rPr>
          <w:rFonts w:asciiTheme="majorBidi" w:hAnsiTheme="majorBidi" w:cstheme="majorBidi"/>
        </w:rPr>
        <w:t xml:space="preserve">ear </w:t>
      </w:r>
      <w:r w:rsidR="00C359E0">
        <w:rPr>
          <w:rFonts w:asciiTheme="majorBidi" w:hAnsiTheme="majorBidi" w:cstheme="majorBidi"/>
        </w:rPr>
        <w:t>o</w:t>
      </w:r>
      <w:r w:rsidRPr="006D7F24">
        <w:rPr>
          <w:rFonts w:asciiTheme="majorBidi" w:hAnsiTheme="majorBidi" w:cstheme="majorBidi"/>
        </w:rPr>
        <w:t xml:space="preserve">n Record. </w:t>
      </w:r>
      <w:r w:rsidRPr="00B3487E">
        <w:rPr>
          <w:rFonts w:asciiTheme="majorBidi" w:hAnsiTheme="majorBidi" w:cstheme="majorBidi"/>
          <w:i/>
        </w:rPr>
        <w:t>E360 Digest</w:t>
      </w:r>
      <w:r w:rsidRPr="006D7F24">
        <w:rPr>
          <w:rFonts w:asciiTheme="majorBidi" w:hAnsiTheme="majorBidi" w:cstheme="majorBidi"/>
        </w:rPr>
        <w:t xml:space="preserve">. </w:t>
      </w:r>
      <w:r w:rsidR="00A454A7" w:rsidRPr="006D7F24">
        <w:rPr>
          <w:rFonts w:asciiTheme="majorBidi" w:hAnsiTheme="majorBidi" w:cstheme="majorBidi"/>
        </w:rPr>
        <w:t>Jan</w:t>
      </w:r>
      <w:r w:rsidR="00A454A7">
        <w:rPr>
          <w:rFonts w:asciiTheme="majorBidi" w:hAnsiTheme="majorBidi" w:cstheme="majorBidi"/>
        </w:rPr>
        <w:t xml:space="preserve"> </w:t>
      </w:r>
      <w:r w:rsidRPr="006D7F24">
        <w:rPr>
          <w:rFonts w:asciiTheme="majorBidi" w:hAnsiTheme="majorBidi" w:cstheme="majorBidi"/>
        </w:rPr>
        <w:t xml:space="preserve">4, 2018. </w:t>
      </w:r>
      <w:hyperlink r:id="rId3" w:history="1">
        <w:r w:rsidRPr="006D7F24">
          <w:rPr>
            <w:rStyle w:val="Hyperlink"/>
            <w:rFonts w:asciiTheme="majorBidi" w:hAnsiTheme="majorBidi" w:cstheme="majorBidi"/>
          </w:rPr>
          <w:t>https://e360.yale.edu/digest/its-official-2017-was-the-second-hottest-year-on-record</w:t>
        </w:r>
      </w:hyperlink>
      <w:r w:rsidRPr="006D7F24">
        <w:rPr>
          <w:rFonts w:asciiTheme="majorBidi" w:hAnsiTheme="majorBidi" w:cstheme="majorBidi"/>
        </w:rPr>
        <w:t>. Accessed March 14, 2018.</w:t>
      </w:r>
    </w:p>
  </w:footnote>
  <w:footnote w:id="5">
    <w:p w14:paraId="3A8E87B8" w14:textId="70E8429A" w:rsidR="001232D3" w:rsidRPr="006D7F24" w:rsidRDefault="001232D3" w:rsidP="00434BC7">
      <w:pPr>
        <w:pStyle w:val="FootnoteText"/>
      </w:pPr>
      <w:r w:rsidRPr="006D7F24">
        <w:rPr>
          <w:rStyle w:val="FootnoteReference"/>
        </w:rPr>
        <w:footnoteRef/>
      </w:r>
      <w:r w:rsidRPr="006D7F24">
        <w:t xml:space="preserve"> Fountain</w:t>
      </w:r>
      <w:r w:rsidR="009A35C9">
        <w:t xml:space="preserve"> H,</w:t>
      </w:r>
      <w:r w:rsidRPr="006D7F24">
        <w:t xml:space="preserve"> Patel </w:t>
      </w:r>
      <w:r w:rsidR="009A35C9">
        <w:t xml:space="preserve">JK, </w:t>
      </w:r>
      <w:r w:rsidRPr="006D7F24">
        <w:t>Popovich</w:t>
      </w:r>
      <w:r w:rsidR="009A35C9">
        <w:t xml:space="preserve"> N</w:t>
      </w:r>
      <w:r w:rsidRPr="006D7F24">
        <w:t xml:space="preserve">. 2017 </w:t>
      </w:r>
      <w:r w:rsidR="009A35C9">
        <w:t>w</w:t>
      </w:r>
      <w:r w:rsidRPr="006D7F24">
        <w:t xml:space="preserve">as </w:t>
      </w:r>
      <w:r w:rsidR="009A35C9">
        <w:t>o</w:t>
      </w:r>
      <w:r w:rsidRPr="006D7F24">
        <w:t xml:space="preserve">ne of the </w:t>
      </w:r>
      <w:r w:rsidR="009A35C9">
        <w:t>h</w:t>
      </w:r>
      <w:r w:rsidRPr="006D7F24">
        <w:t xml:space="preserve">ottest </w:t>
      </w:r>
      <w:r w:rsidR="009A35C9">
        <w:t>y</w:t>
      </w:r>
      <w:r w:rsidRPr="006D7F24">
        <w:t>ears on</w:t>
      </w:r>
      <w:r w:rsidR="009A35C9">
        <w:t xml:space="preserve"> r</w:t>
      </w:r>
      <w:r w:rsidRPr="006D7F24">
        <w:t xml:space="preserve">ecord. And </w:t>
      </w:r>
      <w:r w:rsidR="009A35C9">
        <w:t>t</w:t>
      </w:r>
      <w:r w:rsidRPr="006D7F24">
        <w:t xml:space="preserve">hat </w:t>
      </w:r>
      <w:r w:rsidR="009A35C9">
        <w:t>w</w:t>
      </w:r>
      <w:r w:rsidRPr="006D7F24">
        <w:t xml:space="preserve">as </w:t>
      </w:r>
      <w:r w:rsidR="009A35C9">
        <w:t>w</w:t>
      </w:r>
      <w:r w:rsidRPr="006D7F24">
        <w:t xml:space="preserve">ithout El Niño. </w:t>
      </w:r>
      <w:r w:rsidRPr="00B3487E">
        <w:rPr>
          <w:i/>
        </w:rPr>
        <w:t>New York Times</w:t>
      </w:r>
      <w:r w:rsidRPr="006D7F24">
        <w:t xml:space="preserve">. </w:t>
      </w:r>
      <w:r w:rsidR="007F7FD1" w:rsidRPr="006D7F24">
        <w:t>Jan</w:t>
      </w:r>
      <w:r w:rsidR="007F7FD1">
        <w:t xml:space="preserve"> </w:t>
      </w:r>
      <w:r w:rsidRPr="006D7F24">
        <w:t xml:space="preserve">18, 2018. </w:t>
      </w:r>
      <w:hyperlink r:id="rId4" w:history="1">
        <w:r w:rsidRPr="006D7F24">
          <w:rPr>
            <w:rStyle w:val="Hyperlink"/>
          </w:rPr>
          <w:t>https://www.nytimes.com/interactive/2018/01/18/climate/hottest-year-2017.html</w:t>
        </w:r>
      </w:hyperlink>
      <w:r w:rsidRPr="006D7F24">
        <w:t xml:space="preserve">. Accessed April 4, 2018. The record of global-scale instrumental temperature observations begins in the mid-1800s, and diverse sets of observations are available beginning in 1950. IPCC, </w:t>
      </w:r>
      <w:r w:rsidR="007D7424">
        <w:t>2013: Climate Change 2013: The p</w:t>
      </w:r>
      <w:r w:rsidRPr="006D7F24">
        <w:t xml:space="preserve">hysical </w:t>
      </w:r>
      <w:r w:rsidR="007D7424">
        <w:t>s</w:t>
      </w:r>
      <w:r w:rsidRPr="006D7F24">
        <w:t xml:space="preserve">cience </w:t>
      </w:r>
      <w:r w:rsidR="007D7424">
        <w:t>b</w:t>
      </w:r>
      <w:r w:rsidRPr="006D7F24">
        <w:t>asis. Contribution of Working Group I to the Fifth Assessment Report of the Intergovernmental Panel on Climate Change. T.F. Stocker, et al., eds. p.4.</w:t>
      </w:r>
    </w:p>
  </w:footnote>
  <w:footnote w:id="6">
    <w:p w14:paraId="21DB4A68" w14:textId="100A3FEE" w:rsidR="001232D3" w:rsidRPr="00B3487E" w:rsidRDefault="001232D3" w:rsidP="00434BC7">
      <w:pPr>
        <w:pStyle w:val="FootnoteText"/>
      </w:pPr>
      <w:r w:rsidRPr="00B3487E">
        <w:rPr>
          <w:rStyle w:val="FootnoteReference"/>
        </w:rPr>
        <w:footnoteRef/>
      </w:r>
      <w:r w:rsidRPr="00B3487E">
        <w:t xml:space="preserve"> Vose RS, Easterling</w:t>
      </w:r>
      <w:r w:rsidR="00DF4C63">
        <w:t xml:space="preserve"> DR</w:t>
      </w:r>
      <w:r w:rsidRPr="00B3487E">
        <w:t>, Kunkel</w:t>
      </w:r>
      <w:r w:rsidR="00DF4C63">
        <w:t xml:space="preserve"> KE</w:t>
      </w:r>
      <w:r w:rsidRPr="00B3487E">
        <w:t xml:space="preserve">, </w:t>
      </w:r>
      <w:r w:rsidR="00DF4C63">
        <w:t>et al.</w:t>
      </w:r>
      <w:r w:rsidRPr="00B3487E">
        <w:t xml:space="preserve"> 2017: Temperature changes in the United States. In: Climate Science Special Report: Fourth National Climate Assessment, </w:t>
      </w:r>
      <w:r w:rsidR="008B69F4" w:rsidRPr="00B3487E">
        <w:t>Vol</w:t>
      </w:r>
      <w:r w:rsidR="008B69F4">
        <w:t xml:space="preserve"> </w:t>
      </w:r>
      <w:r w:rsidRPr="00B3487E">
        <w:t>I [Wuebbles DJ, Fahey</w:t>
      </w:r>
      <w:r w:rsidR="00CF2BE4">
        <w:t xml:space="preserve"> DW,</w:t>
      </w:r>
      <w:r w:rsidRPr="00B3487E">
        <w:t xml:space="preserve"> Hibbard</w:t>
      </w:r>
      <w:r w:rsidR="00CF2BE4">
        <w:t xml:space="preserve"> KA</w:t>
      </w:r>
      <w:r w:rsidRPr="00B3487E">
        <w:t xml:space="preserve">, </w:t>
      </w:r>
      <w:r w:rsidR="00CF2BE4">
        <w:t xml:space="preserve">et al. </w:t>
      </w:r>
      <w:r w:rsidRPr="00B3487E">
        <w:t>(eds.)]. U.S. Global Change Research Program, Washington, DC. p. 185.</w:t>
      </w:r>
    </w:p>
  </w:footnote>
  <w:footnote w:id="7">
    <w:p w14:paraId="74C244A8" w14:textId="77777777" w:rsidR="001232D3" w:rsidRPr="00DF7924" w:rsidRDefault="001232D3" w:rsidP="00434BC7">
      <w:pPr>
        <w:pStyle w:val="FootnoteText"/>
        <w:rPr>
          <w:highlight w:val="yellow"/>
        </w:rPr>
      </w:pPr>
      <w:r w:rsidRPr="0047548D">
        <w:rPr>
          <w:rStyle w:val="FootnoteReference"/>
        </w:rPr>
        <w:footnoteRef/>
      </w:r>
      <w:r w:rsidRPr="0047548D">
        <w:t xml:space="preserve"> Ibid. (noting the same projected increases for 2021–2050 under all mitigation scenarios). By later in the century, 2071–2100, temperatures are projected to increase by 2.8°–7.3°F (1.6°–4.1°C) under a moderate mitigation scenario (the Intergovernmental Panel on Climate Change’s Representative Concentration Pathway (RCP) 4.5) and 5.8°–11.9°F (3.2°–6.6°C) under a business-as-usual scenario (RCP 8.5). Ibid.</w:t>
      </w:r>
    </w:p>
  </w:footnote>
  <w:footnote w:id="8">
    <w:p w14:paraId="5BD0C8CE" w14:textId="77777777" w:rsidR="001232D3" w:rsidRDefault="001232D3" w:rsidP="00434BC7">
      <w:pPr>
        <w:pStyle w:val="FootnoteText"/>
      </w:pPr>
      <w:r w:rsidRPr="00E24ED2">
        <w:rPr>
          <w:rStyle w:val="FootnoteReference"/>
        </w:rPr>
        <w:footnoteRef/>
      </w:r>
      <w:r w:rsidRPr="00E24ED2">
        <w:t xml:space="preserve"> Ibid.</w:t>
      </w:r>
    </w:p>
  </w:footnote>
  <w:footnote w:id="9">
    <w:p w14:paraId="73B476B3" w14:textId="48CF4E20" w:rsidR="001232D3" w:rsidRPr="006D7F24" w:rsidRDefault="001232D3" w:rsidP="00434BC7">
      <w:pPr>
        <w:pStyle w:val="FootnoteText"/>
      </w:pPr>
      <w:r w:rsidRPr="006D7F24">
        <w:rPr>
          <w:rStyle w:val="FootnoteReference"/>
        </w:rPr>
        <w:footnoteRef/>
      </w:r>
      <w:r w:rsidRPr="006D7F24">
        <w:t xml:space="preserve"> Mora </w:t>
      </w:r>
      <w:r w:rsidR="00EE47CD">
        <w:t xml:space="preserve">C, Dousset B, Caldwell IR, </w:t>
      </w:r>
      <w:r w:rsidRPr="006D7F24">
        <w:t xml:space="preserve">et al. Global risk of deadly heat. </w:t>
      </w:r>
      <w:r w:rsidRPr="00EE47CD">
        <w:rPr>
          <w:i/>
        </w:rPr>
        <w:t>Nature Climate Change</w:t>
      </w:r>
      <w:r w:rsidRPr="006D7F24">
        <w:t xml:space="preserve">. </w:t>
      </w:r>
      <w:r w:rsidR="000E17D4">
        <w:t>2017;</w:t>
      </w:r>
      <w:r w:rsidRPr="006D7F24">
        <w:t xml:space="preserve">7:501–506. (Figure 3 on p. 503). For an interactive map of deadly heat projections, see </w:t>
      </w:r>
      <w:hyperlink r:id="rId5" w:history="1">
        <w:r w:rsidRPr="006D7F24">
          <w:rPr>
            <w:rStyle w:val="Hyperlink"/>
          </w:rPr>
          <w:t>https://maps.esri.com/globalriskofdeadlyheat/#</w:t>
        </w:r>
      </w:hyperlink>
      <w:r w:rsidRPr="006D7F24">
        <w:t xml:space="preserve">. </w:t>
      </w:r>
    </w:p>
  </w:footnote>
  <w:footnote w:id="10">
    <w:p w14:paraId="311D7414" w14:textId="2C008FB9" w:rsidR="001232D3" w:rsidRPr="006D7F24" w:rsidRDefault="001232D3" w:rsidP="00ED710D">
      <w:pPr>
        <w:pStyle w:val="FootnoteText"/>
        <w:contextualSpacing/>
        <w:rPr>
          <w:rFonts w:asciiTheme="majorBidi" w:hAnsiTheme="majorBidi" w:cstheme="majorBidi"/>
        </w:rPr>
      </w:pPr>
      <w:r w:rsidRPr="006D7F24">
        <w:rPr>
          <w:rStyle w:val="FootnoteReference"/>
          <w:rFonts w:asciiTheme="majorBidi" w:hAnsiTheme="majorBidi" w:cstheme="majorBidi"/>
        </w:rPr>
        <w:footnoteRef/>
      </w:r>
      <w:r w:rsidRPr="006D7F24">
        <w:rPr>
          <w:rFonts w:asciiTheme="majorBidi" w:hAnsiTheme="majorBidi" w:cstheme="majorBidi"/>
        </w:rPr>
        <w:t xml:space="preserve"> Bureau of Labor Statistics. Occupational </w:t>
      </w:r>
      <w:r w:rsidR="00B51852">
        <w:rPr>
          <w:rFonts w:asciiTheme="majorBidi" w:hAnsiTheme="majorBidi" w:cstheme="majorBidi"/>
        </w:rPr>
        <w:t xml:space="preserve">injuries/illnesses and </w:t>
      </w:r>
      <w:r w:rsidR="00B51852" w:rsidRPr="006D7F24">
        <w:rPr>
          <w:rFonts w:asciiTheme="majorBidi" w:hAnsiTheme="majorBidi" w:cstheme="majorBidi"/>
        </w:rPr>
        <w:t>fatal injuries profiles</w:t>
      </w:r>
      <w:r w:rsidRPr="006D7F24">
        <w:rPr>
          <w:rFonts w:asciiTheme="majorBidi" w:hAnsiTheme="majorBidi" w:cstheme="majorBidi"/>
        </w:rPr>
        <w:t xml:space="preserve">. </w:t>
      </w:r>
      <w:hyperlink r:id="rId6" w:history="1">
        <w:r w:rsidRPr="006D7F24">
          <w:rPr>
            <w:rStyle w:val="Hyperlink"/>
            <w:rFonts w:asciiTheme="majorBidi" w:hAnsiTheme="majorBidi" w:cstheme="majorBidi"/>
          </w:rPr>
          <w:t>https://data.bls.gov/gqt/InitialPage</w:t>
        </w:r>
      </w:hyperlink>
      <w:r w:rsidRPr="006D7F24">
        <w:rPr>
          <w:rFonts w:asciiTheme="majorBidi" w:hAnsiTheme="majorBidi" w:cstheme="majorBidi"/>
        </w:rPr>
        <w:t>. Accessed March 6, 2018. Serious injuries are defined as those resulting in at least one day away from work.</w:t>
      </w:r>
    </w:p>
  </w:footnote>
  <w:footnote w:id="11">
    <w:p w14:paraId="51FAE4E7" w14:textId="705C0BD9" w:rsidR="001232D3" w:rsidRPr="006D7F24" w:rsidRDefault="001232D3" w:rsidP="00ED710D">
      <w:pPr>
        <w:pStyle w:val="FootnoteText"/>
        <w:contextualSpacing/>
        <w:rPr>
          <w:rFonts w:asciiTheme="majorBidi" w:hAnsiTheme="majorBidi" w:cstheme="majorBidi"/>
        </w:rPr>
      </w:pPr>
      <w:r w:rsidRPr="006D7F24">
        <w:rPr>
          <w:rStyle w:val="FootnoteReference"/>
          <w:rFonts w:asciiTheme="majorBidi" w:hAnsiTheme="majorBidi" w:cstheme="majorBidi"/>
        </w:rPr>
        <w:footnoteRef/>
      </w:r>
      <w:r w:rsidRPr="006D7F24">
        <w:rPr>
          <w:rFonts w:asciiTheme="majorBidi" w:hAnsiTheme="majorBidi" w:cstheme="majorBidi"/>
        </w:rPr>
        <w:t xml:space="preserve"> Workers face </w:t>
      </w:r>
      <w:r>
        <w:rPr>
          <w:rFonts w:asciiTheme="majorBidi" w:hAnsiTheme="majorBidi" w:cstheme="majorBidi"/>
        </w:rPr>
        <w:t>‘</w:t>
      </w:r>
      <w:r w:rsidRPr="006D7F24">
        <w:rPr>
          <w:rFonts w:asciiTheme="majorBidi" w:hAnsiTheme="majorBidi" w:cstheme="majorBidi"/>
        </w:rPr>
        <w:t>epidemic of heat-related injuries</w:t>
      </w:r>
      <w:r>
        <w:rPr>
          <w:rFonts w:asciiTheme="majorBidi" w:hAnsiTheme="majorBidi" w:cstheme="majorBidi"/>
        </w:rPr>
        <w:t>’</w:t>
      </w:r>
      <w:r w:rsidRPr="006D7F24">
        <w:rPr>
          <w:rFonts w:asciiTheme="majorBidi" w:hAnsiTheme="majorBidi" w:cstheme="majorBidi"/>
        </w:rPr>
        <w:t xml:space="preserve"> due to climate change. </w:t>
      </w:r>
      <w:r w:rsidRPr="002E3F7D">
        <w:rPr>
          <w:rFonts w:asciiTheme="majorBidi" w:hAnsiTheme="majorBidi" w:cstheme="majorBidi"/>
          <w:i/>
        </w:rPr>
        <w:t>The Guardian</w:t>
      </w:r>
      <w:r w:rsidRPr="006D7F24">
        <w:rPr>
          <w:rFonts w:asciiTheme="majorBidi" w:hAnsiTheme="majorBidi" w:cstheme="majorBidi"/>
        </w:rPr>
        <w:t>. Apr</w:t>
      </w:r>
      <w:r w:rsidR="002E3F7D">
        <w:rPr>
          <w:rFonts w:asciiTheme="majorBidi" w:hAnsiTheme="majorBidi" w:cstheme="majorBidi"/>
        </w:rPr>
        <w:t xml:space="preserve"> </w:t>
      </w:r>
      <w:r w:rsidRPr="006D7F24">
        <w:rPr>
          <w:rFonts w:asciiTheme="majorBidi" w:hAnsiTheme="majorBidi" w:cstheme="majorBidi"/>
        </w:rPr>
        <w:t xml:space="preserve">28, 2016. </w:t>
      </w:r>
      <w:hyperlink r:id="rId7" w:history="1">
        <w:r w:rsidRPr="006D7F24">
          <w:rPr>
            <w:rStyle w:val="Hyperlink"/>
            <w:rFonts w:asciiTheme="majorBidi" w:hAnsiTheme="majorBidi" w:cstheme="majorBidi"/>
          </w:rPr>
          <w:t>https://www.theguardian.com/environment/2016/apr/28/workers-epidemic-heat-related-injuries-climate-change-un-report</w:t>
        </w:r>
      </w:hyperlink>
      <w:r w:rsidRPr="006D7F24">
        <w:rPr>
          <w:rFonts w:asciiTheme="majorBidi" w:hAnsiTheme="majorBidi" w:cstheme="majorBidi"/>
        </w:rPr>
        <w:t>. Accessed March 14, 2018.</w:t>
      </w:r>
    </w:p>
  </w:footnote>
  <w:footnote w:id="12">
    <w:p w14:paraId="212C5041" w14:textId="6C5E0C5A" w:rsidR="001232D3" w:rsidRPr="006D7F24" w:rsidRDefault="001232D3" w:rsidP="00ED710D">
      <w:pPr>
        <w:pStyle w:val="FootnoteText"/>
      </w:pPr>
      <w:r w:rsidRPr="006D7F24">
        <w:rPr>
          <w:rStyle w:val="FootnoteReference"/>
        </w:rPr>
        <w:footnoteRef/>
      </w:r>
      <w:r w:rsidRPr="006D7F24">
        <w:t xml:space="preserve"> Glaser </w:t>
      </w:r>
      <w:r w:rsidR="00E90B67">
        <w:t xml:space="preserve">J, Lemery J, </w:t>
      </w:r>
      <w:r w:rsidR="00E90B67" w:rsidRPr="00E90B67">
        <w:t>Rajagopalan</w:t>
      </w:r>
      <w:r w:rsidR="00E90B67">
        <w:t xml:space="preserve"> B, </w:t>
      </w:r>
      <w:r w:rsidRPr="006D7F24">
        <w:t xml:space="preserve">et al. Climate change and the emergent epidemic of CKD from heat stress in rural communities: the case for heat stress nephropathy. </w:t>
      </w:r>
      <w:r w:rsidRPr="004E0ACC">
        <w:rPr>
          <w:i/>
        </w:rPr>
        <w:t>Clin</w:t>
      </w:r>
      <w:r w:rsidRPr="0060479E">
        <w:rPr>
          <w:i/>
        </w:rPr>
        <w:t xml:space="preserve"> J Am Soc Nephrol</w:t>
      </w:r>
      <w:r w:rsidRPr="006D7F24">
        <w:t xml:space="preserve">. </w:t>
      </w:r>
      <w:r w:rsidR="004E0ACC">
        <w:t>2016;</w:t>
      </w:r>
      <w:r w:rsidRPr="006D7F24">
        <w:t xml:space="preserve">11(8):1472. </w:t>
      </w:r>
      <w:hyperlink r:id="rId8" w:history="1">
        <w:r w:rsidRPr="006D7F24">
          <w:rPr>
            <w:rStyle w:val="Hyperlink"/>
          </w:rPr>
          <w:t>https://www.ncbi.nlm.nih.gov/pmc/articles/PMC4974898/</w:t>
        </w:r>
      </w:hyperlink>
      <w:r w:rsidRPr="006D7F24">
        <w:t>.</w:t>
      </w:r>
    </w:p>
  </w:footnote>
  <w:footnote w:id="13">
    <w:p w14:paraId="3C0F9B64" w14:textId="4D663E3A" w:rsidR="001232D3" w:rsidRPr="006D7F24" w:rsidRDefault="001232D3" w:rsidP="0032568A">
      <w:pPr>
        <w:pStyle w:val="FootnoteText"/>
        <w:rPr>
          <w:rFonts w:asciiTheme="majorBidi" w:hAnsiTheme="majorBidi" w:cstheme="majorBidi"/>
        </w:rPr>
      </w:pPr>
      <w:r w:rsidRPr="006D7F24">
        <w:rPr>
          <w:rStyle w:val="FootnoteReference"/>
          <w:rFonts w:asciiTheme="majorBidi" w:hAnsiTheme="majorBidi" w:cstheme="majorBidi"/>
        </w:rPr>
        <w:footnoteRef/>
      </w:r>
      <w:r w:rsidRPr="006D7F24">
        <w:rPr>
          <w:rFonts w:asciiTheme="majorBidi" w:hAnsiTheme="majorBidi" w:cstheme="majorBidi"/>
        </w:rPr>
        <w:t xml:space="preserve"> NIOSH 2016 Criteria Recommendations. p. 13</w:t>
      </w:r>
    </w:p>
  </w:footnote>
  <w:footnote w:id="14">
    <w:p w14:paraId="3DC913A2" w14:textId="288E40AE" w:rsidR="001232D3" w:rsidRPr="006D7F24" w:rsidRDefault="001232D3" w:rsidP="00B67F8B">
      <w:pPr>
        <w:pStyle w:val="FootnoteText"/>
        <w:rPr>
          <w:rFonts w:asciiTheme="majorBidi" w:hAnsiTheme="majorBidi" w:cstheme="majorBidi"/>
        </w:rPr>
      </w:pPr>
      <w:r w:rsidRPr="006D7F24">
        <w:rPr>
          <w:rStyle w:val="FootnoteReference"/>
          <w:rFonts w:asciiTheme="majorBidi" w:hAnsiTheme="majorBidi" w:cstheme="majorBidi"/>
        </w:rPr>
        <w:footnoteRef/>
      </w:r>
      <w:r w:rsidRPr="006D7F24">
        <w:rPr>
          <w:rFonts w:asciiTheme="majorBidi" w:hAnsiTheme="majorBidi" w:cstheme="majorBidi"/>
        </w:rPr>
        <w:t xml:space="preserve"> Ibid. p. 13.</w:t>
      </w:r>
    </w:p>
  </w:footnote>
  <w:footnote w:id="15">
    <w:p w14:paraId="1EEBB039" w14:textId="5868CA66" w:rsidR="001232D3" w:rsidRPr="006D7F24" w:rsidRDefault="001232D3" w:rsidP="00007B62">
      <w:pPr>
        <w:pStyle w:val="FootnoteText"/>
        <w:rPr>
          <w:rFonts w:asciiTheme="majorBidi" w:hAnsiTheme="majorBidi" w:cstheme="majorBidi"/>
        </w:rPr>
      </w:pPr>
      <w:r w:rsidRPr="006D7F24">
        <w:rPr>
          <w:rStyle w:val="FootnoteReference"/>
          <w:rFonts w:asciiTheme="majorBidi" w:hAnsiTheme="majorBidi" w:cstheme="majorBidi"/>
        </w:rPr>
        <w:footnoteRef/>
      </w:r>
      <w:r w:rsidRPr="006D7F24">
        <w:rPr>
          <w:rFonts w:asciiTheme="majorBidi" w:hAnsiTheme="majorBidi" w:cstheme="majorBidi"/>
        </w:rPr>
        <w:t xml:space="preserve"> Ibid. p. 27.</w:t>
      </w:r>
    </w:p>
  </w:footnote>
  <w:footnote w:id="16">
    <w:p w14:paraId="489FC9B5" w14:textId="2103FE09" w:rsidR="001232D3" w:rsidRPr="006D7F24" w:rsidRDefault="001232D3" w:rsidP="00E83DAC">
      <w:pPr>
        <w:pStyle w:val="FootnoteText"/>
        <w:rPr>
          <w:rFonts w:asciiTheme="majorBidi" w:hAnsiTheme="majorBidi" w:cstheme="majorBidi"/>
        </w:rPr>
      </w:pPr>
      <w:r w:rsidRPr="006D7F24">
        <w:rPr>
          <w:rStyle w:val="FootnoteReference"/>
          <w:rFonts w:asciiTheme="majorBidi" w:hAnsiTheme="majorBidi" w:cstheme="majorBidi"/>
        </w:rPr>
        <w:footnoteRef/>
      </w:r>
      <w:r w:rsidRPr="006D7F24">
        <w:rPr>
          <w:rFonts w:asciiTheme="majorBidi" w:hAnsiTheme="majorBidi" w:cstheme="majorBidi"/>
        </w:rPr>
        <w:t xml:space="preserve"> Ibid. p. 27.</w:t>
      </w:r>
    </w:p>
  </w:footnote>
  <w:footnote w:id="17">
    <w:p w14:paraId="5A146EED" w14:textId="6D737780" w:rsidR="001232D3" w:rsidRPr="006D7F24" w:rsidRDefault="001232D3" w:rsidP="009F0EC3">
      <w:pPr>
        <w:pStyle w:val="FootnoteText"/>
        <w:contextualSpacing/>
        <w:rPr>
          <w:rFonts w:asciiTheme="majorBidi" w:hAnsiTheme="majorBidi" w:cstheme="majorBidi"/>
        </w:rPr>
      </w:pPr>
      <w:r w:rsidRPr="006D7F24">
        <w:rPr>
          <w:rStyle w:val="FootnoteReference"/>
          <w:rFonts w:asciiTheme="majorBidi" w:hAnsiTheme="majorBidi" w:cstheme="majorBidi"/>
        </w:rPr>
        <w:footnoteRef/>
      </w:r>
      <w:r w:rsidRPr="006D7F24">
        <w:rPr>
          <w:rFonts w:asciiTheme="majorBidi" w:hAnsiTheme="majorBidi" w:cstheme="majorBidi"/>
        </w:rPr>
        <w:t xml:space="preserve"> Ibid. p. 28.</w:t>
      </w:r>
    </w:p>
  </w:footnote>
  <w:footnote w:id="18">
    <w:p w14:paraId="5CF05FC6" w14:textId="4E1C4C6A" w:rsidR="001232D3" w:rsidRPr="006D7F24" w:rsidRDefault="001232D3" w:rsidP="00ED710D">
      <w:pPr>
        <w:pStyle w:val="FootnoteText"/>
        <w:contextualSpacing/>
        <w:rPr>
          <w:rFonts w:asciiTheme="majorBidi" w:hAnsiTheme="majorBidi" w:cstheme="majorBidi"/>
        </w:rPr>
      </w:pPr>
      <w:r w:rsidRPr="006D7F24">
        <w:rPr>
          <w:rStyle w:val="FootnoteReference"/>
          <w:rFonts w:asciiTheme="majorBidi" w:hAnsiTheme="majorBidi" w:cstheme="majorBidi"/>
        </w:rPr>
        <w:footnoteRef/>
      </w:r>
      <w:r w:rsidRPr="006D7F24">
        <w:rPr>
          <w:rFonts w:asciiTheme="majorBidi" w:hAnsiTheme="majorBidi" w:cstheme="majorBidi"/>
        </w:rPr>
        <w:t xml:space="preserve"> Institute of Medicine of the National Academies. Dietary </w:t>
      </w:r>
      <w:r w:rsidR="00BA20B6">
        <w:rPr>
          <w:rFonts w:asciiTheme="majorBidi" w:hAnsiTheme="majorBidi" w:cstheme="majorBidi"/>
        </w:rPr>
        <w:t>r</w:t>
      </w:r>
      <w:r w:rsidRPr="006D7F24">
        <w:rPr>
          <w:rFonts w:asciiTheme="majorBidi" w:hAnsiTheme="majorBidi" w:cstheme="majorBidi"/>
        </w:rPr>
        <w:t xml:space="preserve">eference </w:t>
      </w:r>
      <w:r w:rsidR="00BA20B6">
        <w:rPr>
          <w:rFonts w:asciiTheme="majorBidi" w:hAnsiTheme="majorBidi" w:cstheme="majorBidi"/>
        </w:rPr>
        <w:t>i</w:t>
      </w:r>
      <w:r w:rsidRPr="006D7F24">
        <w:rPr>
          <w:rFonts w:asciiTheme="majorBidi" w:hAnsiTheme="majorBidi" w:cstheme="majorBidi"/>
        </w:rPr>
        <w:t xml:space="preserve">ntakes: Water, </w:t>
      </w:r>
      <w:r w:rsidR="00BA20B6">
        <w:rPr>
          <w:rFonts w:asciiTheme="majorBidi" w:hAnsiTheme="majorBidi" w:cstheme="majorBidi"/>
        </w:rPr>
        <w:t>p</w:t>
      </w:r>
      <w:r w:rsidRPr="006D7F24">
        <w:rPr>
          <w:rFonts w:asciiTheme="majorBidi" w:hAnsiTheme="majorBidi" w:cstheme="majorBidi"/>
        </w:rPr>
        <w:t xml:space="preserve">otassium, </w:t>
      </w:r>
      <w:r w:rsidR="00BA20B6">
        <w:rPr>
          <w:rFonts w:asciiTheme="majorBidi" w:hAnsiTheme="majorBidi" w:cstheme="majorBidi"/>
        </w:rPr>
        <w:t>s</w:t>
      </w:r>
      <w:r w:rsidRPr="006D7F24">
        <w:rPr>
          <w:rFonts w:asciiTheme="majorBidi" w:hAnsiTheme="majorBidi" w:cstheme="majorBidi"/>
        </w:rPr>
        <w:t xml:space="preserve">odium, </w:t>
      </w:r>
      <w:r w:rsidR="00BA20B6">
        <w:rPr>
          <w:rFonts w:asciiTheme="majorBidi" w:hAnsiTheme="majorBidi" w:cstheme="majorBidi"/>
        </w:rPr>
        <w:t>c</w:t>
      </w:r>
      <w:r w:rsidRPr="006D7F24">
        <w:rPr>
          <w:rFonts w:asciiTheme="majorBidi" w:hAnsiTheme="majorBidi" w:cstheme="majorBidi"/>
        </w:rPr>
        <w:t xml:space="preserve">hloride, and </w:t>
      </w:r>
      <w:r w:rsidR="00BA20B6">
        <w:rPr>
          <w:rFonts w:asciiTheme="majorBidi" w:hAnsiTheme="majorBidi" w:cstheme="majorBidi"/>
        </w:rPr>
        <w:t>s</w:t>
      </w:r>
      <w:r w:rsidRPr="006D7F24">
        <w:rPr>
          <w:rFonts w:asciiTheme="majorBidi" w:hAnsiTheme="majorBidi" w:cstheme="majorBidi"/>
        </w:rPr>
        <w:t xml:space="preserve">ulfate. Consensus </w:t>
      </w:r>
      <w:r w:rsidR="0005397F">
        <w:rPr>
          <w:rFonts w:asciiTheme="majorBidi" w:hAnsiTheme="majorBidi" w:cstheme="majorBidi"/>
        </w:rPr>
        <w:t>r</w:t>
      </w:r>
      <w:r w:rsidRPr="006D7F24">
        <w:rPr>
          <w:rFonts w:asciiTheme="majorBidi" w:hAnsiTheme="majorBidi" w:cstheme="majorBidi"/>
        </w:rPr>
        <w:t xml:space="preserve">eport. 2005. Figure C-1, p. 488. </w:t>
      </w:r>
      <w:hyperlink r:id="rId9" w:history="1">
        <w:r w:rsidRPr="006D7F24">
          <w:rPr>
            <w:rStyle w:val="Hyperlink"/>
            <w:rFonts w:asciiTheme="majorBidi" w:hAnsiTheme="majorBidi" w:cstheme="majorBidi"/>
          </w:rPr>
          <w:t>http://books.nap.edu/openbook.php?record_id=10925&amp;page=488</w:t>
        </w:r>
      </w:hyperlink>
      <w:r w:rsidRPr="006D7F24">
        <w:rPr>
          <w:rFonts w:asciiTheme="majorBidi" w:hAnsiTheme="majorBidi" w:cstheme="majorBidi"/>
        </w:rPr>
        <w:t>. Accessed March 17, 2018.</w:t>
      </w:r>
    </w:p>
  </w:footnote>
  <w:footnote w:id="19">
    <w:p w14:paraId="0C971B6E" w14:textId="01BC570D" w:rsidR="001232D3" w:rsidRPr="006D7F24" w:rsidRDefault="001232D3" w:rsidP="006E0868">
      <w:pPr>
        <w:pStyle w:val="FootnoteText"/>
        <w:contextualSpacing/>
        <w:rPr>
          <w:rFonts w:asciiTheme="majorBidi" w:hAnsiTheme="majorBidi" w:cstheme="majorBidi"/>
        </w:rPr>
      </w:pPr>
      <w:r w:rsidRPr="006D7F24">
        <w:rPr>
          <w:rStyle w:val="FootnoteReference"/>
          <w:rFonts w:asciiTheme="majorBidi" w:hAnsiTheme="majorBidi" w:cstheme="majorBidi"/>
        </w:rPr>
        <w:footnoteRef/>
      </w:r>
      <w:r w:rsidRPr="006D7F24">
        <w:rPr>
          <w:rFonts w:asciiTheme="majorBidi" w:hAnsiTheme="majorBidi" w:cstheme="majorBidi"/>
        </w:rPr>
        <w:t xml:space="preserve"> NIOSH 2016 Criteria Recommendations. p. 118.</w:t>
      </w:r>
    </w:p>
  </w:footnote>
  <w:footnote w:id="20">
    <w:p w14:paraId="1C03FF0A" w14:textId="6479EDB2" w:rsidR="001232D3" w:rsidRPr="006D7F24" w:rsidRDefault="001232D3" w:rsidP="00ED710D">
      <w:pPr>
        <w:pStyle w:val="FootnoteText"/>
        <w:rPr>
          <w:rFonts w:asciiTheme="majorBidi" w:hAnsiTheme="majorBidi" w:cstheme="majorBidi"/>
        </w:rPr>
      </w:pPr>
      <w:r w:rsidRPr="006D7F24">
        <w:rPr>
          <w:rStyle w:val="FootnoteReference"/>
          <w:rFonts w:asciiTheme="majorBidi" w:hAnsiTheme="majorBidi" w:cstheme="majorBidi"/>
        </w:rPr>
        <w:footnoteRef/>
      </w:r>
      <w:r w:rsidRPr="006D7F24">
        <w:rPr>
          <w:rFonts w:asciiTheme="majorBidi" w:hAnsiTheme="majorBidi" w:cstheme="majorBidi"/>
        </w:rPr>
        <w:t xml:space="preserve"> Government of Australia. Healthdirect. Dehydration. </w:t>
      </w:r>
      <w:hyperlink r:id="rId10" w:history="1">
        <w:r w:rsidRPr="006D7F24">
          <w:rPr>
            <w:rStyle w:val="Hyperlink"/>
            <w:rFonts w:asciiTheme="majorBidi" w:hAnsiTheme="majorBidi" w:cstheme="majorBidi"/>
          </w:rPr>
          <w:t>https://www.healthdirect.gov.au/dehydration</w:t>
        </w:r>
      </w:hyperlink>
      <w:r w:rsidRPr="006D7F24">
        <w:rPr>
          <w:rFonts w:asciiTheme="majorBidi" w:hAnsiTheme="majorBidi" w:cstheme="majorBidi"/>
        </w:rPr>
        <w:t>. Accessed March 17, 2018.</w:t>
      </w:r>
    </w:p>
  </w:footnote>
  <w:footnote w:id="21">
    <w:p w14:paraId="605BDF53" w14:textId="3164306A" w:rsidR="001232D3" w:rsidRPr="006D7F24" w:rsidRDefault="001232D3" w:rsidP="00097233">
      <w:pPr>
        <w:pStyle w:val="FootnoteText"/>
        <w:rPr>
          <w:rFonts w:asciiTheme="majorBidi" w:hAnsiTheme="majorBidi" w:cstheme="majorBidi"/>
        </w:rPr>
      </w:pPr>
      <w:r w:rsidRPr="006D7F24">
        <w:rPr>
          <w:rStyle w:val="FootnoteReference"/>
          <w:rFonts w:asciiTheme="majorBidi" w:hAnsiTheme="majorBidi" w:cstheme="majorBidi"/>
        </w:rPr>
        <w:footnoteRef/>
      </w:r>
      <w:r w:rsidRPr="006D7F24">
        <w:rPr>
          <w:rFonts w:asciiTheme="majorBidi" w:hAnsiTheme="majorBidi" w:cstheme="majorBidi"/>
        </w:rPr>
        <w:t xml:space="preserve"> NIOSH 2016 Criteria Recommendations. p. 118.</w:t>
      </w:r>
    </w:p>
  </w:footnote>
  <w:footnote w:id="22">
    <w:p w14:paraId="55FCD316" w14:textId="65CF8B38" w:rsidR="001232D3" w:rsidRPr="006D7F24" w:rsidRDefault="001232D3" w:rsidP="00ED710D">
      <w:pPr>
        <w:pStyle w:val="FootnoteText"/>
        <w:rPr>
          <w:rFonts w:asciiTheme="majorBidi" w:hAnsiTheme="majorBidi" w:cstheme="majorBidi"/>
        </w:rPr>
      </w:pPr>
      <w:r w:rsidRPr="006D7F24">
        <w:rPr>
          <w:rStyle w:val="FootnoteReference"/>
          <w:rFonts w:asciiTheme="majorBidi" w:hAnsiTheme="majorBidi" w:cstheme="majorBidi"/>
        </w:rPr>
        <w:footnoteRef/>
      </w:r>
      <w:r w:rsidRPr="006D7F24">
        <w:rPr>
          <w:rFonts w:asciiTheme="majorBidi" w:hAnsiTheme="majorBidi" w:cstheme="majorBidi"/>
        </w:rPr>
        <w:t xml:space="preserve"> National Institute for Occupational Safety and Health. Chronic </w:t>
      </w:r>
      <w:r w:rsidR="00553905">
        <w:rPr>
          <w:rFonts w:asciiTheme="majorBidi" w:hAnsiTheme="majorBidi" w:cstheme="majorBidi"/>
        </w:rPr>
        <w:t>k</w:t>
      </w:r>
      <w:r w:rsidRPr="006D7F24">
        <w:rPr>
          <w:rFonts w:asciiTheme="majorBidi" w:hAnsiTheme="majorBidi" w:cstheme="majorBidi"/>
        </w:rPr>
        <w:t xml:space="preserve">idney </w:t>
      </w:r>
      <w:r w:rsidR="00553905">
        <w:rPr>
          <w:rFonts w:asciiTheme="majorBidi" w:hAnsiTheme="majorBidi" w:cstheme="majorBidi"/>
        </w:rPr>
        <w:t>d</w:t>
      </w:r>
      <w:r w:rsidRPr="006D7F24">
        <w:rPr>
          <w:rFonts w:asciiTheme="majorBidi" w:hAnsiTheme="majorBidi" w:cstheme="majorBidi"/>
        </w:rPr>
        <w:t xml:space="preserve">isease of </w:t>
      </w:r>
      <w:r w:rsidR="00553905">
        <w:rPr>
          <w:rFonts w:asciiTheme="majorBidi" w:hAnsiTheme="majorBidi" w:cstheme="majorBidi"/>
        </w:rPr>
        <w:t>u</w:t>
      </w:r>
      <w:r w:rsidRPr="006D7F24">
        <w:rPr>
          <w:rFonts w:asciiTheme="majorBidi" w:hAnsiTheme="majorBidi" w:cstheme="majorBidi"/>
        </w:rPr>
        <w:t xml:space="preserve">nknown </w:t>
      </w:r>
      <w:r w:rsidR="00553905">
        <w:rPr>
          <w:rFonts w:asciiTheme="majorBidi" w:hAnsiTheme="majorBidi" w:cstheme="majorBidi"/>
        </w:rPr>
        <w:t>e</w:t>
      </w:r>
      <w:r w:rsidRPr="006D7F24">
        <w:rPr>
          <w:rFonts w:asciiTheme="majorBidi" w:hAnsiTheme="majorBidi" w:cstheme="majorBidi"/>
        </w:rPr>
        <w:t xml:space="preserve">tiology: NIOSH </w:t>
      </w:r>
      <w:r w:rsidR="00553905">
        <w:rPr>
          <w:rFonts w:asciiTheme="majorBidi" w:hAnsiTheme="majorBidi" w:cstheme="majorBidi"/>
        </w:rPr>
        <w:t>p</w:t>
      </w:r>
      <w:r w:rsidRPr="006D7F24">
        <w:rPr>
          <w:rFonts w:asciiTheme="majorBidi" w:hAnsiTheme="majorBidi" w:cstheme="majorBidi"/>
        </w:rPr>
        <w:t xml:space="preserve">esticide </w:t>
      </w:r>
      <w:r w:rsidR="00553905">
        <w:rPr>
          <w:rFonts w:asciiTheme="majorBidi" w:hAnsiTheme="majorBidi" w:cstheme="majorBidi"/>
        </w:rPr>
        <w:t>e</w:t>
      </w:r>
      <w:r w:rsidRPr="006D7F24">
        <w:rPr>
          <w:rFonts w:asciiTheme="majorBidi" w:hAnsiTheme="majorBidi" w:cstheme="majorBidi"/>
        </w:rPr>
        <w:t xml:space="preserve">xposure </w:t>
      </w:r>
      <w:r w:rsidR="00553905">
        <w:rPr>
          <w:rFonts w:asciiTheme="majorBidi" w:hAnsiTheme="majorBidi" w:cstheme="majorBidi"/>
        </w:rPr>
        <w:t>s</w:t>
      </w:r>
      <w:r w:rsidRPr="006D7F24">
        <w:rPr>
          <w:rFonts w:asciiTheme="majorBidi" w:hAnsiTheme="majorBidi" w:cstheme="majorBidi"/>
        </w:rPr>
        <w:t xml:space="preserve">tudy in El Salvador </w:t>
      </w:r>
      <w:r w:rsidR="00553905">
        <w:rPr>
          <w:rFonts w:asciiTheme="majorBidi" w:hAnsiTheme="majorBidi" w:cstheme="majorBidi"/>
        </w:rPr>
        <w:t>s</w:t>
      </w:r>
      <w:r w:rsidRPr="006D7F24">
        <w:rPr>
          <w:rFonts w:asciiTheme="majorBidi" w:hAnsiTheme="majorBidi" w:cstheme="majorBidi"/>
        </w:rPr>
        <w:t xml:space="preserve">ugarcane </w:t>
      </w:r>
      <w:r w:rsidR="00553905">
        <w:rPr>
          <w:rFonts w:asciiTheme="majorBidi" w:hAnsiTheme="majorBidi" w:cstheme="majorBidi"/>
        </w:rPr>
        <w:t>w</w:t>
      </w:r>
      <w:r w:rsidRPr="006D7F24">
        <w:rPr>
          <w:rFonts w:asciiTheme="majorBidi" w:hAnsiTheme="majorBidi" w:cstheme="majorBidi"/>
        </w:rPr>
        <w:t>orkers. Sept</w:t>
      </w:r>
      <w:r w:rsidR="00CF7A79">
        <w:rPr>
          <w:rFonts w:asciiTheme="majorBidi" w:hAnsiTheme="majorBidi" w:cstheme="majorBidi"/>
        </w:rPr>
        <w:t xml:space="preserve"> </w:t>
      </w:r>
      <w:r w:rsidRPr="006D7F24">
        <w:rPr>
          <w:rFonts w:asciiTheme="majorBidi" w:hAnsiTheme="majorBidi" w:cstheme="majorBidi"/>
        </w:rPr>
        <w:t xml:space="preserve">27, 2016. </w:t>
      </w:r>
      <w:hyperlink r:id="rId11" w:history="1">
        <w:r w:rsidRPr="006D7F24">
          <w:rPr>
            <w:rStyle w:val="Hyperlink"/>
            <w:rFonts w:asciiTheme="majorBidi" w:hAnsiTheme="majorBidi" w:cstheme="majorBidi"/>
          </w:rPr>
          <w:t>https://www.cdc.gov/niosh/docket/archive/pdfs/niosh-278/curwinbscsept2016.pdf</w:t>
        </w:r>
      </w:hyperlink>
      <w:r w:rsidRPr="006D7F24">
        <w:rPr>
          <w:rFonts w:asciiTheme="majorBidi" w:hAnsiTheme="majorBidi" w:cstheme="majorBidi"/>
        </w:rPr>
        <w:t>. Accessed March 17, 2018.</w:t>
      </w:r>
    </w:p>
  </w:footnote>
  <w:footnote w:id="23">
    <w:p w14:paraId="5F3AD9F1" w14:textId="6BA2302B" w:rsidR="001232D3" w:rsidRPr="006D7F24" w:rsidRDefault="001232D3" w:rsidP="00257AAE">
      <w:pPr>
        <w:pStyle w:val="FootnoteText"/>
        <w:contextualSpacing/>
        <w:rPr>
          <w:rFonts w:asciiTheme="majorBidi" w:hAnsiTheme="majorBidi" w:cstheme="majorBidi"/>
        </w:rPr>
      </w:pPr>
      <w:r w:rsidRPr="006D7F24">
        <w:rPr>
          <w:rStyle w:val="FootnoteReference"/>
          <w:rFonts w:asciiTheme="majorBidi" w:hAnsiTheme="majorBidi" w:cstheme="majorBidi"/>
        </w:rPr>
        <w:footnoteRef/>
      </w:r>
      <w:r w:rsidRPr="006D7F24">
        <w:rPr>
          <w:rFonts w:asciiTheme="majorBidi" w:hAnsiTheme="majorBidi" w:cstheme="majorBidi"/>
        </w:rPr>
        <w:t xml:space="preserve"> NIOSH 2016 Criteria Recommendations. p. 32.</w:t>
      </w:r>
    </w:p>
  </w:footnote>
  <w:footnote w:id="24">
    <w:p w14:paraId="6FC7E26B" w14:textId="61C7A479" w:rsidR="001232D3" w:rsidRPr="006D7F24" w:rsidRDefault="001232D3" w:rsidP="00257AAE">
      <w:pPr>
        <w:pStyle w:val="FootnoteText"/>
        <w:contextualSpacing/>
        <w:rPr>
          <w:rFonts w:asciiTheme="majorBidi" w:hAnsiTheme="majorBidi" w:cstheme="majorBidi"/>
        </w:rPr>
      </w:pPr>
      <w:r w:rsidRPr="006D7F24">
        <w:rPr>
          <w:rStyle w:val="FootnoteReference"/>
          <w:rFonts w:asciiTheme="majorBidi" w:hAnsiTheme="majorBidi" w:cstheme="majorBidi"/>
        </w:rPr>
        <w:footnoteRef/>
      </w:r>
      <w:r w:rsidRPr="006D7F24">
        <w:rPr>
          <w:rFonts w:asciiTheme="majorBidi" w:hAnsiTheme="majorBidi" w:cstheme="majorBidi"/>
        </w:rPr>
        <w:t xml:space="preserve"> Ibid. p. 32.</w:t>
      </w:r>
    </w:p>
  </w:footnote>
  <w:footnote w:id="25">
    <w:p w14:paraId="624603FA" w14:textId="15C1686E" w:rsidR="001232D3" w:rsidRPr="006D7F24" w:rsidRDefault="001232D3" w:rsidP="00CF4D69">
      <w:pPr>
        <w:pStyle w:val="FootnoteText"/>
        <w:contextualSpacing/>
        <w:rPr>
          <w:rFonts w:asciiTheme="majorBidi" w:hAnsiTheme="majorBidi" w:cstheme="majorBidi"/>
        </w:rPr>
      </w:pPr>
      <w:r w:rsidRPr="006D7F24">
        <w:rPr>
          <w:rStyle w:val="FootnoteReference"/>
          <w:rFonts w:asciiTheme="majorBidi" w:hAnsiTheme="majorBidi" w:cstheme="majorBidi"/>
        </w:rPr>
        <w:footnoteRef/>
      </w:r>
      <w:r w:rsidRPr="006D7F24">
        <w:rPr>
          <w:rFonts w:asciiTheme="majorBidi" w:hAnsiTheme="majorBidi" w:cstheme="majorBidi"/>
        </w:rPr>
        <w:t xml:space="preserve"> </w:t>
      </w:r>
      <w:r w:rsidRPr="006D7F24">
        <w:rPr>
          <w:rFonts w:asciiTheme="majorBidi" w:hAnsiTheme="majorBidi" w:cstheme="majorBidi"/>
          <w:color w:val="000000"/>
        </w:rPr>
        <w:t xml:space="preserve">Ibid. </w:t>
      </w:r>
      <w:r w:rsidRPr="006D7F24">
        <w:rPr>
          <w:rFonts w:asciiTheme="majorBidi" w:hAnsiTheme="majorBidi" w:cstheme="majorBidi"/>
        </w:rPr>
        <w:t>p. 34.</w:t>
      </w:r>
    </w:p>
  </w:footnote>
  <w:footnote w:id="26">
    <w:p w14:paraId="3313773F" w14:textId="0A0C0FE6" w:rsidR="001232D3" w:rsidRPr="006D7F24" w:rsidRDefault="001232D3" w:rsidP="00ED710D">
      <w:pPr>
        <w:pStyle w:val="FootnoteText"/>
        <w:contextualSpacing/>
        <w:rPr>
          <w:rFonts w:asciiTheme="majorBidi" w:hAnsiTheme="majorBidi" w:cstheme="majorBidi"/>
        </w:rPr>
      </w:pPr>
      <w:r w:rsidRPr="006D7F24">
        <w:rPr>
          <w:rStyle w:val="FootnoteReference"/>
          <w:rFonts w:asciiTheme="majorBidi" w:hAnsiTheme="majorBidi" w:cstheme="majorBidi"/>
        </w:rPr>
        <w:footnoteRef/>
      </w:r>
      <w:r w:rsidRPr="006D7F24">
        <w:rPr>
          <w:rFonts w:asciiTheme="majorBidi" w:hAnsiTheme="majorBidi" w:cstheme="majorBidi"/>
        </w:rPr>
        <w:t xml:space="preserve"> Occupational Safety and Health Administration. OSHA </w:t>
      </w:r>
      <w:r w:rsidR="00510569">
        <w:rPr>
          <w:rFonts w:asciiTheme="majorBidi" w:hAnsiTheme="majorBidi" w:cstheme="majorBidi"/>
        </w:rPr>
        <w:t>t</w:t>
      </w:r>
      <w:r w:rsidRPr="006D7F24">
        <w:rPr>
          <w:rFonts w:asciiTheme="majorBidi" w:hAnsiTheme="majorBidi" w:cstheme="majorBidi"/>
        </w:rPr>
        <w:t xml:space="preserve">echnical </w:t>
      </w:r>
      <w:r w:rsidR="00510569">
        <w:rPr>
          <w:rFonts w:asciiTheme="majorBidi" w:hAnsiTheme="majorBidi" w:cstheme="majorBidi"/>
        </w:rPr>
        <w:t>m</w:t>
      </w:r>
      <w:r w:rsidRPr="006D7F24">
        <w:rPr>
          <w:rFonts w:asciiTheme="majorBidi" w:hAnsiTheme="majorBidi" w:cstheme="majorBidi"/>
        </w:rPr>
        <w:t>anual</w:t>
      </w:r>
      <w:r w:rsidR="00591054">
        <w:rPr>
          <w:rFonts w:asciiTheme="majorBidi" w:hAnsiTheme="majorBidi" w:cstheme="majorBidi"/>
        </w:rPr>
        <w:t>. Section III: Chapter 4 (Heat s</w:t>
      </w:r>
      <w:r w:rsidRPr="006D7F24">
        <w:rPr>
          <w:rFonts w:asciiTheme="majorBidi" w:hAnsiTheme="majorBidi" w:cstheme="majorBidi"/>
        </w:rPr>
        <w:t xml:space="preserve">tress). Updated September 15, 2017. </w:t>
      </w:r>
      <w:hyperlink r:id="rId12" w:history="1">
        <w:r w:rsidRPr="006D7F24">
          <w:rPr>
            <w:rStyle w:val="Hyperlink"/>
            <w:rFonts w:asciiTheme="majorBidi" w:hAnsiTheme="majorBidi" w:cstheme="majorBidi"/>
          </w:rPr>
          <w:t>https://www.osha.gov/dts/osta/otm/otm_iii/otm_iii_4.html</w:t>
        </w:r>
      </w:hyperlink>
      <w:r w:rsidRPr="006D7F24">
        <w:rPr>
          <w:rFonts w:asciiTheme="majorBidi" w:hAnsiTheme="majorBidi" w:cstheme="majorBidi"/>
        </w:rPr>
        <w:t>. Accessed March 12, 2018.</w:t>
      </w:r>
    </w:p>
  </w:footnote>
  <w:footnote w:id="27">
    <w:p w14:paraId="0CD2752C" w14:textId="40B33118" w:rsidR="001232D3" w:rsidRPr="006D7F24" w:rsidRDefault="001232D3" w:rsidP="00214B2D">
      <w:pPr>
        <w:pStyle w:val="FootnoteText"/>
        <w:contextualSpacing/>
        <w:rPr>
          <w:rFonts w:asciiTheme="majorBidi" w:hAnsiTheme="majorBidi" w:cstheme="majorBidi"/>
        </w:rPr>
      </w:pPr>
      <w:r w:rsidRPr="006D7F24">
        <w:rPr>
          <w:rStyle w:val="FootnoteReference"/>
          <w:rFonts w:asciiTheme="majorBidi" w:hAnsiTheme="majorBidi" w:cstheme="majorBidi"/>
        </w:rPr>
        <w:footnoteRef/>
      </w:r>
      <w:r w:rsidRPr="006D7F24">
        <w:rPr>
          <w:rFonts w:asciiTheme="majorBidi" w:hAnsiTheme="majorBidi" w:cstheme="majorBidi"/>
        </w:rPr>
        <w:t xml:space="preserve"> NIOSH 2016 Criteria Recommendations. p. 32.</w:t>
      </w:r>
    </w:p>
  </w:footnote>
  <w:footnote w:id="28">
    <w:p w14:paraId="00E5BED4" w14:textId="5E672450" w:rsidR="001232D3" w:rsidRPr="006D7F24" w:rsidRDefault="001232D3" w:rsidP="00214B2D">
      <w:pPr>
        <w:pStyle w:val="FootnoteText"/>
        <w:contextualSpacing/>
        <w:rPr>
          <w:rFonts w:asciiTheme="majorBidi" w:hAnsiTheme="majorBidi" w:cstheme="majorBidi"/>
        </w:rPr>
      </w:pPr>
      <w:r w:rsidRPr="006D7F24">
        <w:rPr>
          <w:rStyle w:val="FootnoteReference"/>
          <w:rFonts w:asciiTheme="majorBidi" w:hAnsiTheme="majorBidi" w:cstheme="majorBidi"/>
        </w:rPr>
        <w:footnoteRef/>
      </w:r>
      <w:r w:rsidRPr="006D7F24">
        <w:rPr>
          <w:rFonts w:asciiTheme="majorBidi" w:hAnsiTheme="majorBidi" w:cstheme="majorBidi"/>
        </w:rPr>
        <w:t xml:space="preserve"> Ibid. p. 33.</w:t>
      </w:r>
    </w:p>
  </w:footnote>
  <w:footnote w:id="29">
    <w:p w14:paraId="08D67414" w14:textId="77777777" w:rsidR="001232D3" w:rsidRPr="006D7F24" w:rsidRDefault="001232D3" w:rsidP="00ED710D">
      <w:pPr>
        <w:pStyle w:val="FootnoteText"/>
        <w:contextualSpacing/>
        <w:rPr>
          <w:rFonts w:asciiTheme="majorBidi" w:hAnsiTheme="majorBidi" w:cstheme="majorBidi"/>
        </w:rPr>
      </w:pPr>
      <w:r w:rsidRPr="006D7F24">
        <w:rPr>
          <w:rStyle w:val="FootnoteReference"/>
          <w:rFonts w:asciiTheme="majorBidi" w:hAnsiTheme="majorBidi" w:cstheme="majorBidi"/>
        </w:rPr>
        <w:footnoteRef/>
      </w:r>
      <w:r w:rsidRPr="006D7F24">
        <w:rPr>
          <w:rFonts w:asciiTheme="majorBidi" w:hAnsiTheme="majorBidi" w:cstheme="majorBidi"/>
        </w:rPr>
        <w:t xml:space="preserve"> Centers for Disease Control and Prevention. Heat Stress – Heat-related Illness. </w:t>
      </w:r>
      <w:hyperlink r:id="rId13" w:history="1">
        <w:r w:rsidRPr="006D7F24">
          <w:rPr>
            <w:rStyle w:val="Hyperlink"/>
            <w:rFonts w:asciiTheme="majorBidi" w:hAnsiTheme="majorBidi" w:cstheme="majorBidi"/>
          </w:rPr>
          <w:t>https://www.cdc.gov/niosh/topics/heatstress/heatrelillness.html</w:t>
        </w:r>
      </w:hyperlink>
      <w:hyperlink r:id="rId14" w:history="1"/>
      <w:r w:rsidRPr="006D7F24">
        <w:rPr>
          <w:rFonts w:asciiTheme="majorBidi" w:hAnsiTheme="majorBidi" w:cstheme="majorBidi"/>
        </w:rPr>
        <w:t>. Accessed March 15, 2018.</w:t>
      </w:r>
    </w:p>
  </w:footnote>
  <w:footnote w:id="30">
    <w:p w14:paraId="262FEB6D" w14:textId="75EE9238" w:rsidR="001232D3" w:rsidRPr="006D7F24" w:rsidRDefault="001232D3" w:rsidP="00ED710D">
      <w:pPr>
        <w:pStyle w:val="FootnoteText"/>
        <w:contextualSpacing/>
        <w:rPr>
          <w:rFonts w:asciiTheme="majorBidi" w:hAnsiTheme="majorBidi" w:cstheme="majorBidi"/>
        </w:rPr>
      </w:pPr>
      <w:r w:rsidRPr="006D7F24">
        <w:rPr>
          <w:rStyle w:val="FootnoteReference"/>
          <w:rFonts w:asciiTheme="majorBidi" w:hAnsiTheme="majorBidi" w:cstheme="majorBidi"/>
        </w:rPr>
        <w:footnoteRef/>
      </w:r>
      <w:r w:rsidRPr="006D7F24">
        <w:rPr>
          <w:rFonts w:asciiTheme="majorBidi" w:hAnsiTheme="majorBidi" w:cstheme="majorBidi"/>
        </w:rPr>
        <w:t xml:space="preserve"> Ibid.</w:t>
      </w:r>
    </w:p>
  </w:footnote>
  <w:footnote w:id="31">
    <w:p w14:paraId="17677081" w14:textId="5C6C69E6" w:rsidR="001232D3" w:rsidRPr="006D7F24" w:rsidRDefault="001232D3" w:rsidP="00ED710D">
      <w:pPr>
        <w:pStyle w:val="FootnoteText"/>
        <w:contextualSpacing/>
        <w:rPr>
          <w:rFonts w:asciiTheme="majorBidi" w:hAnsiTheme="majorBidi" w:cstheme="majorBidi"/>
        </w:rPr>
      </w:pPr>
      <w:r w:rsidRPr="006D7F24">
        <w:rPr>
          <w:rStyle w:val="FootnoteReference"/>
          <w:rFonts w:asciiTheme="majorBidi" w:hAnsiTheme="majorBidi" w:cstheme="majorBidi"/>
        </w:rPr>
        <w:footnoteRef/>
      </w:r>
      <w:r w:rsidRPr="006D7F24">
        <w:rPr>
          <w:rFonts w:asciiTheme="majorBidi" w:hAnsiTheme="majorBidi" w:cstheme="majorBidi"/>
        </w:rPr>
        <w:t xml:space="preserve"> Ibid.</w:t>
      </w:r>
    </w:p>
  </w:footnote>
  <w:footnote w:id="32">
    <w:p w14:paraId="7653D406" w14:textId="46278AA0" w:rsidR="001232D3" w:rsidRPr="006D7F24" w:rsidRDefault="001232D3" w:rsidP="00ED710D">
      <w:pPr>
        <w:pStyle w:val="FootnoteText"/>
        <w:contextualSpacing/>
        <w:rPr>
          <w:rFonts w:asciiTheme="majorBidi" w:hAnsiTheme="majorBidi" w:cstheme="majorBidi"/>
        </w:rPr>
      </w:pPr>
      <w:r w:rsidRPr="006D7F24">
        <w:rPr>
          <w:rStyle w:val="FootnoteReference"/>
          <w:rFonts w:asciiTheme="majorBidi" w:hAnsiTheme="majorBidi" w:cstheme="majorBidi"/>
        </w:rPr>
        <w:footnoteRef/>
      </w:r>
      <w:r w:rsidRPr="006D7F24">
        <w:rPr>
          <w:rFonts w:asciiTheme="majorBidi" w:hAnsiTheme="majorBidi" w:cstheme="majorBidi"/>
        </w:rPr>
        <w:t xml:space="preserve"> Ibid.</w:t>
      </w:r>
    </w:p>
  </w:footnote>
  <w:footnote w:id="33">
    <w:p w14:paraId="08F9D37F" w14:textId="75FDEF71" w:rsidR="001232D3" w:rsidRPr="006D7F24" w:rsidRDefault="001232D3" w:rsidP="00ED710D">
      <w:pPr>
        <w:pStyle w:val="FootnoteText"/>
        <w:contextualSpacing/>
        <w:rPr>
          <w:rFonts w:asciiTheme="majorBidi" w:hAnsiTheme="majorBidi" w:cstheme="majorBidi"/>
        </w:rPr>
      </w:pPr>
      <w:r w:rsidRPr="006D7F24">
        <w:rPr>
          <w:rStyle w:val="FootnoteReference"/>
          <w:rFonts w:asciiTheme="majorBidi" w:hAnsiTheme="majorBidi" w:cstheme="majorBidi"/>
        </w:rPr>
        <w:footnoteRef/>
      </w:r>
      <w:r w:rsidRPr="006D7F24">
        <w:rPr>
          <w:rFonts w:asciiTheme="majorBidi" w:hAnsiTheme="majorBidi" w:cstheme="majorBidi"/>
        </w:rPr>
        <w:t xml:space="preserve"> Ibid.</w:t>
      </w:r>
    </w:p>
  </w:footnote>
  <w:footnote w:id="34">
    <w:p w14:paraId="73335AD1" w14:textId="29D7C1A8" w:rsidR="001232D3" w:rsidRPr="006D7F24" w:rsidRDefault="001232D3" w:rsidP="00ED710D">
      <w:pPr>
        <w:pStyle w:val="FootnoteText"/>
        <w:contextualSpacing/>
        <w:rPr>
          <w:rFonts w:asciiTheme="majorBidi" w:hAnsiTheme="majorBidi" w:cstheme="majorBidi"/>
        </w:rPr>
      </w:pPr>
      <w:r w:rsidRPr="006D7F24">
        <w:rPr>
          <w:rStyle w:val="FootnoteReference"/>
          <w:rFonts w:asciiTheme="majorBidi" w:hAnsiTheme="majorBidi" w:cstheme="majorBidi"/>
        </w:rPr>
        <w:footnoteRef/>
      </w:r>
      <w:r w:rsidRPr="006D7F24">
        <w:rPr>
          <w:rFonts w:asciiTheme="majorBidi" w:hAnsiTheme="majorBidi" w:cstheme="majorBidi"/>
        </w:rPr>
        <w:t xml:space="preserve"> </w:t>
      </w:r>
      <w:r w:rsidRPr="006D7F24">
        <w:rPr>
          <w:rFonts w:asciiTheme="majorBidi" w:hAnsiTheme="majorBidi" w:cstheme="majorBidi"/>
          <w:iCs/>
        </w:rPr>
        <w:t>Ibid</w:t>
      </w:r>
      <w:r w:rsidRPr="006D7F24">
        <w:rPr>
          <w:rFonts w:asciiTheme="majorBidi" w:hAnsiTheme="majorBidi" w:cstheme="majorBidi"/>
        </w:rPr>
        <w:t>.</w:t>
      </w:r>
    </w:p>
  </w:footnote>
  <w:footnote w:id="35">
    <w:p w14:paraId="14300029" w14:textId="552D0A65" w:rsidR="001232D3" w:rsidRPr="006D7F24" w:rsidRDefault="001232D3" w:rsidP="00ED710D">
      <w:pPr>
        <w:pStyle w:val="FootnoteText"/>
        <w:contextualSpacing/>
        <w:rPr>
          <w:rFonts w:asciiTheme="majorBidi" w:hAnsiTheme="majorBidi" w:cstheme="majorBidi"/>
        </w:rPr>
      </w:pPr>
      <w:r w:rsidRPr="006D7F24">
        <w:rPr>
          <w:rStyle w:val="FootnoteReference"/>
          <w:rFonts w:asciiTheme="majorBidi" w:hAnsiTheme="majorBidi" w:cstheme="majorBidi"/>
        </w:rPr>
        <w:footnoteRef/>
      </w:r>
      <w:r w:rsidRPr="006D7F24">
        <w:rPr>
          <w:rFonts w:asciiTheme="majorBidi" w:hAnsiTheme="majorBidi" w:cstheme="majorBidi"/>
        </w:rPr>
        <w:t xml:space="preserve"> </w:t>
      </w:r>
      <w:r w:rsidRPr="006D7F24">
        <w:rPr>
          <w:rFonts w:asciiTheme="majorBidi" w:hAnsiTheme="majorBidi" w:cstheme="majorBidi"/>
          <w:iCs/>
        </w:rPr>
        <w:t>Ibid</w:t>
      </w:r>
      <w:r w:rsidRPr="006D7F24">
        <w:rPr>
          <w:rFonts w:asciiTheme="majorBidi" w:hAnsiTheme="majorBidi" w:cstheme="majorBidi"/>
        </w:rPr>
        <w:t>.</w:t>
      </w:r>
    </w:p>
  </w:footnote>
  <w:footnote w:id="36">
    <w:p w14:paraId="1082DEAB" w14:textId="2902C8DF" w:rsidR="001232D3" w:rsidRPr="006D7F24" w:rsidRDefault="001232D3" w:rsidP="00ED710D">
      <w:pPr>
        <w:pStyle w:val="FootnoteText"/>
        <w:rPr>
          <w:rFonts w:asciiTheme="majorBidi" w:hAnsiTheme="majorBidi" w:cstheme="majorBidi"/>
        </w:rPr>
      </w:pPr>
      <w:r w:rsidRPr="006D7F24">
        <w:rPr>
          <w:rStyle w:val="FootnoteReference"/>
          <w:rFonts w:asciiTheme="majorBidi" w:hAnsiTheme="majorBidi" w:cstheme="majorBidi"/>
        </w:rPr>
        <w:footnoteRef/>
      </w:r>
      <w:r w:rsidRPr="006D7F24">
        <w:rPr>
          <w:rFonts w:asciiTheme="majorBidi" w:hAnsiTheme="majorBidi" w:cstheme="majorBidi"/>
        </w:rPr>
        <w:t xml:space="preserve"> Orantes-Navarro CM, Herrera-Valdés R, Almaguer-López</w:t>
      </w:r>
      <w:r w:rsidR="00252AEF">
        <w:rPr>
          <w:rFonts w:asciiTheme="majorBidi" w:hAnsiTheme="majorBidi" w:cstheme="majorBidi"/>
        </w:rPr>
        <w:t xml:space="preserve"> M, et al. Toward a c</w:t>
      </w:r>
      <w:r w:rsidRPr="006D7F24">
        <w:rPr>
          <w:rFonts w:asciiTheme="majorBidi" w:hAnsiTheme="majorBidi" w:cstheme="majorBidi"/>
        </w:rPr>
        <w:t xml:space="preserve">omprehensive </w:t>
      </w:r>
      <w:r w:rsidR="00252AEF">
        <w:rPr>
          <w:rFonts w:asciiTheme="majorBidi" w:hAnsiTheme="majorBidi" w:cstheme="majorBidi"/>
        </w:rPr>
        <w:t>h</w:t>
      </w:r>
      <w:r w:rsidRPr="006D7F24">
        <w:rPr>
          <w:rFonts w:asciiTheme="majorBidi" w:hAnsiTheme="majorBidi" w:cstheme="majorBidi"/>
        </w:rPr>
        <w:t xml:space="preserve">ypothesis of </w:t>
      </w:r>
      <w:r w:rsidR="00252AEF">
        <w:rPr>
          <w:rFonts w:asciiTheme="majorBidi" w:hAnsiTheme="majorBidi" w:cstheme="majorBidi"/>
        </w:rPr>
        <w:t>c</w:t>
      </w:r>
      <w:r w:rsidRPr="006D7F24">
        <w:rPr>
          <w:rFonts w:asciiTheme="majorBidi" w:hAnsiTheme="majorBidi" w:cstheme="majorBidi"/>
        </w:rPr>
        <w:t xml:space="preserve">hronic </w:t>
      </w:r>
      <w:r w:rsidR="00252AEF">
        <w:rPr>
          <w:rFonts w:asciiTheme="majorBidi" w:hAnsiTheme="majorBidi" w:cstheme="majorBidi"/>
        </w:rPr>
        <w:t>i</w:t>
      </w:r>
      <w:r w:rsidRPr="006D7F24">
        <w:rPr>
          <w:rFonts w:asciiTheme="majorBidi" w:hAnsiTheme="majorBidi" w:cstheme="majorBidi"/>
        </w:rPr>
        <w:t xml:space="preserve">nterstitial </w:t>
      </w:r>
      <w:r w:rsidR="00252AEF">
        <w:rPr>
          <w:rFonts w:asciiTheme="majorBidi" w:hAnsiTheme="majorBidi" w:cstheme="majorBidi"/>
        </w:rPr>
        <w:t>n</w:t>
      </w:r>
      <w:r w:rsidRPr="006D7F24">
        <w:rPr>
          <w:rFonts w:asciiTheme="majorBidi" w:hAnsiTheme="majorBidi" w:cstheme="majorBidi"/>
        </w:rPr>
        <w:t xml:space="preserve">ephritis in </w:t>
      </w:r>
      <w:r w:rsidR="00252AEF">
        <w:rPr>
          <w:rFonts w:asciiTheme="majorBidi" w:hAnsiTheme="majorBidi" w:cstheme="majorBidi"/>
        </w:rPr>
        <w:t>a</w:t>
      </w:r>
      <w:r w:rsidRPr="006D7F24">
        <w:rPr>
          <w:rFonts w:asciiTheme="majorBidi" w:hAnsiTheme="majorBidi" w:cstheme="majorBidi"/>
        </w:rPr>
        <w:t xml:space="preserve">gricultural </w:t>
      </w:r>
      <w:r w:rsidR="00252AEF">
        <w:rPr>
          <w:rFonts w:asciiTheme="majorBidi" w:hAnsiTheme="majorBidi" w:cstheme="majorBidi"/>
        </w:rPr>
        <w:t>c</w:t>
      </w:r>
      <w:r w:rsidRPr="006D7F24">
        <w:rPr>
          <w:rFonts w:asciiTheme="majorBidi" w:hAnsiTheme="majorBidi" w:cstheme="majorBidi"/>
        </w:rPr>
        <w:t xml:space="preserve">ommunities. </w:t>
      </w:r>
      <w:r w:rsidR="00AA0719">
        <w:rPr>
          <w:rFonts w:asciiTheme="majorBidi" w:hAnsiTheme="majorBidi" w:cstheme="majorBidi"/>
          <w:i/>
          <w:iCs/>
        </w:rPr>
        <w:t>Adv</w:t>
      </w:r>
      <w:r w:rsidRPr="006D7F24">
        <w:rPr>
          <w:rFonts w:asciiTheme="majorBidi" w:hAnsiTheme="majorBidi" w:cstheme="majorBidi"/>
          <w:i/>
          <w:iCs/>
        </w:rPr>
        <w:t xml:space="preserve"> Chronic Kidney Dis</w:t>
      </w:r>
      <w:r w:rsidRPr="006D7F24">
        <w:rPr>
          <w:rFonts w:asciiTheme="majorBidi" w:hAnsiTheme="majorBidi" w:cstheme="majorBidi"/>
        </w:rPr>
        <w:t>. 2017;24(2):101</w:t>
      </w:r>
      <w:r w:rsidR="00277ACF">
        <w:rPr>
          <w:rFonts w:asciiTheme="majorBidi" w:hAnsiTheme="majorBidi" w:cstheme="majorBidi"/>
        </w:rPr>
        <w:t>–</w:t>
      </w:r>
      <w:r w:rsidRPr="006D7F24">
        <w:rPr>
          <w:rFonts w:asciiTheme="majorBidi" w:hAnsiTheme="majorBidi" w:cstheme="majorBidi"/>
        </w:rPr>
        <w:t>106.</w:t>
      </w:r>
    </w:p>
  </w:footnote>
  <w:footnote w:id="37">
    <w:p w14:paraId="07A4FB53" w14:textId="77777777" w:rsidR="001232D3" w:rsidRPr="006D7F24" w:rsidRDefault="001232D3" w:rsidP="00ED710D">
      <w:pPr>
        <w:pStyle w:val="FootnoteText"/>
        <w:rPr>
          <w:rFonts w:asciiTheme="majorBidi" w:hAnsiTheme="majorBidi" w:cstheme="majorBidi"/>
        </w:rPr>
      </w:pPr>
      <w:r w:rsidRPr="006D7F24">
        <w:rPr>
          <w:rStyle w:val="FootnoteReference"/>
          <w:rFonts w:asciiTheme="majorBidi" w:hAnsiTheme="majorBidi" w:cstheme="majorBidi"/>
        </w:rPr>
        <w:footnoteRef/>
      </w:r>
      <w:r w:rsidRPr="006D7F24">
        <w:rPr>
          <w:rFonts w:asciiTheme="majorBidi" w:hAnsiTheme="majorBidi" w:cstheme="majorBidi"/>
        </w:rPr>
        <w:t xml:space="preserve"> Ibid.</w:t>
      </w:r>
    </w:p>
  </w:footnote>
  <w:footnote w:id="38">
    <w:p w14:paraId="5F4A5147" w14:textId="77777777" w:rsidR="001232D3" w:rsidRPr="006D7F24" w:rsidRDefault="001232D3" w:rsidP="00ED710D">
      <w:pPr>
        <w:pStyle w:val="FootnoteText"/>
        <w:rPr>
          <w:rFonts w:asciiTheme="majorBidi" w:hAnsiTheme="majorBidi" w:cstheme="majorBidi"/>
          <w:i/>
          <w:iCs/>
        </w:rPr>
      </w:pPr>
      <w:r w:rsidRPr="006D7F24">
        <w:rPr>
          <w:rStyle w:val="FootnoteReference"/>
          <w:rFonts w:asciiTheme="majorBidi" w:hAnsiTheme="majorBidi" w:cstheme="majorBidi"/>
        </w:rPr>
        <w:footnoteRef/>
      </w:r>
      <w:r w:rsidRPr="006D7F24">
        <w:rPr>
          <w:rFonts w:asciiTheme="majorBidi" w:hAnsiTheme="majorBidi" w:cstheme="majorBidi"/>
        </w:rPr>
        <w:t xml:space="preserve"> </w:t>
      </w:r>
      <w:r w:rsidRPr="006D7F24">
        <w:rPr>
          <w:rFonts w:asciiTheme="majorBidi" w:hAnsiTheme="majorBidi" w:cstheme="majorBidi"/>
          <w:iCs/>
        </w:rPr>
        <w:t>Ibid</w:t>
      </w:r>
      <w:r w:rsidRPr="006D7F24">
        <w:rPr>
          <w:rFonts w:asciiTheme="majorBidi" w:hAnsiTheme="majorBidi" w:cstheme="majorBidi"/>
          <w:i/>
          <w:iCs/>
        </w:rPr>
        <w:t>.</w:t>
      </w:r>
    </w:p>
  </w:footnote>
  <w:footnote w:id="39">
    <w:p w14:paraId="411CFE7D" w14:textId="329DB724" w:rsidR="001232D3" w:rsidRPr="006D7F24" w:rsidRDefault="001232D3" w:rsidP="00ED710D">
      <w:pPr>
        <w:pStyle w:val="FootnoteText"/>
        <w:rPr>
          <w:rFonts w:asciiTheme="majorBidi" w:hAnsiTheme="majorBidi" w:cstheme="majorBidi"/>
        </w:rPr>
      </w:pPr>
      <w:r w:rsidRPr="006D7F24">
        <w:rPr>
          <w:rStyle w:val="FootnoteReference"/>
          <w:rFonts w:asciiTheme="majorBidi" w:hAnsiTheme="majorBidi" w:cstheme="majorBidi"/>
        </w:rPr>
        <w:footnoteRef/>
      </w:r>
      <w:r w:rsidRPr="006D7F24">
        <w:rPr>
          <w:rFonts w:asciiTheme="majorBidi" w:hAnsiTheme="majorBidi" w:cstheme="majorBidi"/>
        </w:rPr>
        <w:t xml:space="preserve"> </w:t>
      </w:r>
      <w:r w:rsidRPr="006D7F24">
        <w:rPr>
          <w:rFonts w:asciiTheme="majorBidi" w:hAnsiTheme="majorBidi" w:cstheme="majorBidi"/>
          <w:iCs/>
        </w:rPr>
        <w:t>Ibid</w:t>
      </w:r>
      <w:r w:rsidRPr="006D7F24">
        <w:rPr>
          <w:rFonts w:asciiTheme="majorBidi" w:hAnsiTheme="majorBidi" w:cstheme="majorBidi"/>
          <w:i/>
          <w:iCs/>
        </w:rPr>
        <w:t>.</w:t>
      </w:r>
    </w:p>
  </w:footnote>
  <w:footnote w:id="40">
    <w:p w14:paraId="105BD841" w14:textId="739DCB9C" w:rsidR="001232D3" w:rsidRPr="006D7F24" w:rsidRDefault="001232D3" w:rsidP="00ED710D">
      <w:pPr>
        <w:pStyle w:val="FootnoteText"/>
        <w:rPr>
          <w:rFonts w:asciiTheme="majorBidi" w:hAnsiTheme="majorBidi" w:cstheme="majorBidi"/>
        </w:rPr>
      </w:pPr>
      <w:r w:rsidRPr="006D7F24">
        <w:rPr>
          <w:rStyle w:val="FootnoteReference"/>
          <w:rFonts w:asciiTheme="majorBidi" w:hAnsiTheme="majorBidi" w:cstheme="majorBidi"/>
        </w:rPr>
        <w:footnoteRef/>
      </w:r>
      <w:r w:rsidRPr="006D7F24">
        <w:rPr>
          <w:rFonts w:asciiTheme="majorBidi" w:hAnsiTheme="majorBidi" w:cstheme="majorBidi"/>
        </w:rPr>
        <w:t xml:space="preserve"> Nerbass FB, Pecoits-Filho R, Clark WF, et al. Occupational </w:t>
      </w:r>
      <w:r w:rsidR="00211290">
        <w:rPr>
          <w:rFonts w:asciiTheme="majorBidi" w:hAnsiTheme="majorBidi" w:cstheme="majorBidi"/>
        </w:rPr>
        <w:t>h</w:t>
      </w:r>
      <w:r w:rsidRPr="006D7F24">
        <w:rPr>
          <w:rFonts w:asciiTheme="majorBidi" w:hAnsiTheme="majorBidi" w:cstheme="majorBidi"/>
        </w:rPr>
        <w:t xml:space="preserve">eat </w:t>
      </w:r>
      <w:r w:rsidR="00211290">
        <w:rPr>
          <w:rFonts w:asciiTheme="majorBidi" w:hAnsiTheme="majorBidi" w:cstheme="majorBidi"/>
        </w:rPr>
        <w:t>s</w:t>
      </w:r>
      <w:r w:rsidRPr="006D7F24">
        <w:rPr>
          <w:rFonts w:asciiTheme="majorBidi" w:hAnsiTheme="majorBidi" w:cstheme="majorBidi"/>
        </w:rPr>
        <w:t xml:space="preserve">tress and </w:t>
      </w:r>
      <w:r w:rsidR="00211290">
        <w:rPr>
          <w:rFonts w:asciiTheme="majorBidi" w:hAnsiTheme="majorBidi" w:cstheme="majorBidi"/>
        </w:rPr>
        <w:t>k</w:t>
      </w:r>
      <w:r w:rsidRPr="006D7F24">
        <w:rPr>
          <w:rFonts w:asciiTheme="majorBidi" w:hAnsiTheme="majorBidi" w:cstheme="majorBidi"/>
        </w:rPr>
        <w:t xml:space="preserve">idney </w:t>
      </w:r>
      <w:r w:rsidR="00211290">
        <w:rPr>
          <w:rFonts w:asciiTheme="majorBidi" w:hAnsiTheme="majorBidi" w:cstheme="majorBidi"/>
        </w:rPr>
        <w:t>h</w:t>
      </w:r>
      <w:r w:rsidRPr="006D7F24">
        <w:rPr>
          <w:rFonts w:asciiTheme="majorBidi" w:hAnsiTheme="majorBidi" w:cstheme="majorBidi"/>
        </w:rPr>
        <w:t xml:space="preserve">ealth: From </w:t>
      </w:r>
      <w:r w:rsidR="00211290">
        <w:rPr>
          <w:rFonts w:asciiTheme="majorBidi" w:hAnsiTheme="majorBidi" w:cstheme="majorBidi"/>
        </w:rPr>
        <w:t>f</w:t>
      </w:r>
      <w:r w:rsidRPr="006D7F24">
        <w:rPr>
          <w:rFonts w:asciiTheme="majorBidi" w:hAnsiTheme="majorBidi" w:cstheme="majorBidi"/>
        </w:rPr>
        <w:t xml:space="preserve">arms to </w:t>
      </w:r>
      <w:r w:rsidR="00211290">
        <w:rPr>
          <w:rFonts w:asciiTheme="majorBidi" w:hAnsiTheme="majorBidi" w:cstheme="majorBidi"/>
        </w:rPr>
        <w:t>f</w:t>
      </w:r>
      <w:r w:rsidRPr="006D7F24">
        <w:rPr>
          <w:rFonts w:asciiTheme="majorBidi" w:hAnsiTheme="majorBidi" w:cstheme="majorBidi"/>
        </w:rPr>
        <w:t xml:space="preserve">actories. </w:t>
      </w:r>
      <w:r w:rsidRPr="006D7F24">
        <w:rPr>
          <w:rFonts w:asciiTheme="majorBidi" w:hAnsiTheme="majorBidi" w:cstheme="majorBidi"/>
          <w:i/>
          <w:iCs/>
        </w:rPr>
        <w:t>Kidney Int Rep</w:t>
      </w:r>
      <w:r w:rsidRPr="006D7F24">
        <w:rPr>
          <w:rFonts w:asciiTheme="majorBidi" w:hAnsiTheme="majorBidi" w:cstheme="majorBidi"/>
        </w:rPr>
        <w:t>. 2017 31;2(6):998</w:t>
      </w:r>
      <w:r w:rsidR="00277ACF">
        <w:rPr>
          <w:rFonts w:asciiTheme="majorBidi" w:hAnsiTheme="majorBidi" w:cstheme="majorBidi"/>
        </w:rPr>
        <w:t>–</w:t>
      </w:r>
      <w:r w:rsidRPr="006D7F24">
        <w:rPr>
          <w:rFonts w:asciiTheme="majorBidi" w:hAnsiTheme="majorBidi" w:cstheme="majorBidi"/>
        </w:rPr>
        <w:t>1008.</w:t>
      </w:r>
    </w:p>
  </w:footnote>
  <w:footnote w:id="41">
    <w:p w14:paraId="2E83FD19" w14:textId="52102278" w:rsidR="001232D3" w:rsidRPr="006D7F24" w:rsidRDefault="001232D3" w:rsidP="00ED710D">
      <w:pPr>
        <w:pStyle w:val="FootnoteText"/>
        <w:contextualSpacing/>
        <w:rPr>
          <w:rFonts w:asciiTheme="majorBidi" w:hAnsiTheme="majorBidi" w:cstheme="majorBidi"/>
        </w:rPr>
      </w:pPr>
      <w:r w:rsidRPr="006D7F24">
        <w:rPr>
          <w:rStyle w:val="FootnoteReference"/>
          <w:rFonts w:asciiTheme="majorBidi" w:hAnsiTheme="majorBidi" w:cstheme="majorBidi"/>
        </w:rPr>
        <w:footnoteRef/>
      </w:r>
      <w:r w:rsidRPr="006D7F24">
        <w:rPr>
          <w:rFonts w:asciiTheme="majorBidi" w:hAnsiTheme="majorBidi" w:cstheme="majorBidi"/>
        </w:rPr>
        <w:t xml:space="preserve"> Bureau of </w:t>
      </w:r>
      <w:r w:rsidR="003C39A4">
        <w:rPr>
          <w:rFonts w:asciiTheme="majorBidi" w:hAnsiTheme="majorBidi" w:cstheme="majorBidi"/>
        </w:rPr>
        <w:t>Labor Statistics. Occupational i</w:t>
      </w:r>
      <w:r w:rsidRPr="006D7F24">
        <w:rPr>
          <w:rFonts w:asciiTheme="majorBidi" w:hAnsiTheme="majorBidi" w:cstheme="majorBidi"/>
        </w:rPr>
        <w:t>njuries/</w:t>
      </w:r>
      <w:r w:rsidR="003C39A4">
        <w:rPr>
          <w:rFonts w:asciiTheme="majorBidi" w:hAnsiTheme="majorBidi" w:cstheme="majorBidi"/>
        </w:rPr>
        <w:t>i</w:t>
      </w:r>
      <w:r w:rsidRPr="006D7F24">
        <w:rPr>
          <w:rFonts w:asciiTheme="majorBidi" w:hAnsiTheme="majorBidi" w:cstheme="majorBidi"/>
        </w:rPr>
        <w:t xml:space="preserve">llnesses and </w:t>
      </w:r>
      <w:r w:rsidR="003C39A4">
        <w:rPr>
          <w:rFonts w:asciiTheme="majorBidi" w:hAnsiTheme="majorBidi" w:cstheme="majorBidi"/>
        </w:rPr>
        <w:t>f</w:t>
      </w:r>
      <w:r w:rsidRPr="006D7F24">
        <w:rPr>
          <w:rFonts w:asciiTheme="majorBidi" w:hAnsiTheme="majorBidi" w:cstheme="majorBidi"/>
        </w:rPr>
        <w:t xml:space="preserve">atal </w:t>
      </w:r>
      <w:r w:rsidR="003C39A4">
        <w:rPr>
          <w:rFonts w:asciiTheme="majorBidi" w:hAnsiTheme="majorBidi" w:cstheme="majorBidi"/>
        </w:rPr>
        <w:t>i</w:t>
      </w:r>
      <w:r w:rsidRPr="006D7F24">
        <w:rPr>
          <w:rFonts w:asciiTheme="majorBidi" w:hAnsiTheme="majorBidi" w:cstheme="majorBidi"/>
        </w:rPr>
        <w:t xml:space="preserve">njuries </w:t>
      </w:r>
      <w:r w:rsidR="002A0A18">
        <w:rPr>
          <w:rFonts w:asciiTheme="majorBidi" w:hAnsiTheme="majorBidi" w:cstheme="majorBidi"/>
        </w:rPr>
        <w:t>p</w:t>
      </w:r>
      <w:r w:rsidRPr="006D7F24">
        <w:rPr>
          <w:rFonts w:asciiTheme="majorBidi" w:hAnsiTheme="majorBidi" w:cstheme="majorBidi"/>
        </w:rPr>
        <w:t xml:space="preserve">rofiles. </w:t>
      </w:r>
      <w:hyperlink r:id="rId15" w:history="1">
        <w:r w:rsidRPr="006D7F24">
          <w:rPr>
            <w:rStyle w:val="Hyperlink"/>
            <w:rFonts w:asciiTheme="majorBidi" w:hAnsiTheme="majorBidi" w:cstheme="majorBidi"/>
          </w:rPr>
          <w:t>https://data.bls.gov/gqt/InitialPage</w:t>
        </w:r>
      </w:hyperlink>
      <w:r w:rsidRPr="006D7F24">
        <w:rPr>
          <w:rFonts w:asciiTheme="majorBidi" w:hAnsiTheme="majorBidi" w:cstheme="majorBidi"/>
        </w:rPr>
        <w:t xml:space="preserve">. Accessed March 6, 2018. Serious injuries are defined as those resulting in at least one day away from work. </w:t>
      </w:r>
    </w:p>
  </w:footnote>
  <w:footnote w:id="42">
    <w:p w14:paraId="2116354E" w14:textId="6B487FFD" w:rsidR="001232D3" w:rsidRPr="00C359E0" w:rsidRDefault="001232D3">
      <w:pPr>
        <w:pStyle w:val="FootnoteText"/>
        <w:rPr>
          <w:rFonts w:asciiTheme="majorBidi" w:hAnsiTheme="majorBidi" w:cstheme="majorBidi"/>
          <w:szCs w:val="24"/>
        </w:rPr>
      </w:pPr>
      <w:r w:rsidRPr="00C359E0">
        <w:rPr>
          <w:rStyle w:val="FootnoteReference"/>
        </w:rPr>
        <w:footnoteRef/>
      </w:r>
      <w:r w:rsidRPr="00C359E0">
        <w:t xml:space="preserve"> </w:t>
      </w:r>
      <w:r w:rsidRPr="00C359E0">
        <w:rPr>
          <w:rFonts w:asciiTheme="majorBidi" w:hAnsiTheme="majorBidi" w:cstheme="majorBidi"/>
          <w:szCs w:val="24"/>
        </w:rPr>
        <w:t xml:space="preserve">BLS counts occupational fatalities by using a number of sources, such as death certificates, workers’ compensation reports, and media accounts. </w:t>
      </w:r>
      <w:r w:rsidR="00F1252E" w:rsidRPr="00C359E0">
        <w:rPr>
          <w:rFonts w:asciiTheme="majorBidi" w:hAnsiTheme="majorBidi" w:cstheme="majorBidi"/>
          <w:szCs w:val="24"/>
        </w:rPr>
        <w:t>BLS. Census of f</w:t>
      </w:r>
      <w:r w:rsidRPr="00C359E0">
        <w:rPr>
          <w:rFonts w:asciiTheme="majorBidi" w:hAnsiTheme="majorBidi" w:cstheme="majorBidi"/>
          <w:szCs w:val="24"/>
        </w:rPr>
        <w:t xml:space="preserve">atal </w:t>
      </w:r>
      <w:r w:rsidR="00F1252E" w:rsidRPr="00C359E0">
        <w:rPr>
          <w:rFonts w:asciiTheme="majorBidi" w:hAnsiTheme="majorBidi" w:cstheme="majorBidi"/>
          <w:szCs w:val="24"/>
        </w:rPr>
        <w:t>o</w:t>
      </w:r>
      <w:r w:rsidRPr="00C359E0">
        <w:rPr>
          <w:rFonts w:asciiTheme="majorBidi" w:hAnsiTheme="majorBidi" w:cstheme="majorBidi"/>
          <w:szCs w:val="24"/>
        </w:rPr>
        <w:t xml:space="preserve">ccupational </w:t>
      </w:r>
      <w:r w:rsidR="00F1252E" w:rsidRPr="00C359E0">
        <w:rPr>
          <w:rFonts w:asciiTheme="majorBidi" w:hAnsiTheme="majorBidi" w:cstheme="majorBidi"/>
          <w:szCs w:val="24"/>
        </w:rPr>
        <w:t>i</w:t>
      </w:r>
      <w:r w:rsidRPr="00C359E0">
        <w:rPr>
          <w:rFonts w:asciiTheme="majorBidi" w:hAnsiTheme="majorBidi" w:cstheme="majorBidi"/>
          <w:szCs w:val="24"/>
        </w:rPr>
        <w:t>njuries. Table 1. Nov</w:t>
      </w:r>
      <w:r w:rsidR="00F1252E" w:rsidRPr="00C359E0">
        <w:rPr>
          <w:rFonts w:asciiTheme="majorBidi" w:hAnsiTheme="majorBidi" w:cstheme="majorBidi"/>
          <w:szCs w:val="24"/>
        </w:rPr>
        <w:t xml:space="preserve"> </w:t>
      </w:r>
      <w:r w:rsidRPr="00C359E0">
        <w:rPr>
          <w:rFonts w:asciiTheme="majorBidi" w:hAnsiTheme="majorBidi" w:cstheme="majorBidi"/>
          <w:szCs w:val="24"/>
        </w:rPr>
        <w:t xml:space="preserve">3, 2017. </w:t>
      </w:r>
      <w:hyperlink r:id="rId16" w:history="1">
        <w:r w:rsidRPr="00C359E0">
          <w:rPr>
            <w:rStyle w:val="Hyperlink"/>
            <w:rFonts w:asciiTheme="majorBidi" w:hAnsiTheme="majorBidi" w:cstheme="majorBidi"/>
            <w:szCs w:val="24"/>
          </w:rPr>
          <w:t>https://www.bls.gov/opub/hom/cfoi/pdf/cfoi.pdf</w:t>
        </w:r>
      </w:hyperlink>
      <w:r w:rsidRPr="00C359E0">
        <w:rPr>
          <w:rFonts w:asciiTheme="majorBidi" w:hAnsiTheme="majorBidi" w:cstheme="majorBidi"/>
          <w:szCs w:val="24"/>
        </w:rPr>
        <w:t>.</w:t>
      </w:r>
    </w:p>
  </w:footnote>
  <w:footnote w:id="43">
    <w:p w14:paraId="7E6AB063" w14:textId="08F03D6E" w:rsidR="001232D3" w:rsidRDefault="001232D3">
      <w:pPr>
        <w:pStyle w:val="FootnoteText"/>
      </w:pPr>
      <w:r w:rsidRPr="00C359E0">
        <w:rPr>
          <w:rStyle w:val="FootnoteReference"/>
        </w:rPr>
        <w:footnoteRef/>
      </w:r>
      <w:r w:rsidRPr="00C359E0">
        <w:t xml:space="preserve"> BLS collects injury data from logs that employers are required to keep under the OSH Act. </w:t>
      </w:r>
      <w:r w:rsidR="00954DDF" w:rsidRPr="00C359E0">
        <w:t xml:space="preserve">BLS. Injuries, Illnesses, Fatalities, Frequently Asked Questions. </w:t>
      </w:r>
      <w:hyperlink r:id="rId17" w:history="1">
        <w:r w:rsidR="00954DDF" w:rsidRPr="00C359E0">
          <w:rPr>
            <w:rStyle w:val="Hyperlink"/>
          </w:rPr>
          <w:t>https://www.bls.gov/iif/oshfaq1.htm</w:t>
        </w:r>
      </w:hyperlink>
      <w:r w:rsidR="00954DDF" w:rsidRPr="00C359E0">
        <w:t>. Accessed July 9, 2018.</w:t>
      </w:r>
    </w:p>
  </w:footnote>
  <w:footnote w:id="44">
    <w:p w14:paraId="18916680" w14:textId="5C331E22" w:rsidR="001232D3" w:rsidRPr="006D7F24" w:rsidRDefault="001232D3" w:rsidP="00ED710D">
      <w:pPr>
        <w:pStyle w:val="FootnoteText"/>
        <w:contextualSpacing/>
        <w:rPr>
          <w:rFonts w:asciiTheme="majorBidi" w:hAnsiTheme="majorBidi" w:cstheme="majorBidi"/>
        </w:rPr>
      </w:pPr>
      <w:r w:rsidRPr="006D7F24">
        <w:rPr>
          <w:rStyle w:val="FootnoteReference"/>
          <w:rFonts w:asciiTheme="majorBidi" w:hAnsiTheme="majorBidi" w:cstheme="majorBidi"/>
        </w:rPr>
        <w:footnoteRef/>
      </w:r>
      <w:r w:rsidRPr="006D7F24">
        <w:rPr>
          <w:rFonts w:asciiTheme="majorBidi" w:hAnsiTheme="majorBidi" w:cstheme="majorBidi"/>
        </w:rPr>
        <w:t xml:space="preserve"> Bureau </w:t>
      </w:r>
      <w:r w:rsidR="000E762C">
        <w:rPr>
          <w:rFonts w:asciiTheme="majorBidi" w:hAnsiTheme="majorBidi" w:cstheme="majorBidi"/>
        </w:rPr>
        <w:t>of Labor Statistics. Injuries, i</w:t>
      </w:r>
      <w:r w:rsidRPr="006D7F24">
        <w:rPr>
          <w:rFonts w:asciiTheme="majorBidi" w:hAnsiTheme="majorBidi" w:cstheme="majorBidi"/>
        </w:rPr>
        <w:t xml:space="preserve">llnesses, and </w:t>
      </w:r>
      <w:r w:rsidR="000E762C">
        <w:rPr>
          <w:rFonts w:asciiTheme="majorBidi" w:hAnsiTheme="majorBidi" w:cstheme="majorBidi"/>
        </w:rPr>
        <w:t>f</w:t>
      </w:r>
      <w:r w:rsidRPr="006D7F24">
        <w:rPr>
          <w:rFonts w:asciiTheme="majorBidi" w:hAnsiTheme="majorBidi" w:cstheme="majorBidi"/>
        </w:rPr>
        <w:t xml:space="preserve">atalities. Frequently </w:t>
      </w:r>
      <w:r w:rsidR="000E762C">
        <w:rPr>
          <w:rFonts w:asciiTheme="majorBidi" w:hAnsiTheme="majorBidi" w:cstheme="majorBidi"/>
        </w:rPr>
        <w:t>a</w:t>
      </w:r>
      <w:r w:rsidRPr="006D7F24">
        <w:rPr>
          <w:rFonts w:asciiTheme="majorBidi" w:hAnsiTheme="majorBidi" w:cstheme="majorBidi"/>
        </w:rPr>
        <w:t xml:space="preserve">sked </w:t>
      </w:r>
      <w:r w:rsidR="000E762C">
        <w:rPr>
          <w:rFonts w:asciiTheme="majorBidi" w:hAnsiTheme="majorBidi" w:cstheme="majorBidi"/>
        </w:rPr>
        <w:t>q</w:t>
      </w:r>
      <w:r w:rsidRPr="006D7F24">
        <w:rPr>
          <w:rFonts w:asciiTheme="majorBidi" w:hAnsiTheme="majorBidi" w:cstheme="majorBidi"/>
        </w:rPr>
        <w:t xml:space="preserve">uestions. </w:t>
      </w:r>
      <w:hyperlink r:id="rId18" w:history="1">
        <w:r w:rsidRPr="006D7F24">
          <w:rPr>
            <w:rStyle w:val="Hyperlink"/>
            <w:rFonts w:asciiTheme="majorBidi" w:hAnsiTheme="majorBidi" w:cstheme="majorBidi"/>
          </w:rPr>
          <w:t>http://www.bls.gov/iif/oshfaq1.htm</w:t>
        </w:r>
      </w:hyperlink>
      <w:r w:rsidRPr="006D7F24">
        <w:rPr>
          <w:rFonts w:asciiTheme="majorBidi" w:hAnsiTheme="majorBidi" w:cstheme="majorBidi"/>
        </w:rPr>
        <w:t>. Accessed March 1</w:t>
      </w:r>
      <w:r w:rsidR="009124DF">
        <w:rPr>
          <w:rFonts w:asciiTheme="majorBidi" w:hAnsiTheme="majorBidi" w:cstheme="majorBidi"/>
        </w:rPr>
        <w:t>4</w:t>
      </w:r>
      <w:r w:rsidRPr="006D7F24">
        <w:rPr>
          <w:rFonts w:asciiTheme="majorBidi" w:hAnsiTheme="majorBidi" w:cstheme="majorBidi"/>
        </w:rPr>
        <w:t>, 2018.</w:t>
      </w:r>
    </w:p>
  </w:footnote>
  <w:footnote w:id="45">
    <w:p w14:paraId="1D15FBBE" w14:textId="33D84869" w:rsidR="001232D3" w:rsidRPr="006D7F24" w:rsidRDefault="001232D3" w:rsidP="00ED710D">
      <w:pPr>
        <w:pStyle w:val="FootnoteText"/>
        <w:contextualSpacing/>
        <w:rPr>
          <w:rFonts w:asciiTheme="majorBidi" w:hAnsiTheme="majorBidi" w:cstheme="majorBidi"/>
        </w:rPr>
      </w:pPr>
      <w:r w:rsidRPr="006D7F24">
        <w:rPr>
          <w:rStyle w:val="FootnoteReference"/>
          <w:rFonts w:asciiTheme="majorBidi" w:hAnsiTheme="majorBidi" w:cstheme="majorBidi"/>
        </w:rPr>
        <w:footnoteRef/>
      </w:r>
      <w:r w:rsidRPr="006D7F24">
        <w:rPr>
          <w:rFonts w:asciiTheme="majorBidi" w:hAnsiTheme="majorBidi" w:cstheme="majorBidi"/>
        </w:rPr>
        <w:t xml:space="preserve"> 29 CFR 1904.7.</w:t>
      </w:r>
    </w:p>
  </w:footnote>
  <w:footnote w:id="46">
    <w:p w14:paraId="6F67672F" w14:textId="21DD563D" w:rsidR="001232D3" w:rsidRPr="006D7F24" w:rsidRDefault="001232D3" w:rsidP="00ED710D">
      <w:pPr>
        <w:pStyle w:val="FootnoteText"/>
        <w:contextualSpacing/>
        <w:rPr>
          <w:rFonts w:asciiTheme="majorBidi" w:hAnsiTheme="majorBidi" w:cstheme="majorBidi"/>
        </w:rPr>
      </w:pPr>
      <w:r w:rsidRPr="006D7F24">
        <w:rPr>
          <w:rStyle w:val="FootnoteReference"/>
          <w:rFonts w:asciiTheme="majorBidi" w:hAnsiTheme="majorBidi" w:cstheme="majorBidi"/>
        </w:rPr>
        <w:footnoteRef/>
      </w:r>
      <w:r w:rsidRPr="006D7F24">
        <w:rPr>
          <w:rFonts w:asciiTheme="majorBidi" w:hAnsiTheme="majorBidi" w:cstheme="majorBidi"/>
        </w:rPr>
        <w:t xml:space="preserve"> </w:t>
      </w:r>
      <w:r w:rsidR="009124DF" w:rsidRPr="006D7F24">
        <w:rPr>
          <w:rFonts w:asciiTheme="majorBidi" w:hAnsiTheme="majorBidi" w:cstheme="majorBidi"/>
        </w:rPr>
        <w:t xml:space="preserve">Bureau </w:t>
      </w:r>
      <w:r w:rsidR="009124DF">
        <w:rPr>
          <w:rFonts w:asciiTheme="majorBidi" w:hAnsiTheme="majorBidi" w:cstheme="majorBidi"/>
        </w:rPr>
        <w:t>of Labor Statistics. Injuries, i</w:t>
      </w:r>
      <w:r w:rsidR="009124DF" w:rsidRPr="006D7F24">
        <w:rPr>
          <w:rFonts w:asciiTheme="majorBidi" w:hAnsiTheme="majorBidi" w:cstheme="majorBidi"/>
        </w:rPr>
        <w:t xml:space="preserve">llnesses, and </w:t>
      </w:r>
      <w:r w:rsidR="009124DF">
        <w:rPr>
          <w:rFonts w:asciiTheme="majorBidi" w:hAnsiTheme="majorBidi" w:cstheme="majorBidi"/>
        </w:rPr>
        <w:t>f</w:t>
      </w:r>
      <w:r w:rsidR="009124DF" w:rsidRPr="006D7F24">
        <w:rPr>
          <w:rFonts w:asciiTheme="majorBidi" w:hAnsiTheme="majorBidi" w:cstheme="majorBidi"/>
        </w:rPr>
        <w:t xml:space="preserve">atalities. Frequently </w:t>
      </w:r>
      <w:r w:rsidR="009124DF">
        <w:rPr>
          <w:rFonts w:asciiTheme="majorBidi" w:hAnsiTheme="majorBidi" w:cstheme="majorBidi"/>
        </w:rPr>
        <w:t>a</w:t>
      </w:r>
      <w:r w:rsidR="009124DF" w:rsidRPr="006D7F24">
        <w:rPr>
          <w:rFonts w:asciiTheme="majorBidi" w:hAnsiTheme="majorBidi" w:cstheme="majorBidi"/>
        </w:rPr>
        <w:t xml:space="preserve">sked </w:t>
      </w:r>
      <w:r w:rsidR="009124DF">
        <w:rPr>
          <w:rFonts w:asciiTheme="majorBidi" w:hAnsiTheme="majorBidi" w:cstheme="majorBidi"/>
        </w:rPr>
        <w:t>q</w:t>
      </w:r>
      <w:r w:rsidR="009124DF" w:rsidRPr="006D7F24">
        <w:rPr>
          <w:rFonts w:asciiTheme="majorBidi" w:hAnsiTheme="majorBidi" w:cstheme="majorBidi"/>
        </w:rPr>
        <w:t xml:space="preserve">uestions. </w:t>
      </w:r>
      <w:hyperlink r:id="rId19" w:history="1">
        <w:r w:rsidR="009124DF" w:rsidRPr="006D7F24">
          <w:rPr>
            <w:rStyle w:val="Hyperlink"/>
            <w:rFonts w:asciiTheme="majorBidi" w:hAnsiTheme="majorBidi" w:cstheme="majorBidi"/>
          </w:rPr>
          <w:t>http://www.bls.gov/iif/oshfaq1.htm</w:t>
        </w:r>
      </w:hyperlink>
      <w:r w:rsidRPr="006D7F24">
        <w:rPr>
          <w:rFonts w:asciiTheme="majorBidi" w:hAnsiTheme="majorBidi" w:cstheme="majorBidi"/>
        </w:rPr>
        <w:t>. Accessed March 14, 2018.</w:t>
      </w:r>
    </w:p>
  </w:footnote>
  <w:footnote w:id="47">
    <w:p w14:paraId="2D12AF7A" w14:textId="0371487B" w:rsidR="001232D3" w:rsidRDefault="001232D3">
      <w:pPr>
        <w:pStyle w:val="FootnoteText"/>
      </w:pPr>
      <w:r w:rsidRPr="00C359E0">
        <w:rPr>
          <w:rStyle w:val="FootnoteReference"/>
        </w:rPr>
        <w:footnoteRef/>
      </w:r>
      <w:r w:rsidRPr="00C359E0">
        <w:t xml:space="preserve"> </w:t>
      </w:r>
      <w:r w:rsidR="00A35CE1" w:rsidRPr="00C359E0">
        <w:t>Gubernot et al 2015, American Journal of Industrial Medicine 58: 203-2011</w:t>
      </w:r>
    </w:p>
  </w:footnote>
  <w:footnote w:id="48">
    <w:p w14:paraId="6CEE7AFF" w14:textId="4A697837" w:rsidR="001232D3" w:rsidRPr="006D7F24" w:rsidRDefault="001232D3" w:rsidP="00ED710D">
      <w:pPr>
        <w:pStyle w:val="FootnoteText"/>
        <w:contextualSpacing/>
        <w:rPr>
          <w:rFonts w:asciiTheme="majorBidi" w:hAnsiTheme="majorBidi" w:cstheme="majorBidi"/>
        </w:rPr>
      </w:pPr>
      <w:r w:rsidRPr="006D7F24">
        <w:rPr>
          <w:rStyle w:val="FootnoteReference"/>
          <w:rFonts w:asciiTheme="majorBidi" w:hAnsiTheme="majorBidi" w:cstheme="majorBidi"/>
        </w:rPr>
        <w:footnoteRef/>
      </w:r>
      <w:r w:rsidRPr="006D7F24">
        <w:rPr>
          <w:rFonts w:asciiTheme="majorBidi" w:hAnsiTheme="majorBidi" w:cstheme="majorBidi"/>
        </w:rPr>
        <w:t xml:space="preserve"> 29 CFR 1904.7. </w:t>
      </w:r>
      <w:hyperlink r:id="rId20" w:history="1">
        <w:r w:rsidRPr="006D7F24">
          <w:rPr>
            <w:rStyle w:val="Hyperlink"/>
            <w:rFonts w:asciiTheme="majorBidi" w:hAnsiTheme="majorBidi" w:cstheme="majorBidi"/>
          </w:rPr>
          <w:t>http://www.osha.gov/pls/oshaweb/owadisp.show_document?p_table=STANDARDS&amp;p_id=9638</w:t>
        </w:r>
      </w:hyperlink>
      <w:r w:rsidRPr="006D7F24">
        <w:rPr>
          <w:rFonts w:asciiTheme="majorBidi" w:hAnsiTheme="majorBidi" w:cstheme="majorBidi"/>
        </w:rPr>
        <w:t>.</w:t>
      </w:r>
    </w:p>
  </w:footnote>
  <w:footnote w:id="49">
    <w:p w14:paraId="13F16B78" w14:textId="7F7EC6C8" w:rsidR="001232D3" w:rsidRPr="006D7F24" w:rsidRDefault="001232D3" w:rsidP="00ED710D">
      <w:pPr>
        <w:pStyle w:val="FootnoteText"/>
        <w:contextualSpacing/>
        <w:rPr>
          <w:rFonts w:asciiTheme="majorBidi" w:hAnsiTheme="majorBidi" w:cstheme="majorBidi"/>
        </w:rPr>
      </w:pPr>
      <w:r w:rsidRPr="006D7F24">
        <w:rPr>
          <w:rStyle w:val="FootnoteReference"/>
          <w:rFonts w:asciiTheme="majorBidi" w:hAnsiTheme="majorBidi" w:cstheme="majorBidi"/>
        </w:rPr>
        <w:footnoteRef/>
      </w:r>
      <w:r w:rsidRPr="006D7F24">
        <w:rPr>
          <w:rFonts w:asciiTheme="majorBidi" w:hAnsiTheme="majorBidi" w:cstheme="majorBidi"/>
        </w:rPr>
        <w:t xml:space="preserve"> Government Ac</w:t>
      </w:r>
      <w:r w:rsidR="00A60A02">
        <w:rPr>
          <w:rFonts w:asciiTheme="majorBidi" w:hAnsiTheme="majorBidi" w:cstheme="majorBidi"/>
        </w:rPr>
        <w:t>countability Office. Workplace s</w:t>
      </w:r>
      <w:r w:rsidRPr="006D7F24">
        <w:rPr>
          <w:rFonts w:asciiTheme="majorBidi" w:hAnsiTheme="majorBidi" w:cstheme="majorBidi"/>
        </w:rPr>
        <w:t xml:space="preserve">afety and </w:t>
      </w:r>
      <w:r w:rsidR="00A60A02">
        <w:rPr>
          <w:rFonts w:asciiTheme="majorBidi" w:hAnsiTheme="majorBidi" w:cstheme="majorBidi"/>
        </w:rPr>
        <w:t>h</w:t>
      </w:r>
      <w:r w:rsidRPr="006D7F24">
        <w:rPr>
          <w:rFonts w:asciiTheme="majorBidi" w:hAnsiTheme="majorBidi" w:cstheme="majorBidi"/>
        </w:rPr>
        <w:t>ealth: Enhancing OSHA</w:t>
      </w:r>
      <w:r>
        <w:rPr>
          <w:rFonts w:asciiTheme="majorBidi" w:hAnsiTheme="majorBidi" w:cstheme="majorBidi"/>
        </w:rPr>
        <w:t>’</w:t>
      </w:r>
      <w:r w:rsidRPr="006D7F24">
        <w:rPr>
          <w:rFonts w:asciiTheme="majorBidi" w:hAnsiTheme="majorBidi" w:cstheme="majorBidi"/>
        </w:rPr>
        <w:t xml:space="preserve">s </w:t>
      </w:r>
      <w:r w:rsidR="00A60A02">
        <w:rPr>
          <w:rFonts w:asciiTheme="majorBidi" w:hAnsiTheme="majorBidi" w:cstheme="majorBidi"/>
        </w:rPr>
        <w:t>r</w:t>
      </w:r>
      <w:r w:rsidRPr="006D7F24">
        <w:rPr>
          <w:rFonts w:asciiTheme="majorBidi" w:hAnsiTheme="majorBidi" w:cstheme="majorBidi"/>
        </w:rPr>
        <w:t xml:space="preserve">ecords </w:t>
      </w:r>
      <w:r w:rsidR="00A60A02">
        <w:rPr>
          <w:rFonts w:asciiTheme="majorBidi" w:hAnsiTheme="majorBidi" w:cstheme="majorBidi"/>
        </w:rPr>
        <w:t>a</w:t>
      </w:r>
      <w:r w:rsidRPr="006D7F24">
        <w:rPr>
          <w:rFonts w:asciiTheme="majorBidi" w:hAnsiTheme="majorBidi" w:cstheme="majorBidi"/>
        </w:rPr>
        <w:t xml:space="preserve">udit </w:t>
      </w:r>
      <w:r w:rsidR="00A60A02">
        <w:rPr>
          <w:rFonts w:asciiTheme="majorBidi" w:hAnsiTheme="majorBidi" w:cstheme="majorBidi"/>
        </w:rPr>
        <w:t>p</w:t>
      </w:r>
      <w:r w:rsidRPr="006D7F24">
        <w:rPr>
          <w:rFonts w:asciiTheme="majorBidi" w:hAnsiTheme="majorBidi" w:cstheme="majorBidi"/>
        </w:rPr>
        <w:t xml:space="preserve">rocess </w:t>
      </w:r>
      <w:r w:rsidR="00A60A02">
        <w:rPr>
          <w:rFonts w:asciiTheme="majorBidi" w:hAnsiTheme="majorBidi" w:cstheme="majorBidi"/>
        </w:rPr>
        <w:t>c</w:t>
      </w:r>
      <w:r w:rsidRPr="006D7F24">
        <w:rPr>
          <w:rFonts w:asciiTheme="majorBidi" w:hAnsiTheme="majorBidi" w:cstheme="majorBidi"/>
        </w:rPr>
        <w:t xml:space="preserve">ould </w:t>
      </w:r>
      <w:r w:rsidR="00A60A02">
        <w:rPr>
          <w:rFonts w:asciiTheme="majorBidi" w:hAnsiTheme="majorBidi" w:cstheme="majorBidi"/>
        </w:rPr>
        <w:t>i</w:t>
      </w:r>
      <w:r w:rsidRPr="006D7F24">
        <w:rPr>
          <w:rFonts w:asciiTheme="majorBidi" w:hAnsiTheme="majorBidi" w:cstheme="majorBidi"/>
        </w:rPr>
        <w:t xml:space="preserve">mprove the </w:t>
      </w:r>
      <w:r w:rsidR="00A60A02">
        <w:rPr>
          <w:rFonts w:asciiTheme="majorBidi" w:hAnsiTheme="majorBidi" w:cstheme="majorBidi"/>
        </w:rPr>
        <w:t>a</w:t>
      </w:r>
      <w:r w:rsidRPr="006D7F24">
        <w:rPr>
          <w:rFonts w:asciiTheme="majorBidi" w:hAnsiTheme="majorBidi" w:cstheme="majorBidi"/>
        </w:rPr>
        <w:t xml:space="preserve">ccuracy of </w:t>
      </w:r>
      <w:r w:rsidR="00A60A02">
        <w:rPr>
          <w:rFonts w:asciiTheme="majorBidi" w:hAnsiTheme="majorBidi" w:cstheme="majorBidi"/>
        </w:rPr>
        <w:t>w</w:t>
      </w:r>
      <w:r w:rsidRPr="006D7F24">
        <w:rPr>
          <w:rFonts w:asciiTheme="majorBidi" w:hAnsiTheme="majorBidi" w:cstheme="majorBidi"/>
        </w:rPr>
        <w:t xml:space="preserve">orker </w:t>
      </w:r>
      <w:r w:rsidR="00A60A02">
        <w:rPr>
          <w:rFonts w:asciiTheme="majorBidi" w:hAnsiTheme="majorBidi" w:cstheme="majorBidi"/>
        </w:rPr>
        <w:t>i</w:t>
      </w:r>
      <w:r w:rsidRPr="006D7F24">
        <w:rPr>
          <w:rFonts w:asciiTheme="majorBidi" w:hAnsiTheme="majorBidi" w:cstheme="majorBidi"/>
        </w:rPr>
        <w:t xml:space="preserve">njury and </w:t>
      </w:r>
      <w:r w:rsidR="00A60A02">
        <w:rPr>
          <w:rFonts w:asciiTheme="majorBidi" w:hAnsiTheme="majorBidi" w:cstheme="majorBidi"/>
        </w:rPr>
        <w:t>i</w:t>
      </w:r>
      <w:r w:rsidRPr="006D7F24">
        <w:rPr>
          <w:rFonts w:asciiTheme="majorBidi" w:hAnsiTheme="majorBidi" w:cstheme="majorBidi"/>
        </w:rPr>
        <w:t xml:space="preserve">llness </w:t>
      </w:r>
      <w:r w:rsidR="00A60A02">
        <w:rPr>
          <w:rFonts w:asciiTheme="majorBidi" w:hAnsiTheme="majorBidi" w:cstheme="majorBidi"/>
        </w:rPr>
        <w:t>d</w:t>
      </w:r>
      <w:r w:rsidRPr="006D7F24">
        <w:rPr>
          <w:rFonts w:asciiTheme="majorBidi" w:hAnsiTheme="majorBidi" w:cstheme="majorBidi"/>
        </w:rPr>
        <w:t xml:space="preserve">ata. October 2009. </w:t>
      </w:r>
      <w:hyperlink r:id="rId21" w:history="1">
        <w:r w:rsidRPr="006D7F24">
          <w:rPr>
            <w:rStyle w:val="Hyperlink"/>
            <w:rFonts w:asciiTheme="majorBidi" w:hAnsiTheme="majorBidi" w:cstheme="majorBidi"/>
          </w:rPr>
          <w:t>http://www.gao.gov/new.items/d1010.pdf</w:t>
        </w:r>
      </w:hyperlink>
      <w:r w:rsidRPr="006D7F24">
        <w:rPr>
          <w:rFonts w:asciiTheme="majorBidi" w:hAnsiTheme="majorBidi" w:cstheme="majorBidi"/>
        </w:rPr>
        <w:t>. Accessed March 14, 2018.</w:t>
      </w:r>
    </w:p>
  </w:footnote>
  <w:footnote w:id="50">
    <w:p w14:paraId="2FB4A48D" w14:textId="11128940" w:rsidR="001232D3" w:rsidRPr="006D7F24" w:rsidRDefault="001232D3" w:rsidP="00ED710D">
      <w:pPr>
        <w:pStyle w:val="FootnoteText"/>
        <w:contextualSpacing/>
        <w:rPr>
          <w:rFonts w:asciiTheme="majorBidi" w:hAnsiTheme="majorBidi" w:cstheme="majorBidi"/>
        </w:rPr>
      </w:pPr>
      <w:r w:rsidRPr="006D7F24">
        <w:rPr>
          <w:rStyle w:val="FootnoteReference"/>
          <w:rFonts w:asciiTheme="majorBidi" w:hAnsiTheme="majorBidi" w:cstheme="majorBidi"/>
        </w:rPr>
        <w:footnoteRef/>
      </w:r>
      <w:r w:rsidRPr="006D7F24">
        <w:rPr>
          <w:rFonts w:asciiTheme="majorBidi" w:hAnsiTheme="majorBidi" w:cstheme="majorBidi"/>
        </w:rPr>
        <w:t xml:space="preserve"> Ibid. p. 18.</w:t>
      </w:r>
    </w:p>
  </w:footnote>
  <w:footnote w:id="51">
    <w:p w14:paraId="3DB38110" w14:textId="7173EF71" w:rsidR="001232D3" w:rsidRPr="006D7F24" w:rsidRDefault="001232D3">
      <w:pPr>
        <w:pStyle w:val="FootnoteText"/>
      </w:pPr>
      <w:r w:rsidRPr="006D7F24">
        <w:rPr>
          <w:rStyle w:val="FootnoteReference"/>
        </w:rPr>
        <w:footnoteRef/>
      </w:r>
      <w:r w:rsidRPr="006D7F24">
        <w:t xml:space="preserve"> Ibid.</w:t>
      </w:r>
    </w:p>
  </w:footnote>
  <w:footnote w:id="52">
    <w:p w14:paraId="4019736A" w14:textId="5C1321C8" w:rsidR="001232D3" w:rsidRPr="006D7F24" w:rsidRDefault="001232D3" w:rsidP="00ED710D">
      <w:pPr>
        <w:pStyle w:val="FootnoteText"/>
        <w:contextualSpacing/>
        <w:rPr>
          <w:rFonts w:asciiTheme="majorBidi" w:hAnsiTheme="majorBidi" w:cstheme="majorBidi"/>
        </w:rPr>
      </w:pPr>
      <w:r w:rsidRPr="006D7F24">
        <w:rPr>
          <w:rStyle w:val="FootnoteReference"/>
          <w:rFonts w:asciiTheme="majorBidi" w:hAnsiTheme="majorBidi" w:cstheme="majorBidi"/>
        </w:rPr>
        <w:footnoteRef/>
      </w:r>
      <w:r w:rsidRPr="006D7F24">
        <w:rPr>
          <w:rFonts w:asciiTheme="majorBidi" w:hAnsiTheme="majorBidi" w:cstheme="majorBidi"/>
        </w:rPr>
        <w:t xml:space="preserve"> Ibid. p. 17.</w:t>
      </w:r>
    </w:p>
  </w:footnote>
  <w:footnote w:id="53">
    <w:p w14:paraId="70D91627" w14:textId="4D0737A4" w:rsidR="001232D3" w:rsidRPr="006D7F24" w:rsidRDefault="001232D3">
      <w:pPr>
        <w:pStyle w:val="FootnoteText"/>
      </w:pPr>
      <w:r w:rsidRPr="006D7F24">
        <w:rPr>
          <w:rStyle w:val="FootnoteReference"/>
        </w:rPr>
        <w:footnoteRef/>
      </w:r>
      <w:r w:rsidRPr="006D7F24">
        <w:t xml:space="preserve"> Ibid. p. 18.</w:t>
      </w:r>
    </w:p>
  </w:footnote>
  <w:footnote w:id="54">
    <w:p w14:paraId="2B6D7A35" w14:textId="6503E5AC" w:rsidR="001232D3" w:rsidRPr="006D7F24" w:rsidRDefault="001232D3" w:rsidP="00ED710D">
      <w:pPr>
        <w:pStyle w:val="FootnoteText"/>
        <w:contextualSpacing/>
        <w:rPr>
          <w:rFonts w:asciiTheme="majorBidi" w:hAnsiTheme="majorBidi" w:cstheme="majorBidi"/>
        </w:rPr>
      </w:pPr>
      <w:r w:rsidRPr="006D7F24">
        <w:rPr>
          <w:rStyle w:val="FootnoteReference"/>
          <w:rFonts w:asciiTheme="majorBidi" w:hAnsiTheme="majorBidi" w:cstheme="majorBidi"/>
        </w:rPr>
        <w:footnoteRef/>
      </w:r>
      <w:r w:rsidRPr="006D7F24">
        <w:rPr>
          <w:rFonts w:asciiTheme="majorBidi" w:hAnsiTheme="majorBidi" w:cstheme="majorBidi"/>
        </w:rPr>
        <w:t xml:space="preserve"> Ibid. p. 19.</w:t>
      </w:r>
    </w:p>
  </w:footnote>
  <w:footnote w:id="55">
    <w:p w14:paraId="21F60EC9" w14:textId="77777777" w:rsidR="001232D3" w:rsidRPr="006D7F24" w:rsidRDefault="001232D3" w:rsidP="00ED710D">
      <w:pPr>
        <w:pStyle w:val="FootnoteText"/>
        <w:contextualSpacing/>
        <w:rPr>
          <w:rFonts w:asciiTheme="majorBidi" w:hAnsiTheme="majorBidi" w:cstheme="majorBidi"/>
        </w:rPr>
      </w:pPr>
      <w:r w:rsidRPr="006D7F24">
        <w:rPr>
          <w:rStyle w:val="FootnoteReference"/>
          <w:rFonts w:asciiTheme="majorBidi" w:hAnsiTheme="majorBidi" w:cstheme="majorBidi"/>
        </w:rPr>
        <w:footnoteRef/>
      </w:r>
      <w:r w:rsidRPr="006D7F24">
        <w:rPr>
          <w:rFonts w:asciiTheme="majorBidi" w:hAnsiTheme="majorBidi" w:cstheme="majorBidi"/>
        </w:rPr>
        <w:t xml:space="preserve"> AFL-CIO. (2005). Immigrant workers at risk: The urgent need for improved workplace safety and health policies</w:t>
      </w:r>
    </w:p>
    <w:p w14:paraId="77A1EC17" w14:textId="77777777" w:rsidR="001232D3" w:rsidRPr="006D7F24" w:rsidRDefault="001232D3" w:rsidP="00ED710D">
      <w:pPr>
        <w:pStyle w:val="FootnoteText"/>
        <w:contextualSpacing/>
        <w:rPr>
          <w:rFonts w:asciiTheme="majorBidi" w:hAnsiTheme="majorBidi" w:cstheme="majorBidi"/>
        </w:rPr>
      </w:pPr>
      <w:r w:rsidRPr="006D7F24">
        <w:rPr>
          <w:rFonts w:asciiTheme="majorBidi" w:hAnsiTheme="majorBidi" w:cstheme="majorBidi"/>
        </w:rPr>
        <w:t>and programs [Electronic version]. Washington, DC: Author.</w:t>
      </w:r>
    </w:p>
    <w:p w14:paraId="19EB1B9B" w14:textId="618EE687" w:rsidR="001232D3" w:rsidRPr="006D7F24" w:rsidRDefault="00A46EC9" w:rsidP="00ED710D">
      <w:pPr>
        <w:pStyle w:val="FootnoteText"/>
        <w:contextualSpacing/>
        <w:rPr>
          <w:rFonts w:asciiTheme="majorBidi" w:hAnsiTheme="majorBidi" w:cstheme="majorBidi"/>
        </w:rPr>
      </w:pPr>
      <w:hyperlink r:id="rId22" w:history="1">
        <w:r w:rsidR="001232D3" w:rsidRPr="006D7F24">
          <w:rPr>
            <w:rStyle w:val="Hyperlink"/>
            <w:rFonts w:asciiTheme="majorBidi" w:hAnsiTheme="majorBidi" w:cstheme="majorBidi"/>
          </w:rPr>
          <w:t>http://digitalcommons.ilr.cornell.edu/laborunions/28/</w:t>
        </w:r>
      </w:hyperlink>
      <w:r w:rsidR="001232D3" w:rsidRPr="006D7F24">
        <w:rPr>
          <w:rFonts w:asciiTheme="majorBidi" w:hAnsiTheme="majorBidi" w:cstheme="majorBidi"/>
        </w:rPr>
        <w:t>. Accessed March 14, 2018.</w:t>
      </w:r>
    </w:p>
  </w:footnote>
  <w:footnote w:id="56">
    <w:p w14:paraId="641A623C" w14:textId="1A900D8E" w:rsidR="001232D3" w:rsidRPr="006D7F24" w:rsidRDefault="001232D3" w:rsidP="00ED710D">
      <w:pPr>
        <w:pStyle w:val="FootnoteText"/>
        <w:contextualSpacing/>
        <w:rPr>
          <w:rFonts w:asciiTheme="majorBidi" w:hAnsiTheme="majorBidi" w:cstheme="majorBidi"/>
        </w:rPr>
      </w:pPr>
      <w:r w:rsidRPr="006D7F24">
        <w:rPr>
          <w:rStyle w:val="FootnoteReference"/>
          <w:rFonts w:asciiTheme="majorBidi" w:hAnsiTheme="majorBidi" w:cstheme="majorBidi"/>
        </w:rPr>
        <w:footnoteRef/>
      </w:r>
      <w:r w:rsidRPr="006D7F24">
        <w:rPr>
          <w:rFonts w:asciiTheme="majorBidi" w:hAnsiTheme="majorBidi" w:cstheme="majorBidi"/>
        </w:rPr>
        <w:t xml:space="preserve"> </w:t>
      </w:r>
      <w:r w:rsidRPr="006D7F24">
        <w:rPr>
          <w:rFonts w:asciiTheme="majorBidi" w:eastAsia="Times New Roman" w:hAnsiTheme="majorBidi" w:cstheme="majorBidi"/>
        </w:rPr>
        <w:t xml:space="preserve">Mines R, An </w:t>
      </w:r>
      <w:r w:rsidR="00941810" w:rsidRPr="006D7F24">
        <w:rPr>
          <w:rFonts w:asciiTheme="majorBidi" w:eastAsia="Times New Roman" w:hAnsiTheme="majorBidi" w:cstheme="majorBidi"/>
        </w:rPr>
        <w:t xml:space="preserve">evaluation of the gathering of occupational injury data by the national agricultural workers survey </w:t>
      </w:r>
      <w:r w:rsidRPr="006D7F24">
        <w:rPr>
          <w:rFonts w:asciiTheme="majorBidi" w:eastAsia="Times New Roman" w:hAnsiTheme="majorBidi" w:cstheme="majorBidi"/>
        </w:rPr>
        <w:t>(NAWS), submitted to the Office of the Assistant Secretary for Policy, U.S. Department of Labor, July 13, 2004, at p. 30; Jackson L</w:t>
      </w:r>
      <w:r w:rsidR="00941810">
        <w:rPr>
          <w:rFonts w:asciiTheme="majorBidi" w:eastAsia="Times New Roman" w:hAnsiTheme="majorBidi" w:cstheme="majorBidi"/>
        </w:rPr>
        <w:t>, Rosenberg R</w:t>
      </w:r>
      <w:r w:rsidRPr="006D7F24">
        <w:rPr>
          <w:rFonts w:asciiTheme="majorBidi" w:eastAsia="Times New Roman" w:hAnsiTheme="majorBidi" w:cstheme="majorBidi"/>
        </w:rPr>
        <w:t xml:space="preserve">, Preventing </w:t>
      </w:r>
      <w:r w:rsidR="00941810" w:rsidRPr="006D7F24">
        <w:rPr>
          <w:rFonts w:asciiTheme="majorBidi" w:eastAsia="Times New Roman" w:hAnsiTheme="majorBidi" w:cstheme="majorBidi"/>
        </w:rPr>
        <w:t>heat-related illness among agricultural workers</w:t>
      </w:r>
      <w:r w:rsidRPr="006D7F24">
        <w:rPr>
          <w:rFonts w:asciiTheme="majorBidi" w:eastAsia="Times New Roman" w:hAnsiTheme="majorBidi" w:cstheme="majorBidi"/>
        </w:rPr>
        <w:t xml:space="preserve">, </w:t>
      </w:r>
      <w:r w:rsidRPr="00941810">
        <w:rPr>
          <w:rFonts w:asciiTheme="majorBidi" w:eastAsia="Times New Roman" w:hAnsiTheme="majorBidi" w:cstheme="majorBidi"/>
          <w:i/>
        </w:rPr>
        <w:t>J</w:t>
      </w:r>
      <w:r w:rsidR="00941810" w:rsidRPr="00941810">
        <w:rPr>
          <w:rFonts w:asciiTheme="majorBidi" w:eastAsia="Times New Roman" w:hAnsiTheme="majorBidi" w:cstheme="majorBidi"/>
          <w:i/>
        </w:rPr>
        <w:t xml:space="preserve"> </w:t>
      </w:r>
      <w:r w:rsidRPr="00941810">
        <w:rPr>
          <w:rFonts w:asciiTheme="majorBidi" w:eastAsia="Times New Roman" w:hAnsiTheme="majorBidi" w:cstheme="majorBidi"/>
          <w:i/>
        </w:rPr>
        <w:t>Agromedicine</w:t>
      </w:r>
      <w:r w:rsidR="00367362">
        <w:rPr>
          <w:rFonts w:asciiTheme="majorBidi" w:eastAsia="Times New Roman" w:hAnsiTheme="majorBidi" w:cstheme="majorBidi"/>
        </w:rPr>
        <w:t>, 2010;</w:t>
      </w:r>
      <w:r w:rsidRPr="006D7F24">
        <w:rPr>
          <w:rFonts w:asciiTheme="majorBidi" w:eastAsia="Times New Roman" w:hAnsiTheme="majorBidi" w:cstheme="majorBidi"/>
        </w:rPr>
        <w:t xml:space="preserve">15:200-215; Hofmann J, Snyder K, Keifer M, A </w:t>
      </w:r>
      <w:r w:rsidR="007530BB" w:rsidRPr="006D7F24">
        <w:rPr>
          <w:rFonts w:asciiTheme="majorBidi" w:eastAsia="Times New Roman" w:hAnsiTheme="majorBidi" w:cstheme="majorBidi"/>
        </w:rPr>
        <w:t>descriptive study of workers</w:t>
      </w:r>
      <w:r w:rsidR="007530BB">
        <w:rPr>
          <w:rFonts w:asciiTheme="majorBidi" w:eastAsia="Times New Roman" w:hAnsiTheme="majorBidi" w:cstheme="majorBidi"/>
        </w:rPr>
        <w:t>’</w:t>
      </w:r>
      <w:r w:rsidR="007530BB" w:rsidRPr="006D7F24">
        <w:rPr>
          <w:rFonts w:asciiTheme="majorBidi" w:eastAsia="Times New Roman" w:hAnsiTheme="majorBidi" w:cstheme="majorBidi"/>
        </w:rPr>
        <w:t xml:space="preserve"> compensation claims in washington state orchards</w:t>
      </w:r>
      <w:r w:rsidRPr="006D7F24">
        <w:rPr>
          <w:rFonts w:asciiTheme="majorBidi" w:eastAsia="Times New Roman" w:hAnsiTheme="majorBidi" w:cstheme="majorBidi"/>
        </w:rPr>
        <w:t xml:space="preserve">, </w:t>
      </w:r>
      <w:r w:rsidRPr="007530BB">
        <w:rPr>
          <w:rFonts w:asciiTheme="majorBidi" w:eastAsia="Times New Roman" w:hAnsiTheme="majorBidi" w:cstheme="majorBidi"/>
          <w:i/>
        </w:rPr>
        <w:t>Occupational Medicine</w:t>
      </w:r>
      <w:r w:rsidR="007530BB">
        <w:rPr>
          <w:rFonts w:asciiTheme="majorBidi" w:eastAsia="Times New Roman" w:hAnsiTheme="majorBidi" w:cstheme="majorBidi"/>
        </w:rPr>
        <w:t xml:space="preserve"> </w:t>
      </w:r>
      <w:r w:rsidRPr="006D7F24">
        <w:rPr>
          <w:rFonts w:asciiTheme="majorBidi" w:eastAsia="Times New Roman" w:hAnsiTheme="majorBidi" w:cstheme="majorBidi"/>
        </w:rPr>
        <w:t>2006</w:t>
      </w:r>
      <w:r w:rsidR="007530BB">
        <w:rPr>
          <w:rFonts w:asciiTheme="majorBidi" w:eastAsia="Times New Roman" w:hAnsiTheme="majorBidi" w:cstheme="majorBidi"/>
        </w:rPr>
        <w:t>;56:</w:t>
      </w:r>
      <w:r w:rsidR="006E5E72">
        <w:rPr>
          <w:rFonts w:asciiTheme="majorBidi" w:eastAsia="Times New Roman" w:hAnsiTheme="majorBidi" w:cstheme="majorBidi"/>
        </w:rPr>
        <w:t>251</w:t>
      </w:r>
      <w:r w:rsidR="00E01654">
        <w:rPr>
          <w:rFonts w:asciiTheme="majorBidi" w:eastAsia="Times New Roman" w:hAnsiTheme="majorBidi" w:cstheme="majorBidi"/>
        </w:rPr>
        <w:t>–</w:t>
      </w:r>
      <w:r w:rsidR="006E5E72">
        <w:rPr>
          <w:rFonts w:asciiTheme="majorBidi" w:eastAsia="Times New Roman" w:hAnsiTheme="majorBidi" w:cstheme="majorBidi"/>
        </w:rPr>
        <w:t>257; and Hansen E, Donahoe M</w:t>
      </w:r>
      <w:r w:rsidRPr="006D7F24">
        <w:rPr>
          <w:rFonts w:asciiTheme="majorBidi" w:eastAsia="Times New Roman" w:hAnsiTheme="majorBidi" w:cstheme="majorBidi"/>
        </w:rPr>
        <w:t xml:space="preserve">, Health </w:t>
      </w:r>
      <w:r w:rsidR="006E5E72" w:rsidRPr="006D7F24">
        <w:rPr>
          <w:rFonts w:asciiTheme="majorBidi" w:eastAsia="Times New Roman" w:hAnsiTheme="majorBidi" w:cstheme="majorBidi"/>
        </w:rPr>
        <w:t>issues of migrant and seasonal farmworkers</w:t>
      </w:r>
      <w:r w:rsidRPr="006D7F24">
        <w:rPr>
          <w:rFonts w:asciiTheme="majorBidi" w:eastAsia="Times New Roman" w:hAnsiTheme="majorBidi" w:cstheme="majorBidi"/>
        </w:rPr>
        <w:t xml:space="preserve">, </w:t>
      </w:r>
      <w:r w:rsidRPr="006E5E72">
        <w:rPr>
          <w:rFonts w:asciiTheme="majorBidi" w:eastAsia="Times New Roman" w:hAnsiTheme="majorBidi" w:cstheme="majorBidi"/>
          <w:i/>
        </w:rPr>
        <w:t>J</w:t>
      </w:r>
      <w:r w:rsidR="006E5E72" w:rsidRPr="006E5E72">
        <w:rPr>
          <w:rFonts w:asciiTheme="majorBidi" w:eastAsia="Times New Roman" w:hAnsiTheme="majorBidi" w:cstheme="majorBidi"/>
          <w:i/>
        </w:rPr>
        <w:t xml:space="preserve"> </w:t>
      </w:r>
      <w:r w:rsidRPr="006E5E72">
        <w:rPr>
          <w:rFonts w:asciiTheme="majorBidi" w:eastAsia="Times New Roman" w:hAnsiTheme="majorBidi" w:cstheme="majorBidi"/>
          <w:i/>
        </w:rPr>
        <w:t>Health Care for the Poor and Underserved</w:t>
      </w:r>
      <w:r w:rsidRPr="006D7F24">
        <w:rPr>
          <w:rFonts w:asciiTheme="majorBidi" w:eastAsia="Times New Roman" w:hAnsiTheme="majorBidi" w:cstheme="majorBidi"/>
        </w:rPr>
        <w:t>, May 2003</w:t>
      </w:r>
      <w:r w:rsidR="003922AA">
        <w:rPr>
          <w:rFonts w:asciiTheme="majorBidi" w:eastAsia="Times New Roman" w:hAnsiTheme="majorBidi" w:cstheme="majorBidi"/>
        </w:rPr>
        <w:t>;</w:t>
      </w:r>
      <w:r w:rsidR="00796653">
        <w:rPr>
          <w:rFonts w:asciiTheme="majorBidi" w:eastAsia="Times New Roman" w:hAnsiTheme="majorBidi" w:cstheme="majorBidi"/>
        </w:rPr>
        <w:t xml:space="preserve"> 14(</w:t>
      </w:r>
      <w:r w:rsidRPr="006D7F24">
        <w:rPr>
          <w:rFonts w:asciiTheme="majorBidi" w:eastAsia="Times New Roman" w:hAnsiTheme="majorBidi" w:cstheme="majorBidi"/>
        </w:rPr>
        <w:t>2</w:t>
      </w:r>
      <w:r w:rsidR="00796653">
        <w:rPr>
          <w:rFonts w:asciiTheme="majorBidi" w:eastAsia="Times New Roman" w:hAnsiTheme="majorBidi" w:cstheme="majorBidi"/>
        </w:rPr>
        <w:t>):</w:t>
      </w:r>
      <w:r w:rsidRPr="006D7F24">
        <w:rPr>
          <w:rFonts w:asciiTheme="majorBidi" w:eastAsia="Times New Roman" w:hAnsiTheme="majorBidi" w:cstheme="majorBidi"/>
        </w:rPr>
        <w:t>153</w:t>
      </w:r>
      <w:r w:rsidR="00E01654">
        <w:rPr>
          <w:rFonts w:asciiTheme="majorBidi" w:eastAsia="Times New Roman" w:hAnsiTheme="majorBidi" w:cstheme="majorBidi"/>
        </w:rPr>
        <w:t>–</w:t>
      </w:r>
      <w:r w:rsidRPr="006D7F24">
        <w:rPr>
          <w:rFonts w:asciiTheme="majorBidi" w:eastAsia="Times New Roman" w:hAnsiTheme="majorBidi" w:cstheme="majorBidi"/>
        </w:rPr>
        <w:t>164.</w:t>
      </w:r>
    </w:p>
  </w:footnote>
  <w:footnote w:id="57">
    <w:p w14:paraId="21092EB2" w14:textId="59762E6C" w:rsidR="001232D3" w:rsidRPr="006D7F24" w:rsidRDefault="001232D3" w:rsidP="00382C40">
      <w:pPr>
        <w:spacing w:after="0"/>
        <w:contextualSpacing/>
        <w:rPr>
          <w:rFonts w:asciiTheme="majorBidi" w:hAnsiTheme="majorBidi" w:cstheme="majorBidi"/>
          <w:sz w:val="20"/>
          <w:szCs w:val="20"/>
        </w:rPr>
      </w:pPr>
      <w:r w:rsidRPr="006D7F24">
        <w:rPr>
          <w:rStyle w:val="FootnoteReference"/>
          <w:rFonts w:asciiTheme="majorBidi" w:hAnsiTheme="majorBidi" w:cstheme="majorBidi"/>
          <w:sz w:val="20"/>
          <w:szCs w:val="20"/>
        </w:rPr>
        <w:footnoteRef/>
      </w:r>
      <w:r w:rsidRPr="006D7F24">
        <w:rPr>
          <w:rFonts w:asciiTheme="majorBidi" w:hAnsiTheme="majorBidi" w:cstheme="majorBidi"/>
          <w:sz w:val="20"/>
          <w:szCs w:val="20"/>
        </w:rPr>
        <w:t xml:space="preserve"> </w:t>
      </w:r>
      <w:r w:rsidRPr="006D7F24">
        <w:rPr>
          <w:rFonts w:asciiTheme="majorBidi" w:eastAsia="Times New Roman" w:hAnsiTheme="majorBidi" w:cstheme="majorBidi"/>
          <w:sz w:val="20"/>
          <w:szCs w:val="20"/>
        </w:rPr>
        <w:t xml:space="preserve">Jackson L, Rosenberg R, Preventing heat-related illness among agricultural workers. </w:t>
      </w:r>
      <w:r w:rsidRPr="006D7F24">
        <w:rPr>
          <w:rFonts w:asciiTheme="majorBidi" w:eastAsia="Times New Roman" w:hAnsiTheme="majorBidi" w:cstheme="majorBidi"/>
          <w:i/>
          <w:iCs/>
          <w:sz w:val="20"/>
          <w:szCs w:val="20"/>
        </w:rPr>
        <w:t>J</w:t>
      </w:r>
      <w:r w:rsidR="00D91456">
        <w:rPr>
          <w:rFonts w:asciiTheme="majorBidi" w:eastAsia="Times New Roman" w:hAnsiTheme="majorBidi" w:cstheme="majorBidi"/>
          <w:i/>
          <w:iCs/>
          <w:sz w:val="20"/>
          <w:szCs w:val="20"/>
        </w:rPr>
        <w:t xml:space="preserve"> </w:t>
      </w:r>
      <w:r w:rsidRPr="006D7F24">
        <w:rPr>
          <w:rFonts w:asciiTheme="majorBidi" w:eastAsia="Times New Roman" w:hAnsiTheme="majorBidi" w:cstheme="majorBidi"/>
          <w:i/>
          <w:iCs/>
          <w:sz w:val="20"/>
          <w:szCs w:val="20"/>
        </w:rPr>
        <w:t>Agromedicine</w:t>
      </w:r>
      <w:r w:rsidR="00243D2B">
        <w:rPr>
          <w:rFonts w:asciiTheme="majorBidi" w:eastAsia="Times New Roman" w:hAnsiTheme="majorBidi" w:cstheme="majorBidi"/>
          <w:sz w:val="20"/>
          <w:szCs w:val="20"/>
        </w:rPr>
        <w:t>. 2010;</w:t>
      </w:r>
      <w:r w:rsidRPr="006D7F24">
        <w:rPr>
          <w:rFonts w:asciiTheme="majorBidi" w:eastAsia="Times New Roman" w:hAnsiTheme="majorBidi" w:cstheme="majorBidi"/>
          <w:sz w:val="20"/>
          <w:szCs w:val="20"/>
        </w:rPr>
        <w:t>15:200</w:t>
      </w:r>
      <w:r w:rsidR="00E01654">
        <w:rPr>
          <w:rFonts w:asciiTheme="majorBidi" w:eastAsia="Times New Roman" w:hAnsiTheme="majorBidi" w:cstheme="majorBidi"/>
          <w:sz w:val="20"/>
          <w:szCs w:val="20"/>
        </w:rPr>
        <w:t>–</w:t>
      </w:r>
      <w:r w:rsidRPr="006D7F24">
        <w:rPr>
          <w:rFonts w:asciiTheme="majorBidi" w:eastAsia="Times New Roman" w:hAnsiTheme="majorBidi" w:cstheme="majorBidi"/>
          <w:sz w:val="20"/>
          <w:szCs w:val="20"/>
        </w:rPr>
        <w:t>215.</w:t>
      </w:r>
    </w:p>
  </w:footnote>
  <w:footnote w:id="58">
    <w:p w14:paraId="79D9E395" w14:textId="63ABCA48" w:rsidR="001232D3" w:rsidRDefault="001232D3" w:rsidP="004E2C88">
      <w:pPr>
        <w:pStyle w:val="FootnoteText"/>
      </w:pPr>
      <w:r>
        <w:rPr>
          <w:rStyle w:val="FootnoteReference"/>
        </w:rPr>
        <w:footnoteRef/>
      </w:r>
      <w:r>
        <w:t xml:space="preserve"> Taylor EV,</w:t>
      </w:r>
      <w:r w:rsidRPr="004E2C88">
        <w:t xml:space="preserve"> Vaidyanathan A</w:t>
      </w:r>
      <w:r>
        <w:t>,</w:t>
      </w:r>
      <w:r w:rsidRPr="004E2C88">
        <w:t xml:space="preserve"> Flanders D, </w:t>
      </w:r>
      <w:r w:rsidR="00797632">
        <w:t>et al</w:t>
      </w:r>
      <w:r>
        <w:t xml:space="preserve">. </w:t>
      </w:r>
      <w:r w:rsidRPr="004E2C88">
        <w:t xml:space="preserve">Differences in </w:t>
      </w:r>
      <w:r w:rsidR="00797632" w:rsidRPr="004E2C88">
        <w:t>heat-related mortality by</w:t>
      </w:r>
      <w:r w:rsidR="00C359E0">
        <w:t xml:space="preserve"> </w:t>
      </w:r>
      <w:r w:rsidR="00797632" w:rsidRPr="004E2C88">
        <w:t>citizenship status</w:t>
      </w:r>
      <w:r w:rsidRPr="004E2C88">
        <w:t>: United States, 2005–2014</w:t>
      </w:r>
      <w:r>
        <w:t>.</w:t>
      </w:r>
      <w:r w:rsidRPr="004E2C88">
        <w:rPr>
          <w:rFonts w:ascii="AdvTTdf3ef5c4.I" w:eastAsiaTheme="minorHAnsi" w:hAnsi="AdvTTdf3ef5c4.I" w:cs="AdvTTdf3ef5c4.I"/>
          <w:sz w:val="18"/>
          <w:szCs w:val="18"/>
        </w:rPr>
        <w:t xml:space="preserve"> </w:t>
      </w:r>
      <w:r w:rsidRPr="00C359E0">
        <w:rPr>
          <w:i/>
        </w:rPr>
        <w:t>Am J Public Health</w:t>
      </w:r>
      <w:r w:rsidRPr="004E2C88">
        <w:t>. 2018;108:S131–S136.</w:t>
      </w:r>
    </w:p>
  </w:footnote>
  <w:footnote w:id="59">
    <w:p w14:paraId="4C8B99DC" w14:textId="04D2D244" w:rsidR="001232D3" w:rsidRDefault="001232D3">
      <w:pPr>
        <w:pStyle w:val="FootnoteText"/>
      </w:pPr>
      <w:r>
        <w:rPr>
          <w:rStyle w:val="FootnoteReference"/>
        </w:rPr>
        <w:footnoteRef/>
      </w:r>
      <w:r>
        <w:t xml:space="preserve"> </w:t>
      </w:r>
      <w:r>
        <w:rPr>
          <w:rFonts w:asciiTheme="majorBidi" w:hAnsiTheme="majorBidi" w:cstheme="majorBidi"/>
          <w:szCs w:val="24"/>
        </w:rPr>
        <w:t xml:space="preserve">BLS counts occupational fatalities by using a number of sources, such as death certificates, workers’ compensation reports, and media accounts. </w:t>
      </w:r>
      <w:r w:rsidRPr="00C359E0">
        <w:rPr>
          <w:rFonts w:asciiTheme="majorBidi" w:hAnsiTheme="majorBidi" w:cstheme="majorBidi"/>
          <w:szCs w:val="24"/>
        </w:rPr>
        <w:t xml:space="preserve">BLS. Census of </w:t>
      </w:r>
      <w:r w:rsidR="009D1685">
        <w:rPr>
          <w:rFonts w:asciiTheme="majorBidi" w:hAnsiTheme="majorBidi" w:cstheme="majorBidi"/>
          <w:szCs w:val="24"/>
        </w:rPr>
        <w:t>f</w:t>
      </w:r>
      <w:r w:rsidRPr="00C359E0">
        <w:rPr>
          <w:rFonts w:asciiTheme="majorBidi" w:hAnsiTheme="majorBidi" w:cstheme="majorBidi"/>
          <w:szCs w:val="24"/>
        </w:rPr>
        <w:t xml:space="preserve">atal </w:t>
      </w:r>
      <w:r w:rsidR="009D1685">
        <w:rPr>
          <w:rFonts w:asciiTheme="majorBidi" w:hAnsiTheme="majorBidi" w:cstheme="majorBidi"/>
          <w:szCs w:val="24"/>
        </w:rPr>
        <w:t>o</w:t>
      </w:r>
      <w:r w:rsidRPr="00C359E0">
        <w:rPr>
          <w:rFonts w:asciiTheme="majorBidi" w:hAnsiTheme="majorBidi" w:cstheme="majorBidi"/>
          <w:szCs w:val="24"/>
        </w:rPr>
        <w:t xml:space="preserve">ccupational </w:t>
      </w:r>
      <w:r w:rsidR="009D1685">
        <w:rPr>
          <w:rFonts w:asciiTheme="majorBidi" w:hAnsiTheme="majorBidi" w:cstheme="majorBidi"/>
          <w:szCs w:val="24"/>
        </w:rPr>
        <w:t>i</w:t>
      </w:r>
      <w:r w:rsidRPr="00C359E0">
        <w:rPr>
          <w:rFonts w:asciiTheme="majorBidi" w:hAnsiTheme="majorBidi" w:cstheme="majorBidi"/>
          <w:szCs w:val="24"/>
        </w:rPr>
        <w:t xml:space="preserve">njuries. Table 1. November 3, 2017. </w:t>
      </w:r>
      <w:hyperlink r:id="rId23" w:history="1">
        <w:r w:rsidRPr="00C359E0">
          <w:rPr>
            <w:rStyle w:val="Hyperlink"/>
            <w:rFonts w:asciiTheme="majorBidi" w:hAnsiTheme="majorBidi" w:cstheme="majorBidi"/>
            <w:szCs w:val="24"/>
          </w:rPr>
          <w:t>https://www.bls.gov/opub/hom/cfoi/pdf/cfoi.pdf</w:t>
        </w:r>
      </w:hyperlink>
      <w:r w:rsidRPr="00C359E0">
        <w:rPr>
          <w:rFonts w:asciiTheme="majorBidi" w:hAnsiTheme="majorBidi" w:cstheme="majorBidi"/>
          <w:szCs w:val="24"/>
        </w:rPr>
        <w:t>.</w:t>
      </w:r>
    </w:p>
  </w:footnote>
  <w:footnote w:id="60">
    <w:p w14:paraId="2FB2F2EE" w14:textId="77777777" w:rsidR="001232D3" w:rsidRPr="006D7F24" w:rsidRDefault="001232D3" w:rsidP="00B873A9">
      <w:pPr>
        <w:pStyle w:val="FootnoteText"/>
      </w:pPr>
      <w:r w:rsidRPr="006D7F24">
        <w:rPr>
          <w:rStyle w:val="FootnoteReference"/>
        </w:rPr>
        <w:footnoteRef/>
      </w:r>
      <w:r w:rsidRPr="006D7F24">
        <w:t xml:space="preserve"> </w:t>
      </w:r>
      <w:r w:rsidRPr="006D7F24">
        <w:rPr>
          <w:rFonts w:asciiTheme="majorBidi" w:hAnsiTheme="majorBidi" w:cstheme="majorBidi"/>
        </w:rPr>
        <w:t xml:space="preserve">Arbury S, Lindsley M, Hodgson M. A critical review of OSHA heat enforcement cases: Lessons learned. </w:t>
      </w:r>
      <w:r w:rsidRPr="006D7F24">
        <w:rPr>
          <w:rFonts w:asciiTheme="majorBidi" w:hAnsiTheme="majorBidi" w:cstheme="majorBidi"/>
          <w:i/>
          <w:iCs/>
        </w:rPr>
        <w:t>J Occup Environ Med</w:t>
      </w:r>
      <w:r w:rsidRPr="006D7F24">
        <w:rPr>
          <w:rFonts w:asciiTheme="majorBidi" w:hAnsiTheme="majorBidi" w:cstheme="majorBidi"/>
        </w:rPr>
        <w:t>. 2016;58(4):359-363.</w:t>
      </w:r>
      <w:r>
        <w:rPr>
          <w:rFonts w:asciiTheme="majorBidi" w:hAnsiTheme="majorBidi" w:cstheme="majorBidi"/>
        </w:rPr>
        <w:t xml:space="preserve"> p. 361.</w:t>
      </w:r>
    </w:p>
  </w:footnote>
  <w:footnote w:id="61">
    <w:p w14:paraId="7F1E58B8" w14:textId="77777777" w:rsidR="001232D3" w:rsidRPr="006D7F24" w:rsidRDefault="001232D3" w:rsidP="00B873A9">
      <w:pPr>
        <w:spacing w:after="0"/>
        <w:contextualSpacing/>
        <w:rPr>
          <w:rFonts w:asciiTheme="majorBidi" w:hAnsiTheme="majorBidi" w:cstheme="majorBidi"/>
          <w:sz w:val="20"/>
          <w:szCs w:val="20"/>
        </w:rPr>
      </w:pPr>
      <w:r w:rsidRPr="006D7F24">
        <w:rPr>
          <w:rStyle w:val="FootnoteReference"/>
          <w:rFonts w:asciiTheme="majorBidi" w:hAnsiTheme="majorBidi" w:cstheme="majorBidi"/>
          <w:sz w:val="20"/>
          <w:szCs w:val="20"/>
        </w:rPr>
        <w:footnoteRef/>
      </w:r>
      <w:r w:rsidRPr="006D7F24">
        <w:rPr>
          <w:rFonts w:asciiTheme="majorBidi" w:hAnsiTheme="majorBidi" w:cstheme="majorBidi"/>
          <w:sz w:val="20"/>
          <w:szCs w:val="20"/>
        </w:rPr>
        <w:t xml:space="preserve"> </w:t>
      </w:r>
      <w:r w:rsidRPr="006D7F24">
        <w:rPr>
          <w:rFonts w:asciiTheme="majorBidi" w:eastAsia="Times New Roman" w:hAnsiTheme="majorBidi" w:cstheme="majorBidi"/>
          <w:sz w:val="20"/>
          <w:szCs w:val="20"/>
        </w:rPr>
        <w:t xml:space="preserve">Environmental Protection Agency (EPA). A Guide to Heat Stress in Agriculture (1993). Page 7. </w:t>
      </w:r>
      <w:hyperlink r:id="rId24" w:history="1">
        <w:r w:rsidRPr="006D7F24">
          <w:rPr>
            <w:rStyle w:val="Hyperlink"/>
            <w:rFonts w:asciiTheme="majorBidi" w:eastAsia="Times New Roman" w:hAnsiTheme="majorBidi" w:cstheme="majorBidi"/>
            <w:sz w:val="20"/>
            <w:szCs w:val="20"/>
          </w:rPr>
          <w:t>http://nepis.epa.gov/EPA/html/Pubs/pubalpha_A.html</w:t>
        </w:r>
      </w:hyperlink>
      <w:r w:rsidRPr="006D7F24">
        <w:rPr>
          <w:rFonts w:asciiTheme="majorBidi" w:hAnsiTheme="majorBidi" w:cstheme="majorBidi"/>
          <w:sz w:val="20"/>
          <w:szCs w:val="20"/>
        </w:rPr>
        <w:t>. Accessed March 15, 2018.</w:t>
      </w:r>
    </w:p>
  </w:footnote>
  <w:footnote w:id="62">
    <w:p w14:paraId="4A3E76E4" w14:textId="77777777" w:rsidR="001232D3" w:rsidRPr="006D7F24" w:rsidRDefault="001232D3" w:rsidP="00B873A9">
      <w:pPr>
        <w:pStyle w:val="FootnoteText"/>
      </w:pPr>
      <w:r w:rsidRPr="006D7F24">
        <w:rPr>
          <w:rStyle w:val="FootnoteReference"/>
        </w:rPr>
        <w:footnoteRef/>
      </w:r>
      <w:r w:rsidRPr="006D7F24">
        <w:t xml:space="preserve"> NIOSH 2016 Criteria Recommendations. p. 110.</w:t>
      </w:r>
    </w:p>
  </w:footnote>
  <w:footnote w:id="63">
    <w:p w14:paraId="11C32E66" w14:textId="69266377" w:rsidR="001232D3" w:rsidRPr="006D7F24" w:rsidRDefault="001232D3" w:rsidP="00DC567B">
      <w:pPr>
        <w:pStyle w:val="FootnoteText"/>
      </w:pPr>
      <w:r w:rsidRPr="006D7F24">
        <w:rPr>
          <w:rStyle w:val="FootnoteReference"/>
        </w:rPr>
        <w:footnoteRef/>
      </w:r>
      <w:r w:rsidRPr="006D7F24">
        <w:t xml:space="preserve"> </w:t>
      </w:r>
      <w:r w:rsidRPr="006D7F24">
        <w:rPr>
          <w:rFonts w:asciiTheme="majorBidi" w:hAnsiTheme="majorBidi" w:cstheme="majorBidi"/>
        </w:rPr>
        <w:t>NIOSH 2016 Criteria Recommendations. p. 96.</w:t>
      </w:r>
    </w:p>
  </w:footnote>
  <w:footnote w:id="64">
    <w:p w14:paraId="07D7C724" w14:textId="77777777" w:rsidR="001232D3" w:rsidRPr="006D7F24" w:rsidRDefault="001232D3" w:rsidP="00DC567B">
      <w:pPr>
        <w:pStyle w:val="FootnoteText"/>
      </w:pPr>
      <w:r w:rsidRPr="006D7F24">
        <w:rPr>
          <w:rStyle w:val="FootnoteReference"/>
        </w:rPr>
        <w:footnoteRef/>
      </w:r>
      <w:r w:rsidRPr="006D7F24">
        <w:t xml:space="preserve"> BLS seasonally adjusted employment data for April 2018.</w:t>
      </w:r>
    </w:p>
  </w:footnote>
  <w:footnote w:id="65">
    <w:p w14:paraId="7BFF5983" w14:textId="0F176742" w:rsidR="001232D3" w:rsidRPr="006D7F24" w:rsidRDefault="001232D3" w:rsidP="00DC567B">
      <w:pPr>
        <w:pStyle w:val="FootnoteText"/>
      </w:pPr>
      <w:r w:rsidRPr="006D7F24">
        <w:rPr>
          <w:rStyle w:val="FootnoteReference"/>
        </w:rPr>
        <w:footnoteRef/>
      </w:r>
      <w:r w:rsidRPr="006D7F24">
        <w:t xml:space="preserve"> BLS seasonally adjusted employment for California, Minnesota, and Washington totals 2</w:t>
      </w:r>
      <w:r>
        <w:t>5.1</w:t>
      </w:r>
      <w:r w:rsidRPr="006D7F24">
        <w:t xml:space="preserve"> million.</w:t>
      </w:r>
    </w:p>
  </w:footnote>
  <w:footnote w:id="66">
    <w:p w14:paraId="16A96A77" w14:textId="11C41FDE" w:rsidR="001232D3" w:rsidRDefault="001232D3">
      <w:pPr>
        <w:pStyle w:val="FootnoteText"/>
      </w:pPr>
      <w:r>
        <w:rPr>
          <w:rStyle w:val="FootnoteReference"/>
        </w:rPr>
        <w:footnoteRef/>
      </w:r>
      <w:r>
        <w:t xml:space="preserve"> </w:t>
      </w:r>
      <w:r>
        <w:rPr>
          <w:rFonts w:asciiTheme="majorBidi" w:hAnsiTheme="majorBidi" w:cstheme="majorBidi"/>
          <w:szCs w:val="24"/>
        </w:rPr>
        <w:t>See Table 1 for elements of existing state standards.</w:t>
      </w:r>
    </w:p>
  </w:footnote>
  <w:footnote w:id="67">
    <w:p w14:paraId="282CE1DA" w14:textId="3B8E1B00" w:rsidR="001232D3" w:rsidRDefault="001232D3" w:rsidP="004A1C21">
      <w:pPr>
        <w:pStyle w:val="FootnoteText"/>
      </w:pPr>
      <w:r w:rsidRPr="00C359E0">
        <w:rPr>
          <w:rStyle w:val="FootnoteReference"/>
        </w:rPr>
        <w:footnoteRef/>
      </w:r>
      <w:r w:rsidRPr="00C359E0">
        <w:t xml:space="preserve"> Florida Department of Health. Descriptive analysis of occupational heat-related illness treated in Florida hospitals and emergency departments. June 2011.</w:t>
      </w:r>
    </w:p>
  </w:footnote>
  <w:footnote w:id="68">
    <w:p w14:paraId="3B3477E5" w14:textId="76D73464" w:rsidR="001232D3" w:rsidRPr="006D7F24" w:rsidRDefault="001232D3">
      <w:pPr>
        <w:pStyle w:val="FootnoteText"/>
      </w:pPr>
      <w:r w:rsidRPr="006D7F24">
        <w:rPr>
          <w:rStyle w:val="FootnoteReference"/>
        </w:rPr>
        <w:footnoteRef/>
      </w:r>
      <w:r w:rsidRPr="006D7F24">
        <w:t xml:space="preserve"> The numbers for heat stroke are 464 and 0.38 cases per 1,000 person-years; for heat exhaustion they are 1,699 and 1.41 cases per 1,000 pers</w:t>
      </w:r>
      <w:r w:rsidR="00392841">
        <w:t>on-years. Defense Health Agency.</w:t>
      </w:r>
      <w:r w:rsidRPr="006D7F24">
        <w:t xml:space="preserve"> Work/</w:t>
      </w:r>
      <w:r w:rsidR="00A75516">
        <w:t>r</w:t>
      </w:r>
      <w:r w:rsidRPr="006D7F24">
        <w:t xml:space="preserve">est </w:t>
      </w:r>
      <w:r w:rsidR="00A75516">
        <w:t>t</w:t>
      </w:r>
      <w:r w:rsidRPr="006D7F24">
        <w:t xml:space="preserve">imes and </w:t>
      </w:r>
      <w:r w:rsidR="00A75516">
        <w:t>f</w:t>
      </w:r>
      <w:r w:rsidRPr="006D7F24">
        <w:t xml:space="preserve">luid </w:t>
      </w:r>
      <w:r w:rsidR="00A75516">
        <w:t>r</w:t>
      </w:r>
      <w:r w:rsidRPr="006D7F24">
        <w:t xml:space="preserve">eplacement </w:t>
      </w:r>
      <w:r w:rsidR="00A75516">
        <w:t>guide.</w:t>
      </w:r>
      <w:r w:rsidRPr="006D7F24">
        <w:t xml:space="preserve"> </w:t>
      </w:r>
      <w:r w:rsidRPr="00A75516">
        <w:rPr>
          <w:i/>
        </w:rPr>
        <w:t>Medical Monthly Surveillance Report</w:t>
      </w:r>
      <w:r w:rsidR="00B137D4">
        <w:t>.</w:t>
      </w:r>
      <w:r w:rsidRPr="006D7F24">
        <w:t xml:space="preserve"> </w:t>
      </w:r>
      <w:r w:rsidR="00A75516">
        <w:t>2018;</w:t>
      </w:r>
      <w:r w:rsidRPr="006D7F24">
        <w:t>25</w:t>
      </w:r>
      <w:r w:rsidR="00A75516">
        <w:t>(4):</w:t>
      </w:r>
      <w:r w:rsidRPr="006D7F24">
        <w:t>8. Only 69 of these cases were diagnosed in Iraq or Afghanistan. Ibid. p. 10.</w:t>
      </w:r>
    </w:p>
  </w:footnote>
  <w:footnote w:id="69">
    <w:p w14:paraId="2D31D28D" w14:textId="2A256A06" w:rsidR="001232D3" w:rsidRDefault="001232D3">
      <w:pPr>
        <w:pStyle w:val="FootnoteText"/>
      </w:pPr>
      <w:r>
        <w:rPr>
          <w:rStyle w:val="FootnoteReference"/>
        </w:rPr>
        <w:footnoteRef/>
      </w:r>
      <w:r>
        <w:t xml:space="preserve"> The heat index is a measure of how hot it feels when relative humidity of the air is taken into account along with air temperature. </w:t>
      </w:r>
      <w:r w:rsidRPr="00C359E0">
        <w:rPr>
          <w:rFonts w:asciiTheme="majorBidi" w:hAnsiTheme="majorBidi" w:cstheme="majorBidi"/>
        </w:rPr>
        <w:t>NIOSH 2016 Criteria Recommendations. p. 158.</w:t>
      </w:r>
    </w:p>
  </w:footnote>
  <w:footnote w:id="70">
    <w:p w14:paraId="03CDAEB8" w14:textId="76068723" w:rsidR="001232D3" w:rsidRPr="006D7F24" w:rsidRDefault="001232D3">
      <w:pPr>
        <w:pStyle w:val="FootnoteText"/>
      </w:pPr>
      <w:r w:rsidRPr="006D7F24">
        <w:rPr>
          <w:rStyle w:val="FootnoteReference"/>
        </w:rPr>
        <w:footnoteRef/>
      </w:r>
      <w:r w:rsidRPr="006D7F24">
        <w:t xml:space="preserve"> </w:t>
      </w:r>
      <w:r w:rsidRPr="006D7F24">
        <w:rPr>
          <w:rFonts w:asciiTheme="majorBidi" w:hAnsiTheme="majorBidi" w:cstheme="majorBidi"/>
        </w:rPr>
        <w:t xml:space="preserve">Arbury S, Lindsley M, Hodgson M. A critical review of OSHA heat enforcement cases: Lessons learned. </w:t>
      </w:r>
      <w:r w:rsidRPr="006D7F24">
        <w:rPr>
          <w:rFonts w:asciiTheme="majorBidi" w:hAnsiTheme="majorBidi" w:cstheme="majorBidi"/>
          <w:i/>
          <w:iCs/>
        </w:rPr>
        <w:t>J Occup Environ Med</w:t>
      </w:r>
      <w:r w:rsidRPr="006D7F24">
        <w:rPr>
          <w:rFonts w:asciiTheme="majorBidi" w:hAnsiTheme="majorBidi" w:cstheme="majorBidi"/>
        </w:rPr>
        <w:t>. 2016;58(4):359-363.</w:t>
      </w:r>
      <w:r>
        <w:rPr>
          <w:rFonts w:asciiTheme="majorBidi" w:hAnsiTheme="majorBidi" w:cstheme="majorBidi"/>
        </w:rPr>
        <w:t xml:space="preserve"> p. 361.</w:t>
      </w:r>
    </w:p>
  </w:footnote>
  <w:footnote w:id="71">
    <w:p w14:paraId="6EF1EF65" w14:textId="4063E731" w:rsidR="001232D3" w:rsidRPr="006D7F24" w:rsidRDefault="001232D3">
      <w:pPr>
        <w:pStyle w:val="FootnoteText"/>
      </w:pPr>
      <w:r w:rsidRPr="006D7F24">
        <w:rPr>
          <w:rStyle w:val="FootnoteReference"/>
        </w:rPr>
        <w:footnoteRef/>
      </w:r>
      <w:r w:rsidRPr="006D7F24">
        <w:t xml:space="preserve"> </w:t>
      </w:r>
      <w:r>
        <w:t>Tustin A, Cannon D</w:t>
      </w:r>
      <w:r w:rsidR="009B09CD">
        <w:t xml:space="preserve">, Arbury S, </w:t>
      </w:r>
      <w:r w:rsidR="00F43EA2">
        <w:t>et al</w:t>
      </w:r>
      <w:r w:rsidR="009B09CD">
        <w:t>.</w:t>
      </w:r>
      <w:r>
        <w:t xml:space="preserve"> Risk factors for heat-related illness in U.S. workers: An OSHA case series. </w:t>
      </w:r>
      <w:r w:rsidRPr="006D7F24">
        <w:rPr>
          <w:rFonts w:asciiTheme="majorBidi" w:hAnsiTheme="majorBidi" w:cstheme="majorBidi"/>
          <w:i/>
          <w:iCs/>
        </w:rPr>
        <w:t>J Occup Environ Med</w:t>
      </w:r>
      <w:r w:rsidRPr="006D7F24">
        <w:rPr>
          <w:rFonts w:asciiTheme="majorBidi" w:hAnsiTheme="majorBidi" w:cstheme="majorBidi"/>
        </w:rPr>
        <w:t>.</w:t>
      </w:r>
      <w:r>
        <w:rPr>
          <w:rFonts w:asciiTheme="majorBidi" w:hAnsiTheme="majorBidi" w:cstheme="majorBidi"/>
        </w:rPr>
        <w:t xml:space="preserve"> </w:t>
      </w:r>
      <w:r w:rsidRPr="00443128">
        <w:rPr>
          <w:rFonts w:asciiTheme="majorBidi" w:hAnsiTheme="majorBidi" w:cstheme="majorBidi"/>
        </w:rPr>
        <w:t xml:space="preserve">May 30, 2018 </w:t>
      </w:r>
      <w:r>
        <w:rPr>
          <w:rFonts w:asciiTheme="majorBidi" w:hAnsiTheme="majorBidi" w:cstheme="majorBidi"/>
        </w:rPr>
        <w:t>–</w:t>
      </w:r>
      <w:r w:rsidRPr="00443128">
        <w:rPr>
          <w:rFonts w:asciiTheme="majorBidi" w:hAnsiTheme="majorBidi" w:cstheme="majorBidi"/>
        </w:rPr>
        <w:t xml:space="preserve"> Volume Publish Ahead of Print</w:t>
      </w:r>
      <w:r>
        <w:rPr>
          <w:rFonts w:asciiTheme="majorBidi" w:hAnsiTheme="majorBidi" w:cstheme="majorBidi"/>
        </w:rPr>
        <w:t>. p. 7.</w:t>
      </w:r>
    </w:p>
  </w:footnote>
  <w:footnote w:id="72">
    <w:p w14:paraId="10F3622E" w14:textId="77EBB121" w:rsidR="001232D3" w:rsidRDefault="001232D3">
      <w:pPr>
        <w:pStyle w:val="FootnoteText"/>
      </w:pPr>
      <w:r>
        <w:rPr>
          <w:rStyle w:val="FootnoteReference"/>
        </w:rPr>
        <w:footnoteRef/>
      </w:r>
      <w:r>
        <w:t xml:space="preserve"> Michaels D, Howard J. </w:t>
      </w:r>
      <w:r w:rsidRPr="00732021">
        <w:t xml:space="preserve">Review of the OSHA-NIOSH </w:t>
      </w:r>
      <w:r>
        <w:t>r</w:t>
      </w:r>
      <w:r w:rsidRPr="00732021">
        <w:t xml:space="preserve">esponse to the Deepwater Horizon </w:t>
      </w:r>
      <w:r>
        <w:t>o</w:t>
      </w:r>
      <w:r w:rsidRPr="00732021">
        <w:t xml:space="preserve">il </w:t>
      </w:r>
      <w:r>
        <w:t>s</w:t>
      </w:r>
      <w:r w:rsidRPr="00732021">
        <w:t xml:space="preserve">pill: </w:t>
      </w:r>
      <w:r>
        <w:t>p</w:t>
      </w:r>
      <w:r w:rsidRPr="00732021">
        <w:t xml:space="preserve">rotecting the </w:t>
      </w:r>
      <w:r>
        <w:t>h</w:t>
      </w:r>
      <w:r w:rsidRPr="00732021">
        <w:t xml:space="preserve">ealth and </w:t>
      </w:r>
      <w:r>
        <w:t>s</w:t>
      </w:r>
      <w:r w:rsidRPr="00732021">
        <w:t xml:space="preserve">afety of </w:t>
      </w:r>
      <w:r>
        <w:t>c</w:t>
      </w:r>
      <w:r w:rsidRPr="00732021">
        <w:t xml:space="preserve">leanup </w:t>
      </w:r>
      <w:r>
        <w:t>w</w:t>
      </w:r>
      <w:r w:rsidRPr="00732021">
        <w:t>orkers</w:t>
      </w:r>
      <w:r>
        <w:t xml:space="preserve">. </w:t>
      </w:r>
      <w:r w:rsidRPr="00732021">
        <w:t xml:space="preserve">PLOS Currents Disasters. </w:t>
      </w:r>
      <w:r w:rsidR="00E530D8">
        <w:t xml:space="preserve">2012 </w:t>
      </w:r>
      <w:r>
        <w:t>July 18.</w:t>
      </w:r>
    </w:p>
  </w:footnote>
  <w:footnote w:id="73">
    <w:p w14:paraId="6B288818" w14:textId="49893A81" w:rsidR="001232D3" w:rsidRDefault="001232D3">
      <w:pPr>
        <w:pStyle w:val="FootnoteText"/>
      </w:pPr>
      <w:r>
        <w:rPr>
          <w:rStyle w:val="FootnoteReference"/>
        </w:rPr>
        <w:footnoteRef/>
      </w:r>
      <w:r>
        <w:t xml:space="preserve"> Ibid.</w:t>
      </w:r>
    </w:p>
  </w:footnote>
  <w:footnote w:id="74">
    <w:p w14:paraId="3F7019DB" w14:textId="5E67807A" w:rsidR="001232D3" w:rsidRDefault="001232D3">
      <w:pPr>
        <w:pStyle w:val="FootnoteText"/>
      </w:pPr>
      <w:r>
        <w:rPr>
          <w:rStyle w:val="FootnoteReference"/>
        </w:rPr>
        <w:footnoteRef/>
      </w:r>
      <w:r>
        <w:t xml:space="preserve"> Ibid.</w:t>
      </w:r>
    </w:p>
  </w:footnote>
  <w:footnote w:id="75">
    <w:p w14:paraId="40093D44" w14:textId="77777777" w:rsidR="001232D3" w:rsidRPr="006D7F24" w:rsidRDefault="001232D3" w:rsidP="00CC78CF">
      <w:pPr>
        <w:pStyle w:val="FootnoteText"/>
        <w:contextualSpacing/>
        <w:rPr>
          <w:rFonts w:asciiTheme="majorBidi" w:hAnsiTheme="majorBidi" w:cstheme="majorBidi"/>
        </w:rPr>
      </w:pPr>
      <w:r w:rsidRPr="006D7F24">
        <w:rPr>
          <w:rStyle w:val="FootnoteReference"/>
          <w:rFonts w:asciiTheme="majorBidi" w:hAnsiTheme="majorBidi" w:cstheme="majorBidi"/>
        </w:rPr>
        <w:footnoteRef/>
      </w:r>
      <w:r w:rsidRPr="006D7F24">
        <w:rPr>
          <w:rFonts w:asciiTheme="majorBidi" w:hAnsiTheme="majorBidi" w:cstheme="majorBidi"/>
        </w:rPr>
        <w:t xml:space="preserve"> California Department of Industrial Relations. </w:t>
      </w:r>
      <w:hyperlink r:id="rId25" w:history="1">
        <w:r w:rsidRPr="006D7F24">
          <w:rPr>
            <w:rStyle w:val="Hyperlink"/>
            <w:rFonts w:asciiTheme="majorBidi" w:hAnsiTheme="majorBidi" w:cstheme="majorBidi"/>
          </w:rPr>
          <w:t>https://www.dir.ca.gov/DIRNews/2005/IR2005-33.html</w:t>
        </w:r>
      </w:hyperlink>
      <w:r w:rsidRPr="006D7F24">
        <w:rPr>
          <w:rFonts w:asciiTheme="majorBidi" w:hAnsiTheme="majorBidi" w:cstheme="majorBidi"/>
        </w:rPr>
        <w:t>. Accessed March 14, 2018.</w:t>
      </w:r>
    </w:p>
  </w:footnote>
  <w:footnote w:id="76">
    <w:p w14:paraId="3D8034E4" w14:textId="5194ED38" w:rsidR="001232D3" w:rsidRPr="006D7F24" w:rsidRDefault="001232D3" w:rsidP="00CC78CF">
      <w:pPr>
        <w:pStyle w:val="FootnoteText"/>
        <w:contextualSpacing/>
        <w:rPr>
          <w:rFonts w:asciiTheme="majorBidi" w:hAnsiTheme="majorBidi" w:cstheme="majorBidi"/>
        </w:rPr>
      </w:pPr>
      <w:r w:rsidRPr="006D7F24">
        <w:rPr>
          <w:rStyle w:val="FootnoteReference"/>
          <w:rFonts w:asciiTheme="majorBidi" w:hAnsiTheme="majorBidi" w:cstheme="majorBidi"/>
        </w:rPr>
        <w:footnoteRef/>
      </w:r>
      <w:r w:rsidRPr="006D7F24">
        <w:rPr>
          <w:rFonts w:asciiTheme="majorBidi" w:hAnsiTheme="majorBidi" w:cstheme="majorBidi"/>
        </w:rPr>
        <w:t xml:space="preserve"> Wilson E. Heat </w:t>
      </w:r>
      <w:r w:rsidR="00C816B6">
        <w:rPr>
          <w:rFonts w:asciiTheme="majorBidi" w:hAnsiTheme="majorBidi" w:cstheme="majorBidi"/>
        </w:rPr>
        <w:t>s</w:t>
      </w:r>
      <w:r w:rsidRPr="006D7F24">
        <w:rPr>
          <w:rFonts w:asciiTheme="majorBidi" w:hAnsiTheme="majorBidi" w:cstheme="majorBidi"/>
        </w:rPr>
        <w:t xml:space="preserve">tress </w:t>
      </w:r>
      <w:r w:rsidR="00C816B6">
        <w:rPr>
          <w:rFonts w:asciiTheme="majorBidi" w:hAnsiTheme="majorBidi" w:cstheme="majorBidi"/>
        </w:rPr>
        <w:t>p</w:t>
      </w:r>
      <w:r w:rsidRPr="006D7F24">
        <w:rPr>
          <w:rFonts w:asciiTheme="majorBidi" w:hAnsiTheme="majorBidi" w:cstheme="majorBidi"/>
        </w:rPr>
        <w:t xml:space="preserve">revention </w:t>
      </w:r>
      <w:r w:rsidR="00C816B6">
        <w:rPr>
          <w:rFonts w:asciiTheme="majorBidi" w:hAnsiTheme="majorBidi" w:cstheme="majorBidi"/>
        </w:rPr>
        <w:t>h</w:t>
      </w:r>
      <w:r w:rsidRPr="006D7F24">
        <w:rPr>
          <w:rFonts w:asciiTheme="majorBidi" w:hAnsiTheme="majorBidi" w:cstheme="majorBidi"/>
        </w:rPr>
        <w:t xml:space="preserve">eats </w:t>
      </w:r>
      <w:r w:rsidR="00C816B6">
        <w:rPr>
          <w:rFonts w:asciiTheme="majorBidi" w:hAnsiTheme="majorBidi" w:cstheme="majorBidi"/>
        </w:rPr>
        <w:t>u</w:t>
      </w:r>
      <w:r w:rsidRPr="006D7F24">
        <w:rPr>
          <w:rFonts w:asciiTheme="majorBidi" w:hAnsiTheme="majorBidi" w:cstheme="majorBidi"/>
        </w:rPr>
        <w:t xml:space="preserve">p in California. </w:t>
      </w:r>
      <w:r w:rsidRPr="006D7F24">
        <w:rPr>
          <w:rFonts w:asciiTheme="majorBidi" w:hAnsiTheme="majorBidi" w:cstheme="majorBidi"/>
          <w:i/>
          <w:iCs/>
        </w:rPr>
        <w:t>EHS Today</w:t>
      </w:r>
      <w:r w:rsidRPr="006D7F24">
        <w:rPr>
          <w:rFonts w:asciiTheme="majorBidi" w:hAnsiTheme="majorBidi" w:cstheme="majorBidi"/>
        </w:rPr>
        <w:t xml:space="preserve">. June 1, 2008. </w:t>
      </w:r>
      <w:hyperlink r:id="rId26" w:history="1">
        <w:r w:rsidRPr="006D7F24">
          <w:rPr>
            <w:rStyle w:val="Hyperlink"/>
            <w:rFonts w:asciiTheme="majorBidi" w:hAnsiTheme="majorBidi" w:cstheme="majorBidi"/>
          </w:rPr>
          <w:t>http://ehstoday.com/mag/heat_stress_prevention/</w:t>
        </w:r>
      </w:hyperlink>
      <w:r w:rsidRPr="006D7F24">
        <w:rPr>
          <w:rFonts w:asciiTheme="majorBidi" w:hAnsiTheme="majorBidi" w:cstheme="majorBidi"/>
        </w:rPr>
        <w:t>. Accessed March 17, 2018.</w:t>
      </w:r>
    </w:p>
  </w:footnote>
  <w:footnote w:id="77">
    <w:p w14:paraId="7A79EAD6" w14:textId="411FD891" w:rsidR="001232D3" w:rsidRPr="006D7F24" w:rsidRDefault="001232D3" w:rsidP="00CC78CF">
      <w:pPr>
        <w:pStyle w:val="FootnoteText"/>
        <w:contextualSpacing/>
        <w:rPr>
          <w:rFonts w:asciiTheme="majorBidi" w:hAnsiTheme="majorBidi" w:cstheme="majorBidi"/>
        </w:rPr>
      </w:pPr>
      <w:r w:rsidRPr="006D7F24">
        <w:rPr>
          <w:rStyle w:val="FootnoteReference"/>
          <w:rFonts w:asciiTheme="majorBidi" w:hAnsiTheme="majorBidi" w:cstheme="majorBidi"/>
        </w:rPr>
        <w:footnoteRef/>
      </w:r>
      <w:r w:rsidRPr="006D7F24">
        <w:rPr>
          <w:rFonts w:asciiTheme="majorBidi" w:hAnsiTheme="majorBidi" w:cstheme="majorBidi"/>
        </w:rPr>
        <w:t xml:space="preserve"> California Code of Regulation</w:t>
      </w:r>
      <w:r w:rsidR="00302A47">
        <w:rPr>
          <w:rFonts w:asciiTheme="majorBidi" w:hAnsiTheme="majorBidi" w:cstheme="majorBidi"/>
        </w:rPr>
        <w:t>s. Title 8, section 3395, Heat i</w:t>
      </w:r>
      <w:r w:rsidRPr="006D7F24">
        <w:rPr>
          <w:rFonts w:asciiTheme="majorBidi" w:hAnsiTheme="majorBidi" w:cstheme="majorBidi"/>
        </w:rPr>
        <w:t xml:space="preserve">llness </w:t>
      </w:r>
      <w:r w:rsidR="00302A47">
        <w:rPr>
          <w:rFonts w:asciiTheme="majorBidi" w:hAnsiTheme="majorBidi" w:cstheme="majorBidi"/>
        </w:rPr>
        <w:t>p</w:t>
      </w:r>
      <w:r w:rsidRPr="006D7F24">
        <w:rPr>
          <w:rFonts w:asciiTheme="majorBidi" w:hAnsiTheme="majorBidi" w:cstheme="majorBidi"/>
        </w:rPr>
        <w:t xml:space="preserve">revention. </w:t>
      </w:r>
      <w:hyperlink r:id="rId27" w:history="1">
        <w:r w:rsidRPr="006D7F24">
          <w:rPr>
            <w:rStyle w:val="Hyperlink"/>
            <w:rFonts w:asciiTheme="majorBidi" w:hAnsiTheme="majorBidi" w:cstheme="majorBidi"/>
          </w:rPr>
          <w:t>http://www.dir.ca.gov/title8/3395.html</w:t>
        </w:r>
      </w:hyperlink>
      <w:r w:rsidRPr="006D7F24">
        <w:rPr>
          <w:rFonts w:asciiTheme="majorBidi" w:hAnsiTheme="majorBidi" w:cstheme="majorBidi"/>
        </w:rPr>
        <w:t xml:space="preserve">. </w:t>
      </w:r>
    </w:p>
  </w:footnote>
  <w:footnote w:id="78">
    <w:p w14:paraId="3233160B" w14:textId="77777777" w:rsidR="001232D3" w:rsidRPr="006D7F24" w:rsidRDefault="001232D3" w:rsidP="00CC78CF">
      <w:pPr>
        <w:pStyle w:val="FootnoteText"/>
        <w:contextualSpacing/>
        <w:rPr>
          <w:rFonts w:asciiTheme="majorBidi" w:hAnsiTheme="majorBidi" w:cstheme="majorBidi"/>
        </w:rPr>
      </w:pPr>
      <w:r w:rsidRPr="006D7F24">
        <w:rPr>
          <w:rStyle w:val="FootnoteReference"/>
          <w:rFonts w:asciiTheme="majorBidi" w:hAnsiTheme="majorBidi" w:cstheme="majorBidi"/>
        </w:rPr>
        <w:footnoteRef/>
      </w:r>
      <w:r w:rsidRPr="006D7F24">
        <w:rPr>
          <w:rFonts w:asciiTheme="majorBidi" w:hAnsiTheme="majorBidi" w:cstheme="majorBidi"/>
        </w:rPr>
        <w:t xml:space="preserve"> Obtained from Cal/OSHA on August 2, 2011. Data compiled from federal IMIS database.</w:t>
      </w:r>
    </w:p>
  </w:footnote>
  <w:footnote w:id="79">
    <w:p w14:paraId="5358787C" w14:textId="00617AAA" w:rsidR="001232D3" w:rsidRDefault="001232D3">
      <w:pPr>
        <w:pStyle w:val="FootnoteText"/>
      </w:pPr>
      <w:r>
        <w:rPr>
          <w:rStyle w:val="FootnoteReference"/>
        </w:rPr>
        <w:footnoteRef/>
      </w:r>
      <w:r>
        <w:t xml:space="preserve"> Data o</w:t>
      </w:r>
      <w:r w:rsidRPr="006D7F24">
        <w:rPr>
          <w:rFonts w:asciiTheme="majorBidi" w:hAnsiTheme="majorBidi" w:cstheme="majorBidi"/>
        </w:rPr>
        <w:t xml:space="preserve">btained from Cal/OSHA on August 2, 2011 and presented in </w:t>
      </w:r>
      <w:r>
        <w:rPr>
          <w:rFonts w:asciiTheme="majorBidi" w:hAnsiTheme="majorBidi" w:cstheme="majorBidi"/>
        </w:rPr>
        <w:t xml:space="preserve">a </w:t>
      </w:r>
      <w:r w:rsidRPr="006D7F24">
        <w:rPr>
          <w:rFonts w:asciiTheme="majorBidi" w:hAnsiTheme="majorBidi" w:cstheme="majorBidi"/>
        </w:rPr>
        <w:t xml:space="preserve">September 2011 petition by Public Citizen et al. to OSHA for a federal heat stress standard. </w:t>
      </w:r>
      <w:hyperlink r:id="rId28" w:history="1">
        <w:r w:rsidRPr="006D7F24">
          <w:rPr>
            <w:rStyle w:val="Hyperlink"/>
            <w:rFonts w:asciiTheme="majorBidi" w:hAnsiTheme="majorBidi" w:cstheme="majorBidi"/>
          </w:rPr>
          <w:t>https://www.citizen.org/sites/default/files/petition-for-a-heat-standard-090111.pdf</w:t>
        </w:r>
      </w:hyperlink>
      <w:r w:rsidRPr="006D7F24">
        <w:rPr>
          <w:rFonts w:asciiTheme="majorBidi" w:hAnsiTheme="majorBidi" w:cstheme="majorBidi"/>
        </w:rPr>
        <w:t>. Per Cal/OSHA, data were compiled from federal IMIS database. We have sought mor</w:t>
      </w:r>
      <w:r>
        <w:rPr>
          <w:rFonts w:asciiTheme="majorBidi" w:hAnsiTheme="majorBidi" w:cstheme="majorBidi"/>
        </w:rPr>
        <w:t xml:space="preserve">e recent data from Cal/OSHA but have not received it at the </w:t>
      </w:r>
      <w:r w:rsidRPr="006D7F24">
        <w:rPr>
          <w:rFonts w:asciiTheme="majorBidi" w:hAnsiTheme="majorBidi" w:cstheme="majorBidi"/>
        </w:rPr>
        <w:t>time of this writing.</w:t>
      </w:r>
    </w:p>
  </w:footnote>
  <w:footnote w:id="80">
    <w:p w14:paraId="6CE1790A" w14:textId="77777777" w:rsidR="001232D3" w:rsidRPr="006D7F24" w:rsidRDefault="001232D3" w:rsidP="00CC78CF">
      <w:pPr>
        <w:pStyle w:val="FootnoteText"/>
        <w:contextualSpacing/>
        <w:rPr>
          <w:rFonts w:asciiTheme="majorBidi" w:hAnsiTheme="majorBidi" w:cstheme="majorBidi"/>
        </w:rPr>
      </w:pPr>
      <w:r w:rsidRPr="006D7F24">
        <w:rPr>
          <w:rStyle w:val="FootnoteReference"/>
          <w:rFonts w:asciiTheme="majorBidi" w:hAnsiTheme="majorBidi" w:cstheme="majorBidi"/>
        </w:rPr>
        <w:footnoteRef/>
      </w:r>
      <w:r w:rsidRPr="006D7F24">
        <w:rPr>
          <w:rFonts w:asciiTheme="majorBidi" w:hAnsiTheme="majorBidi" w:cstheme="majorBidi"/>
        </w:rPr>
        <w:t xml:space="preserve"> </w:t>
      </w:r>
      <w:r w:rsidRPr="006D7F24">
        <w:rPr>
          <w:rFonts w:asciiTheme="majorBidi" w:hAnsiTheme="majorBidi" w:cstheme="majorBidi"/>
          <w:color w:val="000000"/>
        </w:rPr>
        <w:t xml:space="preserve">Occupational Safety and Health Administration. General Duty Standard search. </w:t>
      </w:r>
      <w:hyperlink r:id="rId29" w:history="1">
        <w:r w:rsidRPr="006D7F24">
          <w:rPr>
            <w:rStyle w:val="Hyperlink"/>
            <w:rFonts w:asciiTheme="majorBidi" w:hAnsiTheme="majorBidi" w:cstheme="majorBidi"/>
          </w:rPr>
          <w:t>https://www.osha.gov/pls/imis/generalsearch.html</w:t>
        </w:r>
      </w:hyperlink>
      <w:r w:rsidRPr="006D7F24">
        <w:rPr>
          <w:rFonts w:asciiTheme="majorBidi" w:hAnsiTheme="majorBidi" w:cstheme="majorBidi"/>
          <w:color w:val="000000"/>
        </w:rPr>
        <w:t>. Accessed January 11, 2018.</w:t>
      </w:r>
    </w:p>
  </w:footnote>
  <w:footnote w:id="81">
    <w:p w14:paraId="20ED54B1" w14:textId="557E95BB" w:rsidR="001232D3" w:rsidRPr="006D7F24" w:rsidRDefault="001232D3" w:rsidP="00CC78CF">
      <w:pPr>
        <w:pStyle w:val="FootnoteText"/>
        <w:contextualSpacing/>
        <w:rPr>
          <w:rFonts w:asciiTheme="majorBidi" w:hAnsiTheme="majorBidi" w:cstheme="majorBidi"/>
        </w:rPr>
      </w:pPr>
      <w:r w:rsidRPr="006D7F24">
        <w:rPr>
          <w:rStyle w:val="FootnoteReference"/>
          <w:rFonts w:asciiTheme="majorBidi" w:hAnsiTheme="majorBidi" w:cstheme="majorBidi"/>
        </w:rPr>
        <w:footnoteRef/>
      </w:r>
      <w:r w:rsidRPr="006D7F24">
        <w:rPr>
          <w:rFonts w:asciiTheme="majorBidi" w:hAnsiTheme="majorBidi" w:cstheme="majorBidi"/>
        </w:rPr>
        <w:t xml:space="preserve"> </w:t>
      </w:r>
      <w:r>
        <w:rPr>
          <w:rFonts w:asciiTheme="majorBidi" w:hAnsiTheme="majorBidi" w:cstheme="majorBidi"/>
        </w:rPr>
        <w:t>Data o</w:t>
      </w:r>
      <w:r w:rsidRPr="006D7F24">
        <w:rPr>
          <w:rFonts w:asciiTheme="majorBidi" w:hAnsiTheme="majorBidi" w:cstheme="majorBidi"/>
        </w:rPr>
        <w:t>btained from Cal/OSHA</w:t>
      </w:r>
      <w:r>
        <w:rPr>
          <w:rFonts w:asciiTheme="majorBidi" w:hAnsiTheme="majorBidi" w:cstheme="majorBidi"/>
        </w:rPr>
        <w:t xml:space="preserve">, as discussed in note </w:t>
      </w:r>
      <w:r>
        <w:rPr>
          <w:rFonts w:asciiTheme="majorBidi" w:hAnsiTheme="majorBidi" w:cstheme="majorBidi"/>
        </w:rPr>
        <w:fldChar w:fldCharType="begin"/>
      </w:r>
      <w:r>
        <w:rPr>
          <w:rFonts w:asciiTheme="majorBidi" w:hAnsiTheme="majorBidi" w:cstheme="majorBidi"/>
        </w:rPr>
        <w:instrText xml:space="preserve"> NOTEREF _Ref518377041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83</w:t>
      </w:r>
      <w:r>
        <w:rPr>
          <w:rFonts w:asciiTheme="majorBidi" w:hAnsiTheme="majorBidi" w:cstheme="majorBidi"/>
        </w:rPr>
        <w:fldChar w:fldCharType="end"/>
      </w:r>
      <w:r>
        <w:rPr>
          <w:rFonts w:asciiTheme="majorBidi" w:hAnsiTheme="majorBidi" w:cstheme="majorBidi"/>
        </w:rPr>
        <w:t>.</w:t>
      </w:r>
    </w:p>
  </w:footnote>
  <w:footnote w:id="82">
    <w:p w14:paraId="6595128B" w14:textId="1DCEE18E" w:rsidR="001232D3" w:rsidRDefault="001232D3">
      <w:pPr>
        <w:pStyle w:val="FootnoteText"/>
      </w:pPr>
      <w:r>
        <w:rPr>
          <w:rStyle w:val="FootnoteReference"/>
        </w:rPr>
        <w:footnoteRef/>
      </w:r>
      <w:r>
        <w:t xml:space="preserve"> </w:t>
      </w:r>
      <w:r w:rsidRPr="001232D3">
        <w:t>Diane C. Mitchell, PhD, Javier Castro, BS, Tracey L. Armitage, MS, Alondra J. Vega-Arroyo, BS,Sally C. Moyce, PhDc, Daniel J. Tancredi, PhD, Deborah H. Bennett, PhD, James H. Jones, PhD, DVM,Tord Kjellstrom, PhD, and Marc B. Schenker, MD, MPH Recruitment, Methods, and Descriptive Results of a Physiologic Assessment of Latino Farmworkers: The California Heat Illness Prevention Study</w:t>
      </w:r>
      <w:r w:rsidR="00220018">
        <w:t>.</w:t>
      </w:r>
      <w:r w:rsidRPr="001232D3">
        <w:t xml:space="preserve"> JOEM</w:t>
      </w:r>
      <w:r w:rsidR="00220018">
        <w:t xml:space="preserve"> 2017; </w:t>
      </w:r>
      <w:r w:rsidRPr="001232D3">
        <w:t>59</w:t>
      </w:r>
      <w:r w:rsidR="00220018">
        <w:t>:</w:t>
      </w:r>
      <w:r w:rsidRPr="001232D3">
        <w:t xml:space="preserve"> 649</w:t>
      </w:r>
      <w:r w:rsidR="00220018">
        <w:t>-658.</w:t>
      </w:r>
    </w:p>
  </w:footnote>
  <w:footnote w:id="83">
    <w:p w14:paraId="63377694" w14:textId="77777777" w:rsidR="001232D3" w:rsidRPr="006D7F24" w:rsidRDefault="001232D3" w:rsidP="00ED710D">
      <w:pPr>
        <w:pStyle w:val="FootnoteText"/>
        <w:contextualSpacing/>
        <w:rPr>
          <w:rFonts w:asciiTheme="majorBidi" w:hAnsiTheme="majorBidi" w:cstheme="majorBidi"/>
        </w:rPr>
      </w:pPr>
      <w:r w:rsidRPr="006D7F24">
        <w:rPr>
          <w:rStyle w:val="FootnoteReference"/>
          <w:rFonts w:asciiTheme="majorBidi" w:hAnsiTheme="majorBidi" w:cstheme="majorBidi"/>
        </w:rPr>
        <w:footnoteRef/>
      </w:r>
      <w:r w:rsidRPr="006D7F24">
        <w:rPr>
          <w:rFonts w:asciiTheme="majorBidi" w:hAnsiTheme="majorBidi" w:cstheme="majorBidi"/>
        </w:rPr>
        <w:t xml:space="preserve"> National Institute for Occupational Safety and Health. Criteria for a Recommended Standard: Occupational Exposure to Hot Environments. DHHS (NIOSH) Publication Number 72-10269. 1972. </w:t>
      </w:r>
      <w:hyperlink r:id="rId30" w:history="1">
        <w:r w:rsidRPr="006D7F24">
          <w:rPr>
            <w:rStyle w:val="Hyperlink"/>
            <w:rFonts w:asciiTheme="majorBidi" w:hAnsiTheme="majorBidi" w:cstheme="majorBidi"/>
          </w:rPr>
          <w:t>https://www.cdc.gov/niosh/docs/72-10269/</w:t>
        </w:r>
      </w:hyperlink>
      <w:r w:rsidRPr="006D7F24">
        <w:rPr>
          <w:rFonts w:asciiTheme="majorBidi" w:hAnsiTheme="majorBidi" w:cstheme="majorBidi"/>
        </w:rPr>
        <w:t>. Accessed March 12, 2018.</w:t>
      </w:r>
    </w:p>
  </w:footnote>
  <w:footnote w:id="84">
    <w:p w14:paraId="61CD0359" w14:textId="77777777" w:rsidR="001232D3" w:rsidRPr="006D7F24" w:rsidRDefault="001232D3" w:rsidP="00ED710D">
      <w:pPr>
        <w:pStyle w:val="FootnoteText"/>
        <w:contextualSpacing/>
        <w:rPr>
          <w:rFonts w:asciiTheme="majorBidi" w:hAnsiTheme="majorBidi" w:cstheme="majorBidi"/>
        </w:rPr>
      </w:pPr>
      <w:r w:rsidRPr="006D7F24">
        <w:rPr>
          <w:rStyle w:val="FootnoteReference"/>
          <w:rFonts w:asciiTheme="majorBidi" w:hAnsiTheme="majorBidi" w:cstheme="majorBidi"/>
        </w:rPr>
        <w:footnoteRef/>
      </w:r>
      <w:r w:rsidRPr="006D7F24">
        <w:rPr>
          <w:rFonts w:asciiTheme="majorBidi" w:hAnsiTheme="majorBidi" w:cstheme="majorBidi"/>
        </w:rPr>
        <w:t xml:space="preserve"> National Institute for Occupational Safety and Health. DHHS (NIOSH) Publication No. 86-113. Criteria for a Recommended Standard: Occupational Exposure to Hot Environments (Revised Criteria 1986). April 1986. </w:t>
      </w:r>
      <w:hyperlink r:id="rId31" w:history="1">
        <w:r w:rsidRPr="006D7F24">
          <w:rPr>
            <w:rStyle w:val="Hyperlink"/>
            <w:rFonts w:asciiTheme="majorBidi" w:hAnsiTheme="majorBidi" w:cstheme="majorBidi"/>
          </w:rPr>
          <w:t>https://www.cdc.gov/niosh/docs/86-113/86-113.pdf</w:t>
        </w:r>
      </w:hyperlink>
      <w:r w:rsidRPr="006D7F24">
        <w:rPr>
          <w:rFonts w:asciiTheme="majorBidi" w:hAnsiTheme="majorBidi" w:cstheme="majorBidi"/>
        </w:rPr>
        <w:t>. Accessed March 12, 2018.</w:t>
      </w:r>
    </w:p>
  </w:footnote>
  <w:footnote w:id="85">
    <w:p w14:paraId="110669A4" w14:textId="77777777" w:rsidR="001232D3" w:rsidRPr="006D7F24" w:rsidRDefault="001232D3" w:rsidP="00ED710D">
      <w:pPr>
        <w:pStyle w:val="FootnoteText"/>
        <w:contextualSpacing/>
        <w:rPr>
          <w:rFonts w:asciiTheme="majorBidi" w:hAnsiTheme="majorBidi" w:cstheme="majorBidi"/>
        </w:rPr>
      </w:pPr>
      <w:r w:rsidRPr="006D7F24">
        <w:rPr>
          <w:rStyle w:val="FootnoteReference"/>
          <w:rFonts w:asciiTheme="majorBidi" w:hAnsiTheme="majorBidi" w:cstheme="majorBidi"/>
        </w:rPr>
        <w:footnoteRef/>
      </w:r>
      <w:r w:rsidRPr="006D7F24">
        <w:rPr>
          <w:rFonts w:asciiTheme="majorBidi" w:hAnsiTheme="majorBidi" w:cstheme="majorBidi"/>
        </w:rPr>
        <w:t xml:space="preserve"> NIOSH 2016 Criteria Recommendations.</w:t>
      </w:r>
    </w:p>
  </w:footnote>
  <w:footnote w:id="86">
    <w:p w14:paraId="3E0F792B" w14:textId="72C2A95D" w:rsidR="001232D3" w:rsidRPr="006D7F24" w:rsidRDefault="001232D3" w:rsidP="00ED710D">
      <w:pPr>
        <w:pStyle w:val="FootnoteText"/>
        <w:contextualSpacing/>
        <w:rPr>
          <w:rFonts w:asciiTheme="majorBidi" w:hAnsiTheme="majorBidi" w:cstheme="majorBidi"/>
        </w:rPr>
      </w:pPr>
      <w:r w:rsidRPr="006D7F24">
        <w:rPr>
          <w:rStyle w:val="FootnoteReference"/>
          <w:rFonts w:asciiTheme="majorBidi" w:hAnsiTheme="majorBidi" w:cstheme="majorBidi"/>
        </w:rPr>
        <w:footnoteRef/>
      </w:r>
      <w:r w:rsidRPr="006D7F24">
        <w:rPr>
          <w:rFonts w:asciiTheme="majorBidi" w:hAnsiTheme="majorBidi" w:cstheme="majorBidi"/>
        </w:rPr>
        <w:t xml:space="preserve"> Cal/OSHA - Title 8, Section 3395. Heat Illness Prevention. </w:t>
      </w:r>
      <w:hyperlink r:id="rId32" w:history="1">
        <w:r w:rsidRPr="006D7F24">
          <w:rPr>
            <w:rStyle w:val="Hyperlink"/>
            <w:rFonts w:asciiTheme="majorBidi" w:hAnsiTheme="majorBidi" w:cstheme="majorBidi"/>
          </w:rPr>
          <w:t>https://www.dir.ca.gov/title8/3395.html</w:t>
        </w:r>
      </w:hyperlink>
      <w:r w:rsidRPr="006D7F24">
        <w:rPr>
          <w:rFonts w:asciiTheme="majorBidi" w:hAnsiTheme="majorBidi" w:cstheme="majorBidi"/>
        </w:rPr>
        <w:t>. Accessed March 14, 2018.</w:t>
      </w:r>
    </w:p>
  </w:footnote>
  <w:footnote w:id="87">
    <w:p w14:paraId="72A8301F" w14:textId="5C141F74" w:rsidR="001232D3" w:rsidRPr="006D7F24" w:rsidRDefault="001232D3" w:rsidP="00ED710D">
      <w:pPr>
        <w:pStyle w:val="FootnoteText"/>
        <w:contextualSpacing/>
        <w:rPr>
          <w:rFonts w:asciiTheme="majorBidi" w:hAnsiTheme="majorBidi" w:cstheme="majorBidi"/>
        </w:rPr>
      </w:pPr>
      <w:r w:rsidRPr="006D7F24">
        <w:rPr>
          <w:rStyle w:val="FootnoteReference"/>
          <w:rFonts w:asciiTheme="majorBidi" w:hAnsiTheme="majorBidi" w:cstheme="majorBidi"/>
        </w:rPr>
        <w:footnoteRef/>
      </w:r>
      <w:r w:rsidRPr="006D7F24">
        <w:rPr>
          <w:rFonts w:asciiTheme="majorBidi" w:hAnsiTheme="majorBidi" w:cstheme="majorBidi"/>
        </w:rPr>
        <w:t xml:space="preserve"> Minnesota Administrative Rules. 5205.0110 Indoor Ventilation and Temperature in Places of Employment. </w:t>
      </w:r>
      <w:hyperlink r:id="rId33" w:history="1">
        <w:r w:rsidRPr="006D7F24">
          <w:rPr>
            <w:rStyle w:val="Hyperlink"/>
            <w:rFonts w:asciiTheme="majorBidi" w:hAnsiTheme="majorBidi" w:cstheme="majorBidi"/>
          </w:rPr>
          <w:t>https://www.revisor.mn.gov/rules/?id=5205.0110</w:t>
        </w:r>
      </w:hyperlink>
      <w:r w:rsidRPr="006D7F24">
        <w:rPr>
          <w:rFonts w:asciiTheme="majorBidi" w:hAnsiTheme="majorBidi" w:cstheme="majorBidi"/>
        </w:rPr>
        <w:t>. Accessed March 14, 2018.</w:t>
      </w:r>
    </w:p>
  </w:footnote>
  <w:footnote w:id="88">
    <w:p w14:paraId="394B1CBC" w14:textId="77777777" w:rsidR="001232D3" w:rsidRPr="006D7F24" w:rsidRDefault="001232D3" w:rsidP="00ED710D">
      <w:pPr>
        <w:pStyle w:val="FootnoteText"/>
        <w:contextualSpacing/>
        <w:rPr>
          <w:rFonts w:asciiTheme="majorBidi" w:hAnsiTheme="majorBidi" w:cstheme="majorBidi"/>
        </w:rPr>
      </w:pPr>
      <w:r w:rsidRPr="006D7F24">
        <w:rPr>
          <w:rStyle w:val="FootnoteReference"/>
          <w:rFonts w:asciiTheme="majorBidi" w:hAnsiTheme="majorBidi" w:cstheme="majorBidi"/>
        </w:rPr>
        <w:footnoteRef/>
      </w:r>
      <w:r w:rsidRPr="006D7F24">
        <w:rPr>
          <w:rFonts w:asciiTheme="majorBidi" w:hAnsiTheme="majorBidi" w:cstheme="majorBidi"/>
        </w:rPr>
        <w:t xml:space="preserve"> Washington State Legislature. General Occupational Health Standards. 296-62-095. Outdoor heat exposure. </w:t>
      </w:r>
      <w:hyperlink r:id="rId34" w:anchor="296-62-095" w:history="1">
        <w:r w:rsidRPr="006D7F24">
          <w:rPr>
            <w:rStyle w:val="Hyperlink"/>
            <w:rFonts w:asciiTheme="majorBidi" w:hAnsiTheme="majorBidi" w:cstheme="majorBidi"/>
          </w:rPr>
          <w:t>http://app.leg.wa.gov/WAC/default.aspx?cite=296-62&amp;full=true#296-62-095</w:t>
        </w:r>
      </w:hyperlink>
      <w:r w:rsidRPr="006D7F24">
        <w:rPr>
          <w:rFonts w:asciiTheme="majorBidi" w:hAnsiTheme="majorBidi" w:cstheme="majorBidi"/>
        </w:rPr>
        <w:t>. Accessed March 14, 2018.</w:t>
      </w:r>
    </w:p>
  </w:footnote>
  <w:footnote w:id="89">
    <w:p w14:paraId="119A1B5C" w14:textId="0B077A6A" w:rsidR="001232D3" w:rsidRPr="006D7F24" w:rsidRDefault="001232D3" w:rsidP="00ED710D">
      <w:pPr>
        <w:pStyle w:val="FootnoteText"/>
        <w:contextualSpacing/>
        <w:rPr>
          <w:rFonts w:asciiTheme="majorBidi" w:hAnsiTheme="majorBidi" w:cstheme="majorBidi"/>
        </w:rPr>
      </w:pPr>
      <w:r w:rsidRPr="006D7F24">
        <w:rPr>
          <w:rStyle w:val="FootnoteReference"/>
          <w:rFonts w:asciiTheme="majorBidi" w:hAnsiTheme="majorBidi" w:cstheme="majorBidi"/>
        </w:rPr>
        <w:footnoteRef/>
      </w:r>
      <w:r w:rsidRPr="006D7F24">
        <w:rPr>
          <w:rFonts w:asciiTheme="majorBidi" w:hAnsiTheme="majorBidi" w:cstheme="majorBidi"/>
        </w:rPr>
        <w:t xml:space="preserve"> California Legislative Information. Senate Bill No. 1167. Employment safety: indoor workers: heat regulations. Chapter 839. </w:t>
      </w:r>
      <w:hyperlink r:id="rId35" w:history="1">
        <w:r w:rsidRPr="006D7F24">
          <w:rPr>
            <w:rStyle w:val="Hyperlink"/>
            <w:rFonts w:asciiTheme="majorBidi" w:hAnsiTheme="majorBidi" w:cstheme="majorBidi"/>
          </w:rPr>
          <w:t>http://leginfo.legislature.ca.gov/faces/billNavClient.xhtml?bill_id=201520160SB1167</w:t>
        </w:r>
      </w:hyperlink>
      <w:r w:rsidRPr="006D7F24">
        <w:rPr>
          <w:rFonts w:asciiTheme="majorBidi" w:hAnsiTheme="majorBidi" w:cstheme="majorBidi"/>
        </w:rPr>
        <w:t>. Accessed March 13, 2018.</w:t>
      </w:r>
    </w:p>
  </w:footnote>
  <w:footnote w:id="90">
    <w:p w14:paraId="3D73D62E" w14:textId="17536DFA" w:rsidR="001232D3" w:rsidRPr="006D7F24" w:rsidRDefault="001232D3" w:rsidP="00740114">
      <w:pPr>
        <w:pStyle w:val="FootnoteText"/>
      </w:pPr>
      <w:r w:rsidRPr="006D7F24">
        <w:rPr>
          <w:rStyle w:val="FootnoteReference"/>
        </w:rPr>
        <w:footnoteRef/>
      </w:r>
      <w:r>
        <w:t xml:space="preserve"> </w:t>
      </w:r>
      <w:r w:rsidRPr="006D7F24">
        <w:t>Manual of Naval Preventive Medicine</w:t>
      </w:r>
      <w:r w:rsidRPr="006D7F24">
        <w:rPr>
          <w:i/>
        </w:rPr>
        <w:t>.</w:t>
      </w:r>
      <w:r w:rsidRPr="006D7F24">
        <w:t xml:space="preserve"> Department of the Navy. NAVMED P-5010-3 (Rev. 2-2009). pp. 3-15–3-19.</w:t>
      </w:r>
    </w:p>
  </w:footnote>
  <w:footnote w:id="91">
    <w:p w14:paraId="1FEC71B0" w14:textId="263C738D" w:rsidR="001232D3" w:rsidRPr="006D7F24" w:rsidRDefault="001232D3" w:rsidP="00740114">
      <w:pPr>
        <w:pStyle w:val="FootnoteText"/>
      </w:pPr>
      <w:r w:rsidRPr="006D7F24">
        <w:rPr>
          <w:rStyle w:val="FootnoteReference"/>
        </w:rPr>
        <w:footnoteRef/>
      </w:r>
      <w:r w:rsidRPr="006D7F24">
        <w:t xml:space="preserve"> Ibid. p. 3–17.</w:t>
      </w:r>
    </w:p>
  </w:footnote>
  <w:footnote w:id="92">
    <w:p w14:paraId="493C1F3E" w14:textId="077B0D4E" w:rsidR="001232D3" w:rsidRPr="006D7F24" w:rsidRDefault="001232D3" w:rsidP="00E942BE">
      <w:pPr>
        <w:pStyle w:val="FootnoteText"/>
      </w:pPr>
      <w:r w:rsidRPr="006D7F24">
        <w:rPr>
          <w:rStyle w:val="FootnoteReference"/>
        </w:rPr>
        <w:footnoteRef/>
      </w:r>
      <w:r w:rsidRPr="006D7F24">
        <w:t xml:space="preserve"> Marine Corps Heat and Cold Stress Injury Prevention Program. MARADMIN 111/15. March 9, 2015. </w:t>
      </w:r>
      <w:hyperlink r:id="rId36" w:history="1">
        <w:r w:rsidRPr="006D7F24">
          <w:rPr>
            <w:rStyle w:val="Hyperlink"/>
          </w:rPr>
          <w:t>https://www.marines.mil/News/Messages/Messages-Display/Article/897018/marine-corps-heat-and-cold-stress-injury-prevention-program/</w:t>
        </w:r>
      </w:hyperlink>
      <w:r w:rsidRPr="006D7F24">
        <w:t>. Accessed June 4, 2018.</w:t>
      </w:r>
    </w:p>
  </w:footnote>
  <w:footnote w:id="93">
    <w:p w14:paraId="36C77670" w14:textId="564ABA65" w:rsidR="001232D3" w:rsidRPr="006D7F24" w:rsidRDefault="001232D3" w:rsidP="00740114">
      <w:pPr>
        <w:pStyle w:val="FootnoteText"/>
      </w:pPr>
      <w:r w:rsidRPr="006D7F24">
        <w:rPr>
          <w:rStyle w:val="FootnoteReference"/>
        </w:rPr>
        <w:footnoteRef/>
      </w:r>
      <w:r w:rsidRPr="006D7F24">
        <w:t xml:space="preserve"> Marine Corps Base Order 6200.1A. July 22, 2002. pp.1–2.</w:t>
      </w:r>
    </w:p>
  </w:footnote>
  <w:footnote w:id="94">
    <w:p w14:paraId="3DDF40BC" w14:textId="6918FD04" w:rsidR="001232D3" w:rsidRPr="006D7F24" w:rsidRDefault="001232D3">
      <w:pPr>
        <w:pStyle w:val="FootnoteText"/>
      </w:pPr>
      <w:r w:rsidRPr="006D7F24">
        <w:rPr>
          <w:rStyle w:val="FootnoteReference"/>
        </w:rPr>
        <w:footnoteRef/>
      </w:r>
      <w:r w:rsidRPr="006D7F24">
        <w:t xml:space="preserve"> Technical Bulletin: Heat Stress Control and Heat Casualty Management. Headquarters, Departments of the Army and Air Force. TB MED 507 / AFPAM 48-152 (I). March 7, 2003.</w:t>
      </w:r>
    </w:p>
  </w:footnote>
  <w:footnote w:id="95">
    <w:p w14:paraId="6E13E8B9" w14:textId="00587377" w:rsidR="001232D3" w:rsidRPr="006D7F24" w:rsidRDefault="001232D3">
      <w:pPr>
        <w:pStyle w:val="FootnoteText"/>
      </w:pPr>
      <w:r w:rsidRPr="006D7F24">
        <w:rPr>
          <w:rStyle w:val="FootnoteReference"/>
        </w:rPr>
        <w:footnoteRef/>
      </w:r>
      <w:r w:rsidRPr="006D7F24">
        <w:t xml:space="preserve"> Technical Bulletin: Heat Stress Control and Heat Casualty Management. Headquarters, Departments of the Army and Air Force. TB MED 507 / AFPAM 48-152 (I). March 7, 2003. p. 16–18, Table 3-3.</w:t>
      </w:r>
    </w:p>
  </w:footnote>
  <w:footnote w:id="96">
    <w:p w14:paraId="39D818B1" w14:textId="429F1DF5" w:rsidR="001232D3" w:rsidRPr="006D7F24" w:rsidRDefault="001232D3" w:rsidP="003F0B72">
      <w:pPr>
        <w:pStyle w:val="FootnoteText"/>
        <w:contextualSpacing/>
        <w:rPr>
          <w:rFonts w:asciiTheme="majorBidi" w:hAnsiTheme="majorBidi" w:cstheme="majorBidi"/>
        </w:rPr>
      </w:pPr>
      <w:r w:rsidRPr="006D7F24">
        <w:rPr>
          <w:rStyle w:val="FootnoteReference"/>
          <w:rFonts w:asciiTheme="majorBidi" w:hAnsiTheme="majorBidi" w:cstheme="majorBidi"/>
        </w:rPr>
        <w:footnoteRef/>
      </w:r>
      <w:r w:rsidRPr="006D7F24">
        <w:rPr>
          <w:rFonts w:asciiTheme="majorBidi" w:hAnsiTheme="majorBidi" w:cstheme="majorBidi"/>
        </w:rPr>
        <w:t xml:space="preserve"> J</w:t>
      </w:r>
      <w:r>
        <w:rPr>
          <w:rFonts w:asciiTheme="majorBidi" w:hAnsiTheme="majorBidi" w:cstheme="majorBidi"/>
        </w:rPr>
        <w:t>ay O and Kenny GP.</w:t>
      </w:r>
      <w:r w:rsidRPr="006D7F24">
        <w:rPr>
          <w:rFonts w:asciiTheme="majorBidi" w:hAnsiTheme="majorBidi" w:cstheme="majorBidi"/>
        </w:rPr>
        <w:t xml:space="preserve"> Heat exposure in the Canadian workplace. </w:t>
      </w:r>
      <w:r w:rsidRPr="006D7F24">
        <w:rPr>
          <w:rFonts w:asciiTheme="majorBidi" w:hAnsiTheme="majorBidi" w:cstheme="majorBidi"/>
          <w:i/>
        </w:rPr>
        <w:t>Am. J. of Indus. Med</w:t>
      </w:r>
      <w:r w:rsidRPr="006D7F24">
        <w:rPr>
          <w:rFonts w:asciiTheme="majorBidi" w:hAnsiTheme="majorBidi" w:cstheme="majorBidi"/>
        </w:rPr>
        <w:t>. 2010;53:842–53. p. 845.</w:t>
      </w:r>
    </w:p>
  </w:footnote>
  <w:footnote w:id="97">
    <w:p w14:paraId="7A72CF45" w14:textId="19106803" w:rsidR="001232D3" w:rsidRPr="006D7F24" w:rsidRDefault="001232D3" w:rsidP="0046650A">
      <w:pPr>
        <w:pStyle w:val="FootnoteText"/>
      </w:pPr>
      <w:r w:rsidRPr="006D7F24">
        <w:rPr>
          <w:rStyle w:val="FootnoteReference"/>
        </w:rPr>
        <w:footnoteRef/>
      </w:r>
      <w:r w:rsidRPr="006D7F24">
        <w:t xml:space="preserve"> Canada Occupational Health and Safety Regulations § 9.9. </w:t>
      </w:r>
      <w:hyperlink r:id="rId37" w:anchor="h-96" w:history="1">
        <w:r w:rsidRPr="006D7F24">
          <w:rPr>
            <w:rStyle w:val="Hyperlink"/>
          </w:rPr>
          <w:t>http://laws.justice.gc.ca/eng/regulations/SOR-86-304/page-18.html#h-96</w:t>
        </w:r>
      </w:hyperlink>
      <w:r w:rsidRPr="006D7F24">
        <w:t xml:space="preserve">. </w:t>
      </w:r>
      <w:r>
        <w:t>Accessed</w:t>
      </w:r>
      <w:r w:rsidRPr="006D7F24">
        <w:t xml:space="preserve"> June 6, 2018.</w:t>
      </w:r>
    </w:p>
  </w:footnote>
  <w:footnote w:id="98">
    <w:p w14:paraId="21867CC9" w14:textId="5999F331" w:rsidR="001232D3" w:rsidRPr="006D7F24" w:rsidRDefault="001232D3" w:rsidP="0046650A">
      <w:pPr>
        <w:pStyle w:val="FootnoteText"/>
      </w:pPr>
      <w:r w:rsidRPr="006D7F24">
        <w:rPr>
          <w:rStyle w:val="FootnoteReference"/>
        </w:rPr>
        <w:footnoteRef/>
      </w:r>
      <w:r w:rsidRPr="006D7F24">
        <w:t xml:space="preserve"> Canada Occupational Health and Safety Regulations § 16.10(2)(b). </w:t>
      </w:r>
      <w:hyperlink r:id="rId38" w:anchor="h-259" w:history="1">
        <w:r w:rsidRPr="000B772D">
          <w:rPr>
            <w:rStyle w:val="Hyperlink"/>
          </w:rPr>
          <w:t>http://laws.justice.gc.ca/eng/regulations/SOR-86-304/page-42.html#h-259</w:t>
        </w:r>
      </w:hyperlink>
      <w:r w:rsidRPr="006D7F24">
        <w:t xml:space="preserve">. </w:t>
      </w:r>
      <w:r>
        <w:t>Accessed</w:t>
      </w:r>
      <w:r w:rsidRPr="006D7F24">
        <w:t xml:space="preserve"> June 6, 2018.</w:t>
      </w:r>
    </w:p>
  </w:footnote>
  <w:footnote w:id="99">
    <w:p w14:paraId="3F6DE218" w14:textId="7D49BF1A" w:rsidR="001232D3" w:rsidRPr="006D7F24" w:rsidRDefault="001232D3" w:rsidP="0046650A">
      <w:pPr>
        <w:pStyle w:val="FootnoteText"/>
      </w:pPr>
      <w:r w:rsidRPr="006D7F24">
        <w:rPr>
          <w:rStyle w:val="FootnoteReference"/>
        </w:rPr>
        <w:footnoteRef/>
      </w:r>
      <w:r w:rsidRPr="006D7F24">
        <w:t xml:space="preserve"> Canada Occupational Health and Safety Regulations § 14.9(2). </w:t>
      </w:r>
      <w:hyperlink r:id="rId39" w:anchor="h-202" w:history="1">
        <w:r w:rsidRPr="006D7F24">
          <w:rPr>
            <w:rStyle w:val="Hyperlink"/>
          </w:rPr>
          <w:t>http://laws.justice.gc.ca/eng/regulations/SOR-86-304/page-35.html#h-202</w:t>
        </w:r>
      </w:hyperlink>
      <w:r w:rsidRPr="006D7F24">
        <w:t xml:space="preserve">. </w:t>
      </w:r>
      <w:r>
        <w:t>Accessed</w:t>
      </w:r>
      <w:r w:rsidRPr="006D7F24">
        <w:t xml:space="preserve"> June 6, 2018.</w:t>
      </w:r>
    </w:p>
  </w:footnote>
  <w:footnote w:id="100">
    <w:p w14:paraId="615C272A" w14:textId="76C43D45" w:rsidR="001232D3" w:rsidRPr="006D7F24" w:rsidRDefault="001232D3" w:rsidP="00FC620B">
      <w:pPr>
        <w:pStyle w:val="FootnoteText"/>
      </w:pPr>
      <w:r w:rsidRPr="006D7F24">
        <w:rPr>
          <w:rStyle w:val="FootnoteReference"/>
        </w:rPr>
        <w:footnoteRef/>
      </w:r>
      <w:r w:rsidRPr="006D7F24">
        <w:t xml:space="preserve"> </w:t>
      </w:r>
      <w:r w:rsidRPr="006D7F24">
        <w:rPr>
          <w:rFonts w:asciiTheme="majorBidi" w:hAnsiTheme="majorBidi" w:cstheme="majorBidi"/>
        </w:rPr>
        <w:t xml:space="preserve">NIOSH 2016 Criteria Recommendations. p. 108. Taken by NIOSH from: Tanaka M. Heat stress standard for hot work environments in Japan. </w:t>
      </w:r>
      <w:r w:rsidRPr="006D7F24">
        <w:rPr>
          <w:rFonts w:asciiTheme="majorBidi" w:hAnsiTheme="majorBidi" w:cstheme="majorBidi"/>
          <w:i/>
          <w:iCs/>
        </w:rPr>
        <w:t>Ind Health</w:t>
      </w:r>
      <w:r w:rsidRPr="006D7F24">
        <w:rPr>
          <w:rFonts w:asciiTheme="majorBidi" w:hAnsiTheme="majorBidi" w:cstheme="majorBidi"/>
        </w:rPr>
        <w:t>. 2007;45(1):85–90.</w:t>
      </w:r>
    </w:p>
  </w:footnote>
  <w:footnote w:id="101">
    <w:p w14:paraId="3781DB82" w14:textId="46F32BFE" w:rsidR="001232D3" w:rsidRPr="006D7F24" w:rsidRDefault="001232D3" w:rsidP="00360794">
      <w:pPr>
        <w:pStyle w:val="FootnoteText"/>
        <w:contextualSpacing/>
        <w:rPr>
          <w:rFonts w:asciiTheme="majorBidi" w:hAnsiTheme="majorBidi" w:cstheme="majorBidi"/>
        </w:rPr>
      </w:pPr>
      <w:r w:rsidRPr="006D7F24">
        <w:rPr>
          <w:rStyle w:val="FootnoteReference"/>
          <w:rFonts w:asciiTheme="majorBidi" w:hAnsiTheme="majorBidi" w:cstheme="majorBidi"/>
        </w:rPr>
        <w:footnoteRef/>
      </w:r>
      <w:r w:rsidRPr="006D7F24">
        <w:rPr>
          <w:rFonts w:asciiTheme="majorBidi" w:hAnsiTheme="majorBidi" w:cstheme="majorBidi"/>
        </w:rPr>
        <w:t xml:space="preserve"> </w:t>
      </w:r>
      <w:r w:rsidRPr="006D7F24">
        <w:rPr>
          <w:rFonts w:asciiTheme="majorBidi" w:hAnsiTheme="majorBidi" w:cstheme="majorBidi"/>
          <w:color w:val="000000"/>
        </w:rPr>
        <w:t>NIOSH 2016 Criteria Recommendations. pp. 1–10.</w:t>
      </w:r>
    </w:p>
  </w:footnote>
  <w:footnote w:id="102">
    <w:p w14:paraId="0BCEDF93" w14:textId="5BB4B0D7" w:rsidR="001232D3" w:rsidRPr="006D7F24" w:rsidRDefault="001232D3" w:rsidP="00360794">
      <w:pPr>
        <w:pStyle w:val="FootnoteText"/>
      </w:pPr>
      <w:r w:rsidRPr="006D7F24">
        <w:rPr>
          <w:rStyle w:val="FootnoteReference"/>
        </w:rPr>
        <w:footnoteRef/>
      </w:r>
      <w:r w:rsidRPr="006D7F24">
        <w:t xml:space="preserve"> </w:t>
      </w:r>
      <w:r w:rsidRPr="006D7F24">
        <w:rPr>
          <w:rFonts w:asciiTheme="majorBidi" w:hAnsiTheme="majorBidi" w:cstheme="majorBidi"/>
        </w:rPr>
        <w:t>NIOSH 2016 Criteria Recommendations. p. 94.</w:t>
      </w:r>
    </w:p>
  </w:footnote>
  <w:footnote w:id="103">
    <w:p w14:paraId="1A63B99C" w14:textId="65C705D6" w:rsidR="001232D3" w:rsidRPr="006D7F24" w:rsidRDefault="001232D3" w:rsidP="00360794">
      <w:pPr>
        <w:pStyle w:val="FootnoteText"/>
      </w:pPr>
      <w:r w:rsidRPr="006D7F24">
        <w:rPr>
          <w:rStyle w:val="FootnoteReference"/>
        </w:rPr>
        <w:footnoteRef/>
      </w:r>
      <w:r w:rsidRPr="006D7F24">
        <w:t xml:space="preserve"> </w:t>
      </w:r>
      <w:r w:rsidRPr="006D7F24">
        <w:rPr>
          <w:rFonts w:asciiTheme="majorBidi" w:hAnsiTheme="majorBidi" w:cstheme="majorBidi"/>
        </w:rPr>
        <w:t>NIOSH 2016 Criteria Recommendations. p. 95.</w:t>
      </w:r>
    </w:p>
  </w:footnote>
  <w:footnote w:id="104">
    <w:p w14:paraId="71F5FF32" w14:textId="77777777" w:rsidR="001232D3" w:rsidRPr="006D7F24" w:rsidRDefault="001232D3" w:rsidP="008818CE">
      <w:pPr>
        <w:pStyle w:val="FootnoteText"/>
        <w:contextualSpacing/>
        <w:rPr>
          <w:rFonts w:asciiTheme="majorBidi" w:hAnsiTheme="majorBidi" w:cstheme="majorBidi"/>
        </w:rPr>
      </w:pPr>
      <w:r w:rsidRPr="006D7F24">
        <w:rPr>
          <w:rStyle w:val="FootnoteReference"/>
          <w:rFonts w:asciiTheme="majorBidi" w:hAnsiTheme="majorBidi" w:cstheme="majorBidi"/>
        </w:rPr>
        <w:footnoteRef/>
      </w:r>
      <w:r w:rsidRPr="006D7F24">
        <w:rPr>
          <w:rFonts w:asciiTheme="majorBidi" w:hAnsiTheme="majorBidi" w:cstheme="majorBidi"/>
        </w:rPr>
        <w:t xml:space="preserve"> Occupational Safety and Health Administration. OSHA Technical Manual. Section III: Chapter 4 (Heat Stress). Updated September 15, 2017. </w:t>
      </w:r>
      <w:hyperlink r:id="rId40" w:history="1">
        <w:r w:rsidRPr="006D7F24">
          <w:rPr>
            <w:rStyle w:val="Hyperlink"/>
            <w:rFonts w:asciiTheme="majorBidi" w:hAnsiTheme="majorBidi" w:cstheme="majorBidi"/>
          </w:rPr>
          <w:t>https://www.osha.gov/dts/osta/otm/otm_iii/otm_iii_4.html</w:t>
        </w:r>
      </w:hyperlink>
      <w:r w:rsidRPr="006D7F24">
        <w:rPr>
          <w:rFonts w:asciiTheme="majorBidi" w:hAnsiTheme="majorBidi" w:cstheme="majorBidi"/>
        </w:rPr>
        <w:t>. Accessed March 12, 2018.</w:t>
      </w:r>
    </w:p>
  </w:footnote>
  <w:footnote w:id="105">
    <w:p w14:paraId="196B36BE" w14:textId="58D6AB13" w:rsidR="001232D3" w:rsidRDefault="001232D3">
      <w:pPr>
        <w:pStyle w:val="FootnoteText"/>
      </w:pPr>
      <w:r>
        <w:rPr>
          <w:rStyle w:val="FootnoteReference"/>
        </w:rPr>
        <w:footnoteRef/>
      </w:r>
      <w:r>
        <w:t xml:space="preserve"> </w:t>
      </w:r>
      <w:r w:rsidRPr="00377F03">
        <w:rPr>
          <w:rFonts w:asciiTheme="majorBidi" w:hAnsiTheme="majorBidi" w:cstheme="majorBidi"/>
        </w:rPr>
        <w:t>NIOSH 2016 Criteria Recommendations. p. 3.</w:t>
      </w:r>
    </w:p>
  </w:footnote>
  <w:footnote w:id="106">
    <w:p w14:paraId="33852BC4" w14:textId="77777777" w:rsidR="001232D3" w:rsidRPr="006D7F24" w:rsidRDefault="001232D3" w:rsidP="00360794">
      <w:pPr>
        <w:pStyle w:val="FootnoteText"/>
        <w:contextualSpacing/>
        <w:rPr>
          <w:rFonts w:asciiTheme="majorBidi" w:hAnsiTheme="majorBidi" w:cstheme="majorBidi"/>
        </w:rPr>
      </w:pPr>
      <w:r w:rsidRPr="006D7F24">
        <w:rPr>
          <w:rStyle w:val="FootnoteReference"/>
          <w:rFonts w:asciiTheme="majorBidi" w:hAnsiTheme="majorBidi" w:cstheme="majorBidi"/>
        </w:rPr>
        <w:footnoteRef/>
      </w:r>
      <w:r w:rsidRPr="006D7F24">
        <w:rPr>
          <w:rFonts w:asciiTheme="majorBidi" w:hAnsiTheme="majorBidi" w:cstheme="majorBidi"/>
        </w:rPr>
        <w:t xml:space="preserve"> Occupational Safety and Health Administration. OSHA Technical Manual: Heat Stress. Section III: Chapter 4. </w:t>
      </w:r>
      <w:hyperlink r:id="rId41" w:anchor="metabolic" w:history="1">
        <w:r w:rsidRPr="006D7F24">
          <w:rPr>
            <w:rStyle w:val="Hyperlink"/>
            <w:rFonts w:asciiTheme="majorBidi" w:hAnsiTheme="majorBidi" w:cstheme="majorBidi"/>
          </w:rPr>
          <w:t>https://www.osha.gov/dts/osta/otm/otm_iii/otm_iii_4.html#metabolic</w:t>
        </w:r>
      </w:hyperlink>
      <w:r w:rsidRPr="006D7F24">
        <w:rPr>
          <w:rFonts w:asciiTheme="majorBidi" w:hAnsiTheme="majorBidi" w:cstheme="majorBidi"/>
        </w:rPr>
        <w:t>. Accessed March 17, 2018.</w:t>
      </w:r>
    </w:p>
  </w:footnote>
  <w:footnote w:id="107">
    <w:p w14:paraId="16ECDD71" w14:textId="068258F2" w:rsidR="001232D3" w:rsidRPr="006D7F24" w:rsidRDefault="001232D3" w:rsidP="00360794">
      <w:pPr>
        <w:pStyle w:val="FootnoteText"/>
        <w:contextualSpacing/>
        <w:rPr>
          <w:rFonts w:asciiTheme="majorBidi" w:hAnsiTheme="majorBidi" w:cstheme="majorBidi"/>
        </w:rPr>
      </w:pPr>
      <w:r w:rsidRPr="006D7F24">
        <w:rPr>
          <w:rStyle w:val="FootnoteReference"/>
          <w:rFonts w:asciiTheme="majorBidi" w:hAnsiTheme="majorBidi" w:cstheme="majorBidi"/>
        </w:rPr>
        <w:footnoteRef/>
      </w:r>
      <w:r w:rsidRPr="006D7F24">
        <w:rPr>
          <w:rFonts w:asciiTheme="majorBidi" w:hAnsiTheme="majorBidi" w:cstheme="majorBidi"/>
        </w:rPr>
        <w:t xml:space="preserve"> NIOSH 2016 Criteria Recommendations. p. 94–95. Note that the minutes per hour represent the amount of allowed work per hour, gradually decreasing as the WBGT (Y-axis) increases, keeping metabolic load constant.</w:t>
      </w:r>
    </w:p>
  </w:footnote>
  <w:footnote w:id="108">
    <w:p w14:paraId="17F7E65C" w14:textId="2A6EF917" w:rsidR="001232D3" w:rsidRPr="006D7F24" w:rsidRDefault="001232D3" w:rsidP="007757ED">
      <w:pPr>
        <w:pStyle w:val="FootnoteText"/>
        <w:contextualSpacing/>
        <w:rPr>
          <w:rFonts w:asciiTheme="majorBidi" w:hAnsiTheme="majorBidi" w:cstheme="majorBidi"/>
        </w:rPr>
      </w:pPr>
      <w:r w:rsidRPr="006D7F24">
        <w:rPr>
          <w:rStyle w:val="FootnoteReference"/>
          <w:rFonts w:asciiTheme="majorBidi" w:hAnsiTheme="majorBidi" w:cstheme="majorBidi"/>
        </w:rPr>
        <w:footnoteRef/>
      </w:r>
      <w:r w:rsidRPr="006D7F24">
        <w:rPr>
          <w:rFonts w:asciiTheme="majorBidi" w:hAnsiTheme="majorBidi" w:cstheme="majorBidi"/>
        </w:rPr>
        <w:t xml:space="preserve"> Ibid. p. viii.</w:t>
      </w:r>
    </w:p>
  </w:footnote>
  <w:footnote w:id="109">
    <w:p w14:paraId="1C4D14A4" w14:textId="097C14A9" w:rsidR="001232D3" w:rsidRPr="006D7F24" w:rsidRDefault="001232D3" w:rsidP="00360794">
      <w:pPr>
        <w:pStyle w:val="FootnoteText"/>
        <w:contextualSpacing/>
        <w:rPr>
          <w:rFonts w:asciiTheme="majorBidi" w:hAnsiTheme="majorBidi" w:cstheme="majorBidi"/>
        </w:rPr>
      </w:pPr>
      <w:r w:rsidRPr="006D7F24">
        <w:rPr>
          <w:rStyle w:val="FootnoteReference"/>
          <w:rFonts w:asciiTheme="majorBidi" w:hAnsiTheme="majorBidi" w:cstheme="majorBidi"/>
        </w:rPr>
        <w:footnoteRef/>
      </w:r>
      <w:r w:rsidRPr="006D7F24">
        <w:rPr>
          <w:rFonts w:asciiTheme="majorBidi" w:hAnsiTheme="majorBidi" w:cstheme="majorBidi"/>
        </w:rPr>
        <w:t xml:space="preserve"> Ibid.</w:t>
      </w:r>
    </w:p>
  </w:footnote>
  <w:footnote w:id="110">
    <w:p w14:paraId="622F9331" w14:textId="77777777" w:rsidR="001232D3" w:rsidRPr="006D7F24" w:rsidRDefault="001232D3" w:rsidP="00117BFF">
      <w:pPr>
        <w:pStyle w:val="FootnoteText"/>
        <w:contextualSpacing/>
        <w:rPr>
          <w:rFonts w:asciiTheme="majorBidi" w:hAnsiTheme="majorBidi" w:cstheme="majorBidi"/>
        </w:rPr>
      </w:pPr>
      <w:r w:rsidRPr="006D7F24">
        <w:rPr>
          <w:rStyle w:val="FootnoteReference"/>
          <w:rFonts w:asciiTheme="majorBidi" w:hAnsiTheme="majorBidi" w:cstheme="majorBidi"/>
        </w:rPr>
        <w:footnoteRef/>
      </w:r>
      <w:r w:rsidRPr="006D7F24">
        <w:rPr>
          <w:rFonts w:asciiTheme="majorBidi" w:hAnsiTheme="majorBidi" w:cstheme="majorBidi"/>
        </w:rPr>
        <w:t xml:space="preserve"> Ibid. p. 9–10.</w:t>
      </w:r>
    </w:p>
  </w:footnote>
  <w:footnote w:id="111">
    <w:p w14:paraId="541D9A6A" w14:textId="1EB6F098" w:rsidR="001232D3" w:rsidRPr="006D7F24" w:rsidRDefault="001232D3" w:rsidP="00360794">
      <w:pPr>
        <w:pStyle w:val="FootnoteText"/>
        <w:contextualSpacing/>
        <w:rPr>
          <w:rFonts w:asciiTheme="majorBidi" w:hAnsiTheme="majorBidi" w:cstheme="majorBidi"/>
        </w:rPr>
      </w:pPr>
      <w:r w:rsidRPr="006D7F24">
        <w:rPr>
          <w:rStyle w:val="FootnoteReference"/>
          <w:rFonts w:asciiTheme="majorBidi" w:hAnsiTheme="majorBidi" w:cstheme="majorBidi"/>
        </w:rPr>
        <w:footnoteRef/>
      </w:r>
      <w:r w:rsidRPr="006D7F24">
        <w:rPr>
          <w:rFonts w:asciiTheme="majorBidi" w:hAnsiTheme="majorBidi" w:cstheme="majorBidi"/>
        </w:rPr>
        <w:t xml:space="preserve"> Ibid. p. 83–84.</w:t>
      </w:r>
    </w:p>
  </w:footnote>
  <w:footnote w:id="112">
    <w:p w14:paraId="0EB9AF40" w14:textId="7A71A3E2" w:rsidR="001232D3" w:rsidRPr="006D7F24" w:rsidRDefault="001232D3" w:rsidP="00546E84">
      <w:pPr>
        <w:pStyle w:val="FootnoteText"/>
        <w:contextualSpacing/>
        <w:rPr>
          <w:rFonts w:asciiTheme="majorBidi" w:hAnsiTheme="majorBidi" w:cstheme="majorBidi"/>
        </w:rPr>
      </w:pPr>
      <w:r w:rsidRPr="006D7F24">
        <w:rPr>
          <w:rStyle w:val="FootnoteReference"/>
          <w:rFonts w:asciiTheme="majorBidi" w:hAnsiTheme="majorBidi" w:cstheme="majorBidi"/>
        </w:rPr>
        <w:footnoteRef/>
      </w:r>
      <w:r w:rsidRPr="006D7F24">
        <w:rPr>
          <w:rFonts w:asciiTheme="majorBidi" w:hAnsiTheme="majorBidi" w:cstheme="majorBidi"/>
        </w:rPr>
        <w:t xml:space="preserve"> Ibid. p. 7.</w:t>
      </w:r>
    </w:p>
  </w:footnote>
  <w:footnote w:id="113">
    <w:p w14:paraId="36F1EDC6" w14:textId="7A2FDE70" w:rsidR="001232D3" w:rsidRPr="006D7F24" w:rsidRDefault="001232D3" w:rsidP="00360794">
      <w:pPr>
        <w:pStyle w:val="FootnoteText"/>
        <w:contextualSpacing/>
        <w:rPr>
          <w:rFonts w:asciiTheme="majorBidi" w:hAnsiTheme="majorBidi" w:cstheme="majorBidi"/>
        </w:rPr>
      </w:pPr>
      <w:r w:rsidRPr="006D7F24">
        <w:rPr>
          <w:rStyle w:val="FootnoteReference"/>
          <w:rFonts w:asciiTheme="majorBidi" w:hAnsiTheme="majorBidi" w:cstheme="majorBidi"/>
        </w:rPr>
        <w:footnoteRef/>
      </w:r>
      <w:r w:rsidRPr="006D7F24">
        <w:rPr>
          <w:rFonts w:asciiTheme="majorBidi" w:hAnsiTheme="majorBidi" w:cstheme="majorBidi"/>
        </w:rPr>
        <w:t xml:space="preserve"> Ibid. p. viii, 33, 34.78</w:t>
      </w:r>
    </w:p>
  </w:footnote>
  <w:footnote w:id="114">
    <w:p w14:paraId="7A3B8CC8" w14:textId="55C77316" w:rsidR="001232D3" w:rsidRPr="006D7F24" w:rsidRDefault="001232D3" w:rsidP="00360794">
      <w:pPr>
        <w:pStyle w:val="FootnoteText"/>
        <w:contextualSpacing/>
        <w:rPr>
          <w:rFonts w:asciiTheme="majorBidi" w:hAnsiTheme="majorBidi" w:cstheme="majorBidi"/>
        </w:rPr>
      </w:pPr>
      <w:r w:rsidRPr="006D7F24">
        <w:rPr>
          <w:rStyle w:val="FootnoteReference"/>
          <w:rFonts w:asciiTheme="majorBidi" w:hAnsiTheme="majorBidi" w:cstheme="majorBidi"/>
        </w:rPr>
        <w:footnoteRef/>
      </w:r>
      <w:r w:rsidRPr="006D7F24">
        <w:rPr>
          <w:rFonts w:asciiTheme="majorBidi" w:hAnsiTheme="majorBidi" w:cstheme="majorBidi"/>
        </w:rPr>
        <w:t xml:space="preserve"> Ibid. p. 34.</w:t>
      </w:r>
    </w:p>
  </w:footnote>
  <w:footnote w:id="115">
    <w:p w14:paraId="5994DC46" w14:textId="3DFCA28C" w:rsidR="001232D3" w:rsidRPr="006D7F24" w:rsidRDefault="001232D3" w:rsidP="00C37051">
      <w:pPr>
        <w:pStyle w:val="FootnoteText"/>
        <w:contextualSpacing/>
        <w:rPr>
          <w:rFonts w:asciiTheme="majorBidi" w:hAnsiTheme="majorBidi" w:cstheme="majorBidi"/>
        </w:rPr>
      </w:pPr>
      <w:r w:rsidRPr="006D7F24">
        <w:rPr>
          <w:rStyle w:val="FootnoteReference"/>
          <w:rFonts w:asciiTheme="majorBidi" w:hAnsiTheme="majorBidi" w:cstheme="majorBidi"/>
        </w:rPr>
        <w:footnoteRef/>
      </w:r>
      <w:r w:rsidRPr="006D7F24">
        <w:rPr>
          <w:rFonts w:asciiTheme="majorBidi" w:hAnsiTheme="majorBidi" w:cstheme="majorBidi"/>
        </w:rPr>
        <w:t xml:space="preserve"> Ibid. p. 34.</w:t>
      </w:r>
    </w:p>
  </w:footnote>
  <w:footnote w:id="116">
    <w:p w14:paraId="3ED360F1" w14:textId="0F276CBB" w:rsidR="001232D3" w:rsidRPr="006D7F24" w:rsidRDefault="001232D3" w:rsidP="00360794">
      <w:pPr>
        <w:pStyle w:val="FootnoteText"/>
        <w:contextualSpacing/>
        <w:rPr>
          <w:rFonts w:asciiTheme="majorBidi" w:hAnsiTheme="majorBidi" w:cstheme="majorBidi"/>
        </w:rPr>
      </w:pPr>
      <w:r w:rsidRPr="006D7F24">
        <w:rPr>
          <w:rStyle w:val="FootnoteReference"/>
          <w:rFonts w:asciiTheme="majorBidi" w:hAnsiTheme="majorBidi" w:cstheme="majorBidi"/>
        </w:rPr>
        <w:footnoteRef/>
      </w:r>
      <w:r w:rsidRPr="006D7F24">
        <w:rPr>
          <w:rFonts w:asciiTheme="majorBidi" w:hAnsiTheme="majorBidi" w:cstheme="majorBidi"/>
        </w:rPr>
        <w:t xml:space="preserve"> Ibid. p. 33. Note </w:t>
      </w:r>
      <w:r>
        <w:rPr>
          <w:rFonts w:asciiTheme="majorBidi" w:hAnsiTheme="majorBidi" w:cstheme="majorBidi"/>
        </w:rPr>
        <w:t xml:space="preserve">that NISOSH </w:t>
      </w:r>
      <w:r w:rsidRPr="006D7F24">
        <w:rPr>
          <w:rFonts w:asciiTheme="majorBidi" w:hAnsiTheme="majorBidi" w:cstheme="majorBidi"/>
        </w:rPr>
        <w:t>refers only to environmental heat load</w:t>
      </w:r>
      <w:r>
        <w:rPr>
          <w:rFonts w:asciiTheme="majorBidi" w:hAnsiTheme="majorBidi" w:cstheme="majorBidi"/>
        </w:rPr>
        <w:t xml:space="preserve"> here</w:t>
      </w:r>
      <w:r w:rsidRPr="006D7F24">
        <w:rPr>
          <w:rFonts w:asciiTheme="majorBidi" w:hAnsiTheme="majorBidi" w:cstheme="majorBidi"/>
        </w:rPr>
        <w:t>, but metabolic heat changes (with increasing workload) would also, per NIOSH</w:t>
      </w:r>
      <w:r>
        <w:rPr>
          <w:rFonts w:asciiTheme="majorBidi" w:hAnsiTheme="majorBidi" w:cstheme="majorBidi"/>
        </w:rPr>
        <w:t>’</w:t>
      </w:r>
      <w:r w:rsidRPr="006D7F24">
        <w:rPr>
          <w:rFonts w:asciiTheme="majorBidi" w:hAnsiTheme="majorBidi" w:cstheme="majorBidi"/>
        </w:rPr>
        <w:t>s logic employed in its REL/RAL calculations, require re-acclimatization.</w:t>
      </w:r>
    </w:p>
  </w:footnote>
  <w:footnote w:id="117">
    <w:p w14:paraId="4E3ACC86" w14:textId="10C0D3ED" w:rsidR="001232D3" w:rsidRPr="006D7F24" w:rsidRDefault="001232D3" w:rsidP="00360794">
      <w:pPr>
        <w:pStyle w:val="FootnoteText"/>
        <w:contextualSpacing/>
        <w:rPr>
          <w:rFonts w:asciiTheme="majorBidi" w:hAnsiTheme="majorBidi" w:cstheme="majorBidi"/>
        </w:rPr>
      </w:pPr>
      <w:r w:rsidRPr="006D7F24">
        <w:rPr>
          <w:rStyle w:val="FootnoteReference"/>
          <w:rFonts w:asciiTheme="majorBidi" w:hAnsiTheme="majorBidi" w:cstheme="majorBidi"/>
        </w:rPr>
        <w:footnoteRef/>
      </w:r>
      <w:r w:rsidRPr="006D7F24">
        <w:rPr>
          <w:rFonts w:asciiTheme="majorBidi" w:hAnsiTheme="majorBidi" w:cstheme="majorBidi"/>
        </w:rPr>
        <w:t xml:space="preserve"> Ibid. p. 32.</w:t>
      </w:r>
    </w:p>
  </w:footnote>
  <w:footnote w:id="118">
    <w:p w14:paraId="40C51BC1" w14:textId="6CB078B7" w:rsidR="001232D3" w:rsidRPr="006D7F24" w:rsidRDefault="001232D3" w:rsidP="00360794">
      <w:pPr>
        <w:pStyle w:val="FootnoteText"/>
        <w:contextualSpacing/>
        <w:rPr>
          <w:rFonts w:asciiTheme="majorBidi" w:hAnsiTheme="majorBidi" w:cstheme="majorBidi"/>
        </w:rPr>
      </w:pPr>
      <w:r w:rsidRPr="006D7F24">
        <w:rPr>
          <w:rStyle w:val="FootnoteReference"/>
          <w:rFonts w:asciiTheme="majorBidi" w:hAnsiTheme="majorBidi" w:cstheme="majorBidi"/>
        </w:rPr>
        <w:footnoteRef/>
      </w:r>
      <w:r w:rsidRPr="006D7F24">
        <w:rPr>
          <w:rFonts w:asciiTheme="majorBidi" w:hAnsiTheme="majorBidi" w:cstheme="majorBidi"/>
        </w:rPr>
        <w:t xml:space="preserve"> Arbury S, Lindsley M, Hodgson M. A critical review of OSHA heat enforcement cases: Lessons learned. </w:t>
      </w:r>
      <w:r w:rsidRPr="006D7F24">
        <w:rPr>
          <w:rFonts w:asciiTheme="majorBidi" w:hAnsiTheme="majorBidi" w:cstheme="majorBidi"/>
          <w:i/>
          <w:iCs/>
        </w:rPr>
        <w:t>J Occup Environ Med</w:t>
      </w:r>
      <w:r w:rsidRPr="006D7F24">
        <w:rPr>
          <w:rFonts w:asciiTheme="majorBidi" w:hAnsiTheme="majorBidi" w:cstheme="majorBidi"/>
        </w:rPr>
        <w:t>. 2016;58(4):359-363.</w:t>
      </w:r>
    </w:p>
  </w:footnote>
  <w:footnote w:id="119">
    <w:p w14:paraId="64C6843E" w14:textId="4913E48A" w:rsidR="001232D3" w:rsidRPr="006D7F24" w:rsidRDefault="001232D3" w:rsidP="00360794">
      <w:pPr>
        <w:pStyle w:val="FootnoteText"/>
        <w:contextualSpacing/>
        <w:rPr>
          <w:rFonts w:asciiTheme="majorBidi" w:hAnsiTheme="majorBidi" w:cstheme="majorBidi"/>
        </w:rPr>
      </w:pPr>
      <w:r w:rsidRPr="006D7F24">
        <w:rPr>
          <w:rStyle w:val="FootnoteReference"/>
          <w:rFonts w:asciiTheme="majorBidi" w:hAnsiTheme="majorBidi" w:cstheme="majorBidi"/>
        </w:rPr>
        <w:footnoteRef/>
      </w:r>
      <w:r w:rsidRPr="006D7F24">
        <w:rPr>
          <w:rFonts w:asciiTheme="majorBidi" w:hAnsiTheme="majorBidi" w:cstheme="majorBidi"/>
        </w:rPr>
        <w:t xml:space="preserve"> Ibid.</w:t>
      </w:r>
    </w:p>
  </w:footnote>
  <w:footnote w:id="120">
    <w:p w14:paraId="2ECC2327" w14:textId="4DDEC4EE" w:rsidR="001232D3" w:rsidRPr="006D7F24" w:rsidRDefault="001232D3" w:rsidP="00360794">
      <w:pPr>
        <w:pStyle w:val="FootnoteText"/>
        <w:contextualSpacing/>
        <w:rPr>
          <w:rFonts w:asciiTheme="majorBidi" w:hAnsiTheme="majorBidi" w:cstheme="majorBidi"/>
        </w:rPr>
      </w:pPr>
      <w:r w:rsidRPr="006D7F24">
        <w:rPr>
          <w:rStyle w:val="FootnoteReference"/>
          <w:rFonts w:asciiTheme="majorBidi" w:hAnsiTheme="majorBidi" w:cstheme="majorBidi"/>
        </w:rPr>
        <w:footnoteRef/>
      </w:r>
      <w:r w:rsidRPr="006D7F24">
        <w:rPr>
          <w:rFonts w:asciiTheme="majorBidi" w:hAnsiTheme="majorBidi" w:cstheme="majorBidi"/>
        </w:rPr>
        <w:t xml:space="preserve"> Ibid.</w:t>
      </w:r>
    </w:p>
  </w:footnote>
  <w:footnote w:id="121">
    <w:p w14:paraId="686D66D5" w14:textId="116B4910" w:rsidR="001232D3" w:rsidRPr="006D7F24" w:rsidRDefault="001232D3" w:rsidP="00360794">
      <w:pPr>
        <w:pStyle w:val="FootnoteText"/>
        <w:contextualSpacing/>
        <w:rPr>
          <w:rFonts w:asciiTheme="majorBidi" w:hAnsiTheme="majorBidi" w:cstheme="majorBidi"/>
        </w:rPr>
      </w:pPr>
      <w:r w:rsidRPr="006D7F24">
        <w:rPr>
          <w:rStyle w:val="FootnoteReference"/>
          <w:rFonts w:asciiTheme="majorBidi" w:hAnsiTheme="majorBidi" w:cstheme="majorBidi"/>
        </w:rPr>
        <w:footnoteRef/>
      </w:r>
      <w:r w:rsidRPr="006D7F24">
        <w:rPr>
          <w:rFonts w:asciiTheme="majorBidi" w:hAnsiTheme="majorBidi" w:cstheme="majorBidi"/>
        </w:rPr>
        <w:t xml:space="preserve"> Ibid. </w:t>
      </w:r>
    </w:p>
  </w:footnote>
  <w:footnote w:id="122">
    <w:p w14:paraId="480EE726" w14:textId="448730E3" w:rsidR="001232D3" w:rsidRPr="006D7F24" w:rsidRDefault="001232D3" w:rsidP="00360794">
      <w:pPr>
        <w:pStyle w:val="FootnoteText"/>
        <w:contextualSpacing/>
        <w:rPr>
          <w:rFonts w:asciiTheme="majorBidi" w:hAnsiTheme="majorBidi" w:cstheme="majorBidi"/>
        </w:rPr>
      </w:pPr>
      <w:r w:rsidRPr="006D7F24">
        <w:rPr>
          <w:rStyle w:val="FootnoteReference"/>
          <w:rFonts w:asciiTheme="majorBidi" w:hAnsiTheme="majorBidi" w:cstheme="majorBidi"/>
        </w:rPr>
        <w:footnoteRef/>
      </w:r>
      <w:r w:rsidRPr="006D7F24">
        <w:rPr>
          <w:rFonts w:asciiTheme="majorBidi" w:hAnsiTheme="majorBidi" w:cstheme="majorBidi"/>
        </w:rPr>
        <w:t xml:space="preserve"> Ibid.</w:t>
      </w:r>
    </w:p>
  </w:footnote>
  <w:footnote w:id="123">
    <w:p w14:paraId="7EC67A9D" w14:textId="13FD7F14" w:rsidR="001232D3" w:rsidRPr="006D7F24" w:rsidRDefault="001232D3" w:rsidP="00360794">
      <w:pPr>
        <w:pStyle w:val="FootnoteText"/>
        <w:rPr>
          <w:rFonts w:asciiTheme="majorBidi" w:hAnsiTheme="majorBidi" w:cstheme="majorBidi"/>
        </w:rPr>
      </w:pPr>
      <w:r w:rsidRPr="006D7F24">
        <w:rPr>
          <w:rStyle w:val="FootnoteReference"/>
          <w:rFonts w:asciiTheme="majorBidi" w:hAnsiTheme="majorBidi" w:cstheme="majorBidi"/>
        </w:rPr>
        <w:footnoteRef/>
      </w:r>
      <w:r w:rsidRPr="006D7F24">
        <w:rPr>
          <w:rFonts w:asciiTheme="majorBidi" w:hAnsiTheme="majorBidi" w:cstheme="majorBidi"/>
        </w:rPr>
        <w:t xml:space="preserve"> NIOSH 2016 Criteria Recommendations. p. 3.</w:t>
      </w:r>
    </w:p>
  </w:footnote>
  <w:footnote w:id="124">
    <w:p w14:paraId="1F5AC2C3" w14:textId="77777777" w:rsidR="001232D3" w:rsidRPr="006D7F24" w:rsidRDefault="001232D3" w:rsidP="00360794">
      <w:pPr>
        <w:pStyle w:val="FootnoteText"/>
        <w:rPr>
          <w:rFonts w:asciiTheme="majorBidi" w:hAnsiTheme="majorBidi" w:cstheme="majorBidi"/>
          <w:i/>
          <w:iCs/>
        </w:rPr>
      </w:pPr>
      <w:r w:rsidRPr="006D7F24">
        <w:rPr>
          <w:rStyle w:val="FootnoteReference"/>
          <w:rFonts w:asciiTheme="majorBidi" w:hAnsiTheme="majorBidi" w:cstheme="majorBidi"/>
        </w:rPr>
        <w:footnoteRef/>
      </w:r>
      <w:r w:rsidRPr="006D7F24">
        <w:rPr>
          <w:rFonts w:asciiTheme="majorBidi" w:hAnsiTheme="majorBidi" w:cstheme="majorBidi"/>
        </w:rPr>
        <w:t xml:space="preserve"> </w:t>
      </w:r>
      <w:r w:rsidRPr="006D7F24">
        <w:rPr>
          <w:rFonts w:asciiTheme="majorBidi" w:hAnsiTheme="majorBidi" w:cstheme="majorBidi"/>
          <w:iCs/>
        </w:rPr>
        <w:t>Ibid.</w:t>
      </w:r>
    </w:p>
  </w:footnote>
  <w:footnote w:id="125">
    <w:p w14:paraId="77EE71B4" w14:textId="77777777" w:rsidR="001232D3" w:rsidRPr="006D7F24" w:rsidRDefault="001232D3" w:rsidP="00360794">
      <w:pPr>
        <w:pStyle w:val="FootnoteText"/>
        <w:rPr>
          <w:rFonts w:asciiTheme="majorBidi" w:hAnsiTheme="majorBidi" w:cstheme="majorBidi"/>
          <w:i/>
          <w:iCs/>
        </w:rPr>
      </w:pPr>
      <w:r w:rsidRPr="006D7F24">
        <w:rPr>
          <w:rStyle w:val="FootnoteReference"/>
          <w:rFonts w:asciiTheme="majorBidi" w:hAnsiTheme="majorBidi" w:cstheme="majorBidi"/>
        </w:rPr>
        <w:footnoteRef/>
      </w:r>
      <w:r w:rsidRPr="006D7F24">
        <w:rPr>
          <w:rFonts w:asciiTheme="majorBidi" w:hAnsiTheme="majorBidi" w:cstheme="majorBidi"/>
        </w:rPr>
        <w:t xml:space="preserve"> </w:t>
      </w:r>
      <w:r w:rsidRPr="006D7F24">
        <w:rPr>
          <w:rFonts w:asciiTheme="majorBidi" w:hAnsiTheme="majorBidi" w:cstheme="majorBidi"/>
          <w:iCs/>
        </w:rPr>
        <w:t>Ibid.</w:t>
      </w:r>
    </w:p>
  </w:footnote>
  <w:footnote w:id="126">
    <w:p w14:paraId="118CEF71" w14:textId="77FDF717" w:rsidR="001232D3" w:rsidRPr="006D7F24" w:rsidRDefault="001232D3" w:rsidP="00360794">
      <w:pPr>
        <w:pStyle w:val="FootnoteText"/>
        <w:rPr>
          <w:rFonts w:asciiTheme="majorBidi" w:hAnsiTheme="majorBidi" w:cstheme="majorBidi"/>
        </w:rPr>
      </w:pPr>
      <w:r w:rsidRPr="006D7F24">
        <w:rPr>
          <w:rStyle w:val="FootnoteReference"/>
          <w:rFonts w:asciiTheme="majorBidi" w:hAnsiTheme="majorBidi" w:cstheme="majorBidi"/>
        </w:rPr>
        <w:footnoteRef/>
      </w:r>
      <w:r w:rsidRPr="006D7F24">
        <w:rPr>
          <w:rFonts w:asciiTheme="majorBidi" w:hAnsiTheme="majorBidi" w:cstheme="majorBidi"/>
        </w:rPr>
        <w:t xml:space="preserve"> Ibid. p. 4–6.</w:t>
      </w:r>
    </w:p>
  </w:footnote>
  <w:footnote w:id="127">
    <w:p w14:paraId="2089590D" w14:textId="6BBEAFC6" w:rsidR="001232D3" w:rsidRPr="00D71475" w:rsidRDefault="001232D3">
      <w:pPr>
        <w:pStyle w:val="FootnoteText"/>
      </w:pPr>
      <w:r w:rsidRPr="00D71475">
        <w:rPr>
          <w:rStyle w:val="FootnoteReference"/>
        </w:rPr>
        <w:footnoteRef/>
      </w:r>
      <w:r w:rsidRPr="00D71475">
        <w:t xml:space="preserve"> </w:t>
      </w:r>
      <w:r w:rsidRPr="00377F03">
        <w:rPr>
          <w:rFonts w:asciiTheme="majorBidi" w:hAnsiTheme="majorBidi" w:cstheme="majorBidi"/>
        </w:rPr>
        <w:t>NIOSH 2016 Criteria Recommendations. pp. 5, 48–51 (Table 4-3).</w:t>
      </w:r>
    </w:p>
  </w:footnote>
  <w:footnote w:id="128">
    <w:p w14:paraId="7F6501C5" w14:textId="7E892B5B" w:rsidR="001232D3" w:rsidRDefault="001232D3">
      <w:pPr>
        <w:pStyle w:val="FootnoteText"/>
      </w:pPr>
      <w:r w:rsidRPr="00D71475">
        <w:rPr>
          <w:rStyle w:val="FootnoteReference"/>
        </w:rPr>
        <w:footnoteRef/>
      </w:r>
      <w:r w:rsidRPr="00925EAA">
        <w:t xml:space="preserve"> </w:t>
      </w:r>
      <w:r w:rsidRPr="00377F03">
        <w:t xml:space="preserve">See, e.g., </w:t>
      </w:r>
      <w:r w:rsidRPr="00377F03">
        <w:rPr>
          <w:rFonts w:asciiTheme="majorBidi" w:hAnsiTheme="majorBidi" w:cstheme="majorBidi"/>
        </w:rPr>
        <w:t xml:space="preserve">California Code of Regulations. Title 8, section 3395(f)(1), </w:t>
      </w:r>
      <w:hyperlink r:id="rId42" w:history="1">
        <w:r w:rsidRPr="00377F03">
          <w:rPr>
            <w:rStyle w:val="Hyperlink"/>
            <w:rFonts w:asciiTheme="majorBidi" w:hAnsiTheme="majorBidi" w:cstheme="majorBidi"/>
          </w:rPr>
          <w:t>http://www.dir.ca.gov/title8/3395.html</w:t>
        </w:r>
      </w:hyperlink>
      <w:r w:rsidRPr="00377F03">
        <w:rPr>
          <w:rFonts w:asciiTheme="majorBidi" w:hAnsiTheme="majorBidi" w:cstheme="majorBidi"/>
        </w:rPr>
        <w:t>.</w:t>
      </w:r>
    </w:p>
  </w:footnote>
  <w:footnote w:id="129">
    <w:p w14:paraId="5AC65110" w14:textId="793C50EB" w:rsidR="001232D3" w:rsidRDefault="001232D3">
      <w:pPr>
        <w:pStyle w:val="FootnoteText"/>
      </w:pPr>
      <w:r w:rsidRPr="00D71475">
        <w:rPr>
          <w:rStyle w:val="FootnoteReference"/>
        </w:rPr>
        <w:footnoteRef/>
      </w:r>
      <w:r w:rsidRPr="00D71475">
        <w:t xml:space="preserve"> </w:t>
      </w:r>
      <w:r w:rsidRPr="00377F03">
        <w:rPr>
          <w:rFonts w:asciiTheme="majorBidi" w:hAnsiTheme="majorBidi" w:cstheme="majorBidi"/>
        </w:rPr>
        <w:t>NIOSH 2016 Criteria Recommendations. pp. 48–51 (Table 4-3).</w:t>
      </w:r>
    </w:p>
  </w:footnote>
  <w:footnote w:id="130">
    <w:p w14:paraId="66CA8F00" w14:textId="51CEA6BE" w:rsidR="001232D3" w:rsidRPr="006D7F24" w:rsidRDefault="001232D3" w:rsidP="00360794">
      <w:pPr>
        <w:pStyle w:val="FootnoteText"/>
        <w:rPr>
          <w:rFonts w:asciiTheme="majorBidi" w:hAnsiTheme="majorBidi" w:cstheme="majorBidi"/>
        </w:rPr>
      </w:pPr>
      <w:r w:rsidRPr="006D7F24">
        <w:rPr>
          <w:rStyle w:val="FootnoteReference"/>
          <w:rFonts w:asciiTheme="majorBidi" w:hAnsiTheme="majorBidi" w:cstheme="majorBidi"/>
        </w:rPr>
        <w:footnoteRef/>
      </w:r>
      <w:r w:rsidRPr="006D7F24">
        <w:rPr>
          <w:rFonts w:asciiTheme="majorBidi" w:hAnsiTheme="majorBidi" w:cstheme="majorBidi"/>
        </w:rPr>
        <w:t xml:space="preserve"> Ibid. p. 6–7.</w:t>
      </w:r>
    </w:p>
  </w:footnote>
  <w:footnote w:id="131">
    <w:p w14:paraId="03DCE1BF" w14:textId="2B938F1E" w:rsidR="001232D3" w:rsidRPr="006D7F24" w:rsidRDefault="001232D3" w:rsidP="00360794">
      <w:pPr>
        <w:pStyle w:val="FootnoteText"/>
        <w:rPr>
          <w:rFonts w:asciiTheme="majorBidi" w:hAnsiTheme="majorBidi" w:cstheme="majorBidi"/>
        </w:rPr>
      </w:pPr>
      <w:r w:rsidRPr="006D7F24">
        <w:rPr>
          <w:rStyle w:val="FootnoteReference"/>
          <w:rFonts w:asciiTheme="majorBidi" w:hAnsiTheme="majorBidi" w:cstheme="majorBidi"/>
        </w:rPr>
        <w:footnoteRef/>
      </w:r>
      <w:r w:rsidRPr="006D7F24">
        <w:rPr>
          <w:rFonts w:asciiTheme="majorBidi" w:hAnsiTheme="majorBidi" w:cstheme="majorBidi"/>
        </w:rPr>
        <w:t xml:space="preserve"> Ibid. p. 10.</w:t>
      </w:r>
    </w:p>
  </w:footnote>
  <w:footnote w:id="132">
    <w:p w14:paraId="339900F9" w14:textId="4FA8484D" w:rsidR="001232D3" w:rsidRDefault="001232D3">
      <w:pPr>
        <w:pStyle w:val="FootnoteText"/>
      </w:pPr>
      <w:r w:rsidRPr="00D71475">
        <w:rPr>
          <w:rStyle w:val="FootnoteReference"/>
        </w:rPr>
        <w:footnoteRef/>
      </w:r>
      <w:r w:rsidRPr="00D71475">
        <w:t xml:space="preserve"> </w:t>
      </w:r>
      <w:r w:rsidRPr="00377F03">
        <w:t>Ibid.</w:t>
      </w:r>
    </w:p>
  </w:footnote>
  <w:footnote w:id="133">
    <w:p w14:paraId="4BCD21B2" w14:textId="188324BA" w:rsidR="001232D3" w:rsidRPr="006D7F24" w:rsidRDefault="001232D3" w:rsidP="00360794">
      <w:pPr>
        <w:pStyle w:val="FootnoteText"/>
        <w:rPr>
          <w:rFonts w:asciiTheme="majorBidi" w:hAnsiTheme="majorBidi" w:cstheme="majorBidi"/>
        </w:rPr>
      </w:pPr>
      <w:r w:rsidRPr="006D7F24">
        <w:rPr>
          <w:rStyle w:val="FootnoteReference"/>
          <w:rFonts w:asciiTheme="majorBidi" w:hAnsiTheme="majorBidi" w:cstheme="majorBidi"/>
        </w:rPr>
        <w:footnoteRef/>
      </w:r>
      <w:r w:rsidRPr="006D7F24">
        <w:rPr>
          <w:rFonts w:asciiTheme="majorBidi" w:hAnsiTheme="majorBidi" w:cstheme="majorBidi"/>
        </w:rPr>
        <w:t xml:space="preserve"> Ibid. p. 80–81.</w:t>
      </w:r>
    </w:p>
  </w:footnote>
  <w:footnote w:id="134">
    <w:p w14:paraId="5AAF6005" w14:textId="77777777" w:rsidR="001232D3" w:rsidRPr="006D7F24" w:rsidRDefault="001232D3" w:rsidP="00AB7E2F">
      <w:pPr>
        <w:pStyle w:val="FootnoteText"/>
        <w:rPr>
          <w:rFonts w:asciiTheme="majorBidi" w:hAnsiTheme="majorBidi" w:cstheme="majorBidi"/>
        </w:rPr>
      </w:pPr>
      <w:r w:rsidRPr="006D7F24">
        <w:rPr>
          <w:rStyle w:val="FootnoteReference"/>
          <w:rFonts w:asciiTheme="majorBidi" w:hAnsiTheme="majorBidi" w:cstheme="majorBidi"/>
        </w:rPr>
        <w:footnoteRef/>
      </w:r>
      <w:r w:rsidRPr="006D7F24">
        <w:rPr>
          <w:rFonts w:asciiTheme="majorBidi" w:hAnsiTheme="majorBidi" w:cstheme="majorBidi"/>
        </w:rPr>
        <w:t xml:space="preserve"> Ibid. p. 7–8.</w:t>
      </w:r>
    </w:p>
  </w:footnote>
  <w:footnote w:id="135">
    <w:p w14:paraId="6AE59C5E" w14:textId="55B93B44" w:rsidR="001232D3" w:rsidRPr="006D7F24" w:rsidRDefault="001232D3" w:rsidP="00360794">
      <w:pPr>
        <w:pStyle w:val="FootnoteText"/>
        <w:rPr>
          <w:rFonts w:asciiTheme="majorBidi" w:hAnsiTheme="majorBidi" w:cstheme="majorBidi"/>
        </w:rPr>
      </w:pPr>
      <w:r w:rsidRPr="006D7F24">
        <w:rPr>
          <w:rStyle w:val="FootnoteReference"/>
          <w:rFonts w:asciiTheme="majorBidi" w:hAnsiTheme="majorBidi" w:cstheme="majorBidi"/>
        </w:rPr>
        <w:footnoteRef/>
      </w:r>
      <w:r w:rsidRPr="006D7F24">
        <w:rPr>
          <w:rFonts w:asciiTheme="majorBidi" w:hAnsiTheme="majorBidi" w:cstheme="majorBidi"/>
        </w:rPr>
        <w:t xml:space="preserve"> Ibid. p. 6.</w:t>
      </w:r>
    </w:p>
  </w:footnote>
  <w:footnote w:id="136">
    <w:p w14:paraId="2B8F557C" w14:textId="77777777" w:rsidR="001232D3" w:rsidRPr="00483316" w:rsidRDefault="001232D3" w:rsidP="006F346C">
      <w:pPr>
        <w:pStyle w:val="FootnoteText"/>
        <w:rPr>
          <w:rFonts w:asciiTheme="majorBidi" w:hAnsiTheme="majorBidi" w:cstheme="majorBidi"/>
        </w:rPr>
      </w:pPr>
      <w:r w:rsidRPr="006D7F24">
        <w:rPr>
          <w:rStyle w:val="FootnoteReference"/>
          <w:rFonts w:asciiTheme="majorBidi" w:hAnsiTheme="majorBidi" w:cstheme="majorBidi"/>
        </w:rPr>
        <w:footnoteRef/>
      </w:r>
      <w:r w:rsidRPr="006D7F24">
        <w:rPr>
          <w:rFonts w:asciiTheme="majorBidi" w:hAnsiTheme="majorBidi" w:cstheme="majorBidi"/>
        </w:rPr>
        <w:t xml:space="preserve"> Ibid. p. 10.</w:t>
      </w:r>
    </w:p>
  </w:footnote>
  <w:footnote w:id="137">
    <w:p w14:paraId="4ECC20D0" w14:textId="6C485B92" w:rsidR="005B7C19" w:rsidRDefault="005B7C19">
      <w:pPr>
        <w:pStyle w:val="FootnoteText"/>
      </w:pPr>
      <w:r w:rsidRPr="00377F03">
        <w:rPr>
          <w:rStyle w:val="FootnoteReference"/>
        </w:rPr>
        <w:footnoteRef/>
      </w:r>
      <w:r w:rsidRPr="00377F03">
        <w:t xml:space="preserve"> </w:t>
      </w:r>
      <w:r w:rsidR="00A42660" w:rsidRPr="00377F03">
        <w:t xml:space="preserve">An example of current guidance is </w:t>
      </w:r>
      <w:r w:rsidR="00AE7849" w:rsidRPr="00377F03">
        <w:t xml:space="preserve">the following: </w:t>
      </w:r>
      <w:r w:rsidRPr="00377F03">
        <w:t xml:space="preserve">OSHA. Recommended practices for anti-retaliation programs. </w:t>
      </w:r>
      <w:hyperlink r:id="rId43" w:history="1">
        <w:r w:rsidRPr="00377F03">
          <w:rPr>
            <w:rStyle w:val="Hyperlink"/>
          </w:rPr>
          <w:t>https://www.osha.gov/Publications/OSHA3905.pdf. Accessed July 9</w:t>
        </w:r>
      </w:hyperlink>
      <w:r w:rsidRPr="00377F03">
        <w:t>, 2018.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506FA0" w14:textId="391B8EBB" w:rsidR="001232D3" w:rsidRPr="00BF4180" w:rsidRDefault="001232D3" w:rsidP="000021E8">
    <w:pPr>
      <w:pStyle w:val="Header"/>
      <w:rPr>
        <w:rFonts w:asciiTheme="minorBidi" w:hAnsiTheme="minorBidi" w:cstheme="minorBidi"/>
        <w:bCs/>
      </w:rPr>
    </w:pPr>
    <w:r w:rsidRPr="00BF4180">
      <w:rPr>
        <w:rFonts w:asciiTheme="minorBidi" w:hAnsiTheme="minorBidi" w:cstheme="minorBidi"/>
        <w:bCs/>
      </w:rPr>
      <w:t>Public Citizen et al.</w:t>
    </w:r>
    <w:r w:rsidRPr="00BF4180">
      <w:rPr>
        <w:rFonts w:asciiTheme="minorBidi" w:hAnsiTheme="minorBidi" w:cstheme="minorBidi"/>
        <w:bCs/>
      </w:rPr>
      <w:tab/>
      <w:t>Petition to OSHA for a Heat Standard</w:t>
    </w:r>
    <w:r w:rsidRPr="00BF4180">
      <w:rPr>
        <w:rFonts w:asciiTheme="minorBidi" w:hAnsiTheme="minorBidi" w:cstheme="minorBidi"/>
        <w:bCs/>
      </w:rPr>
      <w:tab/>
    </w:r>
    <w:r>
      <w:rPr>
        <w:rFonts w:asciiTheme="minorBidi" w:hAnsiTheme="minorBidi" w:cstheme="minorBidi"/>
        <w:bCs/>
      </w:rPr>
      <w:t xml:space="preserve">July </w:t>
    </w:r>
    <w:r w:rsidRPr="00BF4180">
      <w:rPr>
        <w:rFonts w:asciiTheme="minorBidi" w:hAnsiTheme="minorBidi" w:cstheme="minorBidi"/>
        <w:bCs/>
      </w:rPr>
      <w:t>2018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6478E2" w14:textId="77777777" w:rsidR="001232D3" w:rsidRDefault="001232D3">
    <w:pPr>
      <w:pStyle w:val="Header"/>
    </w:pPr>
    <w:r>
      <w:rPr>
        <w:noProof/>
      </w:rPr>
      <w:drawing>
        <wp:inline distT="0" distB="0" distL="0" distR="0" wp14:anchorId="500802F3" wp14:editId="5E65FD97">
          <wp:extent cx="5943600" cy="1487170"/>
          <wp:effectExtent l="0" t="0" r="0" b="0"/>
          <wp:docPr id="13" name="Picture 13" descr="new letterhead upd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ew letterhead upda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148717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97F1C"/>
    <w:multiLevelType w:val="hybridMultilevel"/>
    <w:tmpl w:val="13F0487A"/>
    <w:lvl w:ilvl="0" w:tplc="28128538">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6E69CE"/>
    <w:multiLevelType w:val="hybridMultilevel"/>
    <w:tmpl w:val="2294F506"/>
    <w:lvl w:ilvl="0" w:tplc="35265FAE">
      <w:start w:val="20"/>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EE1685"/>
    <w:multiLevelType w:val="hybridMultilevel"/>
    <w:tmpl w:val="A27ACA74"/>
    <w:lvl w:ilvl="0" w:tplc="67DAA7A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C614DE"/>
    <w:multiLevelType w:val="hybridMultilevel"/>
    <w:tmpl w:val="BCEA0A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0B0DD1"/>
    <w:multiLevelType w:val="hybridMultilevel"/>
    <w:tmpl w:val="CF56BB2C"/>
    <w:lvl w:ilvl="0" w:tplc="4864958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350EE4"/>
    <w:multiLevelType w:val="hybridMultilevel"/>
    <w:tmpl w:val="9AB81BEA"/>
    <w:lvl w:ilvl="0" w:tplc="66AC2FD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C2143D"/>
    <w:multiLevelType w:val="hybridMultilevel"/>
    <w:tmpl w:val="5180FD70"/>
    <w:lvl w:ilvl="0" w:tplc="020A7A2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1C7EDC"/>
    <w:multiLevelType w:val="multilevel"/>
    <w:tmpl w:val="171C0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2D33F5"/>
    <w:multiLevelType w:val="hybridMultilevel"/>
    <w:tmpl w:val="64E2C414"/>
    <w:lvl w:ilvl="0" w:tplc="D7B49444">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2A42CA"/>
    <w:multiLevelType w:val="hybridMultilevel"/>
    <w:tmpl w:val="7360AD9C"/>
    <w:lvl w:ilvl="0" w:tplc="4BF44A1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9E5040"/>
    <w:multiLevelType w:val="multilevel"/>
    <w:tmpl w:val="C1BA810A"/>
    <w:styleLink w:val="SBookAntiqua12"/>
    <w:lvl w:ilvl="0">
      <w:start w:val="1"/>
      <w:numFmt w:val="decimal"/>
      <w:pStyle w:val="s1ba12"/>
      <w:lvlText w:val="%1."/>
      <w:lvlJc w:val="left"/>
      <w:pPr>
        <w:ind w:left="360" w:hanging="360"/>
      </w:pPr>
      <w:rPr>
        <w:rFonts w:hint="default"/>
      </w:rPr>
    </w:lvl>
    <w:lvl w:ilvl="1">
      <w:start w:val="1"/>
      <w:numFmt w:val="lowerLetter"/>
      <w:pStyle w:val="s2ba12"/>
      <w:lvlText w:val="%2."/>
      <w:lvlJc w:val="left"/>
      <w:pPr>
        <w:ind w:left="720" w:hanging="360"/>
      </w:pPr>
      <w:rPr>
        <w:rFonts w:hint="default"/>
      </w:rPr>
    </w:lvl>
    <w:lvl w:ilvl="2">
      <w:start w:val="1"/>
      <w:numFmt w:val="bullet"/>
      <w:pStyle w:val="s3ba12"/>
      <w:lvlText w:val=""/>
      <w:lvlJc w:val="left"/>
      <w:pPr>
        <w:ind w:left="1080" w:hanging="360"/>
      </w:pPr>
      <w:rPr>
        <w:rFonts w:ascii="Symbol" w:hAnsi="Symbol" w:hint="default"/>
        <w:color w:val="auto"/>
      </w:rPr>
    </w:lvl>
    <w:lvl w:ilvl="3">
      <w:start w:val="1"/>
      <w:numFmt w:val="bullet"/>
      <w:pStyle w:val="s4ba12"/>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C7F44CD"/>
    <w:multiLevelType w:val="hybridMultilevel"/>
    <w:tmpl w:val="EDF6B0C4"/>
    <w:lvl w:ilvl="0" w:tplc="4F0AC4AA">
      <w:start w:val="1"/>
      <w:numFmt w:val="bullet"/>
      <w:pStyle w:val="Bullet1"/>
      <w:lvlText w:val=""/>
      <w:lvlJc w:val="left"/>
      <w:pPr>
        <w:ind w:left="720" w:hanging="360"/>
      </w:pPr>
      <w:rPr>
        <w:rFonts w:ascii="Symbol" w:hAnsi="Symbol" w:hint="default"/>
      </w:rPr>
    </w:lvl>
    <w:lvl w:ilvl="1" w:tplc="CA629898">
      <w:start w:val="1"/>
      <w:numFmt w:val="bullet"/>
      <w:pStyle w:val="Bulle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BD0451"/>
    <w:multiLevelType w:val="hybridMultilevel"/>
    <w:tmpl w:val="7C6CB60A"/>
    <w:lvl w:ilvl="0" w:tplc="8974D0A8">
      <w:start w:val="3"/>
      <w:numFmt w:val="bullet"/>
      <w:lvlText w:val=""/>
      <w:lvlJc w:val="left"/>
      <w:pPr>
        <w:ind w:left="720" w:hanging="360"/>
      </w:pPr>
      <w:rPr>
        <w:rFonts w:ascii="Symbol" w:eastAsia="Calibr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F77FC4"/>
    <w:multiLevelType w:val="hybridMultilevel"/>
    <w:tmpl w:val="C51AF2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2C6143"/>
    <w:multiLevelType w:val="hybridMultilevel"/>
    <w:tmpl w:val="30B4BCE4"/>
    <w:lvl w:ilvl="0" w:tplc="5844A76A">
      <w:start w:val="1"/>
      <w:numFmt w:val="upperLetter"/>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B10182"/>
    <w:multiLevelType w:val="multilevel"/>
    <w:tmpl w:val="FE4AF6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6090A2F"/>
    <w:multiLevelType w:val="multilevel"/>
    <w:tmpl w:val="A66AA8C6"/>
    <w:styleLink w:val="StyleforNotes"/>
    <w:lvl w:ilvl="0">
      <w:start w:val="1"/>
      <w:numFmt w:val="decimal"/>
      <w:suff w:val="space"/>
      <w:lvlText w:val="Class %1:"/>
      <w:lvlJc w:val="left"/>
      <w:pPr>
        <w:ind w:left="0" w:firstLine="0"/>
      </w:pPr>
      <w:rPr>
        <w:rFonts w:hint="default"/>
        <w:b/>
      </w:rPr>
    </w:lvl>
    <w:lvl w:ilvl="1">
      <w:start w:val="1"/>
      <w:numFmt w:val="upperRoman"/>
      <w:pStyle w:val="L1"/>
      <w:lvlText w:val="%2."/>
      <w:lvlJc w:val="left"/>
      <w:pPr>
        <w:ind w:left="475" w:hanging="475"/>
      </w:pPr>
      <w:rPr>
        <w:rFonts w:hint="default"/>
      </w:rPr>
    </w:lvl>
    <w:lvl w:ilvl="2">
      <w:start w:val="1"/>
      <w:numFmt w:val="upperLetter"/>
      <w:pStyle w:val="L2"/>
      <w:lvlText w:val="%3."/>
      <w:lvlJc w:val="left"/>
      <w:pPr>
        <w:ind w:left="835" w:hanging="475"/>
      </w:pPr>
      <w:rPr>
        <w:rFonts w:hint="default"/>
      </w:rPr>
    </w:lvl>
    <w:lvl w:ilvl="3">
      <w:start w:val="1"/>
      <w:numFmt w:val="decimal"/>
      <w:pStyle w:val="L3"/>
      <w:lvlText w:val="%4."/>
      <w:lvlJc w:val="left"/>
      <w:pPr>
        <w:ind w:left="1195" w:hanging="475"/>
      </w:pPr>
      <w:rPr>
        <w:rFonts w:hint="default"/>
      </w:rPr>
    </w:lvl>
    <w:lvl w:ilvl="4">
      <w:start w:val="1"/>
      <w:numFmt w:val="lowerLetter"/>
      <w:pStyle w:val="L4"/>
      <w:lvlText w:val="%5."/>
      <w:lvlJc w:val="left"/>
      <w:pPr>
        <w:ind w:left="1555" w:hanging="475"/>
      </w:pPr>
      <w:rPr>
        <w:rFonts w:hint="default"/>
      </w:rPr>
    </w:lvl>
    <w:lvl w:ilvl="5">
      <w:start w:val="1"/>
      <w:numFmt w:val="decimal"/>
      <w:pStyle w:val="L5"/>
      <w:lvlText w:val="%6)"/>
      <w:lvlJc w:val="left"/>
      <w:pPr>
        <w:ind w:left="1915" w:hanging="475"/>
      </w:pPr>
      <w:rPr>
        <w:rFonts w:hint="default"/>
      </w:rPr>
    </w:lvl>
    <w:lvl w:ilvl="6">
      <w:start w:val="1"/>
      <w:numFmt w:val="lowerLetter"/>
      <w:pStyle w:val="L6"/>
      <w:lvlText w:val="%7)"/>
      <w:lvlJc w:val="left"/>
      <w:pPr>
        <w:ind w:left="2275" w:hanging="475"/>
      </w:pPr>
      <w:rPr>
        <w:rFonts w:hint="default"/>
      </w:rPr>
    </w:lvl>
    <w:lvl w:ilvl="7">
      <w:start w:val="1"/>
      <w:numFmt w:val="lowerRoman"/>
      <w:pStyle w:val="L7"/>
      <w:lvlText w:val="%8."/>
      <w:lvlJc w:val="left"/>
      <w:pPr>
        <w:ind w:left="2635" w:hanging="475"/>
      </w:pPr>
      <w:rPr>
        <w:rFonts w:hint="default"/>
      </w:rPr>
    </w:lvl>
    <w:lvl w:ilvl="8">
      <w:numFmt w:val="none"/>
      <w:pStyle w:val="L8"/>
      <w:lvlText w:val="o"/>
      <w:lvlJc w:val="left"/>
      <w:pPr>
        <w:ind w:left="2995" w:hanging="475"/>
      </w:pPr>
      <w:rPr>
        <w:rFonts w:hint="default"/>
      </w:rPr>
    </w:lvl>
  </w:abstractNum>
  <w:abstractNum w:abstractNumId="17" w15:restartNumberingAfterBreak="0">
    <w:nsid w:val="47BD587E"/>
    <w:multiLevelType w:val="hybridMultilevel"/>
    <w:tmpl w:val="44DE7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C8147A"/>
    <w:multiLevelType w:val="hybridMultilevel"/>
    <w:tmpl w:val="DABE537C"/>
    <w:lvl w:ilvl="0" w:tplc="2264BA4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015981"/>
    <w:multiLevelType w:val="hybridMultilevel"/>
    <w:tmpl w:val="CFCC74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B42A2C"/>
    <w:multiLevelType w:val="hybridMultilevel"/>
    <w:tmpl w:val="9648C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CF0ABD"/>
    <w:multiLevelType w:val="hybridMultilevel"/>
    <w:tmpl w:val="64C6887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81455F"/>
    <w:multiLevelType w:val="hybridMultilevel"/>
    <w:tmpl w:val="3BBE401A"/>
    <w:lvl w:ilvl="0" w:tplc="CE90E798">
      <w:start w:val="3"/>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450E91"/>
    <w:multiLevelType w:val="hybridMultilevel"/>
    <w:tmpl w:val="F594D8E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10556AD"/>
    <w:multiLevelType w:val="hybridMultilevel"/>
    <w:tmpl w:val="66E4CB56"/>
    <w:lvl w:ilvl="0" w:tplc="0AC8ED70">
      <w:start w:val="3"/>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4658B8"/>
    <w:multiLevelType w:val="hybridMultilevel"/>
    <w:tmpl w:val="3A8EC8C0"/>
    <w:lvl w:ilvl="0" w:tplc="CF768D6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0F5450"/>
    <w:multiLevelType w:val="hybridMultilevel"/>
    <w:tmpl w:val="74127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F441BD"/>
    <w:multiLevelType w:val="hybridMultilevel"/>
    <w:tmpl w:val="77D6C0F4"/>
    <w:lvl w:ilvl="0" w:tplc="6A6622C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0149CF"/>
    <w:multiLevelType w:val="hybridMultilevel"/>
    <w:tmpl w:val="333A91A2"/>
    <w:lvl w:ilvl="0" w:tplc="0C80FEEC">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784836"/>
    <w:multiLevelType w:val="hybridMultilevel"/>
    <w:tmpl w:val="2DF2FBD4"/>
    <w:lvl w:ilvl="0" w:tplc="A1C8EBFE">
      <w:start w:val="1"/>
      <w:numFmt w:val="upperLetter"/>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7857B64"/>
    <w:multiLevelType w:val="hybridMultilevel"/>
    <w:tmpl w:val="72DCC950"/>
    <w:lvl w:ilvl="0" w:tplc="7D824A28">
      <w:start w:val="1"/>
      <w:numFmt w:val="bullet"/>
      <w:pStyle w:val="Table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4C7E5C"/>
    <w:multiLevelType w:val="multilevel"/>
    <w:tmpl w:val="CBE4A7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CCF587A"/>
    <w:multiLevelType w:val="hybridMultilevel"/>
    <w:tmpl w:val="47B4196E"/>
    <w:lvl w:ilvl="0" w:tplc="B7EA1732">
      <w:start w:val="4"/>
      <w:numFmt w:val="bullet"/>
      <w:lvlText w:val=""/>
      <w:lvlJc w:val="left"/>
      <w:pPr>
        <w:ind w:left="720" w:hanging="360"/>
      </w:pPr>
      <w:rPr>
        <w:rFonts w:ascii="Symbol" w:eastAsia="Calibr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6"/>
  </w:num>
  <w:num w:numId="3">
    <w:abstractNumId w:val="16"/>
  </w:num>
  <w:num w:numId="4">
    <w:abstractNumId w:val="16"/>
  </w:num>
  <w:num w:numId="5">
    <w:abstractNumId w:val="16"/>
  </w:num>
  <w:num w:numId="6">
    <w:abstractNumId w:val="16"/>
  </w:num>
  <w:num w:numId="7">
    <w:abstractNumId w:val="16"/>
  </w:num>
  <w:num w:numId="8">
    <w:abstractNumId w:val="16"/>
  </w:num>
  <w:num w:numId="9">
    <w:abstractNumId w:val="16"/>
  </w:num>
  <w:num w:numId="10">
    <w:abstractNumId w:val="16"/>
  </w:num>
  <w:num w:numId="11">
    <w:abstractNumId w:val="10"/>
  </w:num>
  <w:num w:numId="12">
    <w:abstractNumId w:val="10"/>
  </w:num>
  <w:num w:numId="13">
    <w:abstractNumId w:val="10"/>
  </w:num>
  <w:num w:numId="14">
    <w:abstractNumId w:val="10"/>
  </w:num>
  <w:num w:numId="15">
    <w:abstractNumId w:val="10"/>
  </w:num>
  <w:num w:numId="16">
    <w:abstractNumId w:val="28"/>
  </w:num>
  <w:num w:numId="17">
    <w:abstractNumId w:val="5"/>
  </w:num>
  <w:num w:numId="18">
    <w:abstractNumId w:val="25"/>
  </w:num>
  <w:num w:numId="19">
    <w:abstractNumId w:val="8"/>
  </w:num>
  <w:num w:numId="20">
    <w:abstractNumId w:val="1"/>
  </w:num>
  <w:num w:numId="21">
    <w:abstractNumId w:val="18"/>
  </w:num>
  <w:num w:numId="22">
    <w:abstractNumId w:val="22"/>
  </w:num>
  <w:num w:numId="23">
    <w:abstractNumId w:val="24"/>
  </w:num>
  <w:num w:numId="24">
    <w:abstractNumId w:val="13"/>
  </w:num>
  <w:num w:numId="25">
    <w:abstractNumId w:val="14"/>
  </w:num>
  <w:num w:numId="26">
    <w:abstractNumId w:val="29"/>
  </w:num>
  <w:num w:numId="27">
    <w:abstractNumId w:val="4"/>
  </w:num>
  <w:num w:numId="28">
    <w:abstractNumId w:val="27"/>
  </w:num>
  <w:num w:numId="29">
    <w:abstractNumId w:val="6"/>
  </w:num>
  <w:num w:numId="30">
    <w:abstractNumId w:val="26"/>
  </w:num>
  <w:num w:numId="31">
    <w:abstractNumId w:val="20"/>
  </w:num>
  <w:num w:numId="32">
    <w:abstractNumId w:val="21"/>
  </w:num>
  <w:num w:numId="33">
    <w:abstractNumId w:val="11"/>
  </w:num>
  <w:num w:numId="34">
    <w:abstractNumId w:val="19"/>
  </w:num>
  <w:num w:numId="35">
    <w:abstractNumId w:val="23"/>
  </w:num>
  <w:num w:numId="36">
    <w:abstractNumId w:val="32"/>
  </w:num>
  <w:num w:numId="37">
    <w:abstractNumId w:val="12"/>
  </w:num>
  <w:num w:numId="38">
    <w:abstractNumId w:val="31"/>
  </w:num>
  <w:num w:numId="39">
    <w:abstractNumId w:val="0"/>
  </w:num>
  <w:num w:numId="40">
    <w:abstractNumId w:val="2"/>
  </w:num>
  <w:num w:numId="41">
    <w:abstractNumId w:val="9"/>
  </w:num>
  <w:num w:numId="42">
    <w:abstractNumId w:val="3"/>
  </w:num>
  <w:num w:numId="43">
    <w:abstractNumId w:val="30"/>
  </w:num>
  <w:num w:numId="44">
    <w:abstractNumId w:val="17"/>
  </w:num>
  <w:num w:numId="45">
    <w:abstractNumId w:val="7"/>
  </w:num>
  <w:num w:numId="46">
    <w:abstractNumId w:val="15"/>
  </w:num>
  <w:num w:numId="4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10D"/>
    <w:rsid w:val="00000BE9"/>
    <w:rsid w:val="00000E5E"/>
    <w:rsid w:val="00001652"/>
    <w:rsid w:val="0000171B"/>
    <w:rsid w:val="000021C0"/>
    <w:rsid w:val="000021E8"/>
    <w:rsid w:val="000029AF"/>
    <w:rsid w:val="00002FFD"/>
    <w:rsid w:val="000032CF"/>
    <w:rsid w:val="000040B8"/>
    <w:rsid w:val="000053DF"/>
    <w:rsid w:val="000056D2"/>
    <w:rsid w:val="00005C4E"/>
    <w:rsid w:val="000062D5"/>
    <w:rsid w:val="00007B62"/>
    <w:rsid w:val="00007CE1"/>
    <w:rsid w:val="00007E69"/>
    <w:rsid w:val="00010D70"/>
    <w:rsid w:val="00012D55"/>
    <w:rsid w:val="00012E11"/>
    <w:rsid w:val="00013B53"/>
    <w:rsid w:val="0001412C"/>
    <w:rsid w:val="00015DF2"/>
    <w:rsid w:val="000166FA"/>
    <w:rsid w:val="0001764D"/>
    <w:rsid w:val="00020A7E"/>
    <w:rsid w:val="000213B5"/>
    <w:rsid w:val="0002179F"/>
    <w:rsid w:val="00021F12"/>
    <w:rsid w:val="00021F17"/>
    <w:rsid w:val="00023203"/>
    <w:rsid w:val="00023BF5"/>
    <w:rsid w:val="000244AD"/>
    <w:rsid w:val="00025A78"/>
    <w:rsid w:val="00025EF9"/>
    <w:rsid w:val="000274DD"/>
    <w:rsid w:val="00030F27"/>
    <w:rsid w:val="00030FF6"/>
    <w:rsid w:val="000322F5"/>
    <w:rsid w:val="00033324"/>
    <w:rsid w:val="00034633"/>
    <w:rsid w:val="000355D2"/>
    <w:rsid w:val="00036014"/>
    <w:rsid w:val="0003688F"/>
    <w:rsid w:val="00040ADD"/>
    <w:rsid w:val="000418BE"/>
    <w:rsid w:val="0004448B"/>
    <w:rsid w:val="000447C0"/>
    <w:rsid w:val="00044EB8"/>
    <w:rsid w:val="0004527A"/>
    <w:rsid w:val="00045371"/>
    <w:rsid w:val="00050CBF"/>
    <w:rsid w:val="00050DAB"/>
    <w:rsid w:val="00051BB8"/>
    <w:rsid w:val="00052920"/>
    <w:rsid w:val="00052B09"/>
    <w:rsid w:val="00052E38"/>
    <w:rsid w:val="0005397F"/>
    <w:rsid w:val="0005406D"/>
    <w:rsid w:val="000544B3"/>
    <w:rsid w:val="000549A8"/>
    <w:rsid w:val="000551A3"/>
    <w:rsid w:val="00055FBF"/>
    <w:rsid w:val="00057A10"/>
    <w:rsid w:val="00057BCD"/>
    <w:rsid w:val="0006172B"/>
    <w:rsid w:val="00062017"/>
    <w:rsid w:val="0006227D"/>
    <w:rsid w:val="00062885"/>
    <w:rsid w:val="0006476C"/>
    <w:rsid w:val="00064DDE"/>
    <w:rsid w:val="00065FDE"/>
    <w:rsid w:val="00066FF7"/>
    <w:rsid w:val="00067144"/>
    <w:rsid w:val="0006742A"/>
    <w:rsid w:val="00067810"/>
    <w:rsid w:val="00070078"/>
    <w:rsid w:val="00070CE6"/>
    <w:rsid w:val="00070F6C"/>
    <w:rsid w:val="00071671"/>
    <w:rsid w:val="00073794"/>
    <w:rsid w:val="000748D0"/>
    <w:rsid w:val="00074D8A"/>
    <w:rsid w:val="00075D1C"/>
    <w:rsid w:val="00076130"/>
    <w:rsid w:val="00076752"/>
    <w:rsid w:val="00076E3B"/>
    <w:rsid w:val="000771D7"/>
    <w:rsid w:val="000771E1"/>
    <w:rsid w:val="00081237"/>
    <w:rsid w:val="000813CB"/>
    <w:rsid w:val="0008151F"/>
    <w:rsid w:val="00081FDC"/>
    <w:rsid w:val="0008265F"/>
    <w:rsid w:val="00082AF3"/>
    <w:rsid w:val="00083534"/>
    <w:rsid w:val="00083855"/>
    <w:rsid w:val="000844FA"/>
    <w:rsid w:val="00084722"/>
    <w:rsid w:val="00084FFD"/>
    <w:rsid w:val="00086C95"/>
    <w:rsid w:val="0009019F"/>
    <w:rsid w:val="00090947"/>
    <w:rsid w:val="000923C2"/>
    <w:rsid w:val="0009275A"/>
    <w:rsid w:val="00092BFB"/>
    <w:rsid w:val="00093599"/>
    <w:rsid w:val="00093851"/>
    <w:rsid w:val="00093CBA"/>
    <w:rsid w:val="000941A6"/>
    <w:rsid w:val="00094514"/>
    <w:rsid w:val="000952AE"/>
    <w:rsid w:val="000952E9"/>
    <w:rsid w:val="000954B7"/>
    <w:rsid w:val="00095852"/>
    <w:rsid w:val="00095AD1"/>
    <w:rsid w:val="00095DA4"/>
    <w:rsid w:val="00096E45"/>
    <w:rsid w:val="00097233"/>
    <w:rsid w:val="0009776A"/>
    <w:rsid w:val="00097E78"/>
    <w:rsid w:val="000A05B3"/>
    <w:rsid w:val="000A0E47"/>
    <w:rsid w:val="000A0EEC"/>
    <w:rsid w:val="000A16FC"/>
    <w:rsid w:val="000A1AB0"/>
    <w:rsid w:val="000A1B0E"/>
    <w:rsid w:val="000A25F8"/>
    <w:rsid w:val="000A269F"/>
    <w:rsid w:val="000A294E"/>
    <w:rsid w:val="000A4D4C"/>
    <w:rsid w:val="000A51D0"/>
    <w:rsid w:val="000A65BD"/>
    <w:rsid w:val="000B1895"/>
    <w:rsid w:val="000B1C31"/>
    <w:rsid w:val="000B209A"/>
    <w:rsid w:val="000B3992"/>
    <w:rsid w:val="000B3F2C"/>
    <w:rsid w:val="000B4E1C"/>
    <w:rsid w:val="000B5080"/>
    <w:rsid w:val="000B557A"/>
    <w:rsid w:val="000B5976"/>
    <w:rsid w:val="000B69A3"/>
    <w:rsid w:val="000B6FCC"/>
    <w:rsid w:val="000B7CC1"/>
    <w:rsid w:val="000C0801"/>
    <w:rsid w:val="000C08DE"/>
    <w:rsid w:val="000C0C69"/>
    <w:rsid w:val="000C12F0"/>
    <w:rsid w:val="000C16F7"/>
    <w:rsid w:val="000C38A1"/>
    <w:rsid w:val="000C3EC6"/>
    <w:rsid w:val="000C4B8C"/>
    <w:rsid w:val="000C6070"/>
    <w:rsid w:val="000C6A8B"/>
    <w:rsid w:val="000C6F20"/>
    <w:rsid w:val="000C7137"/>
    <w:rsid w:val="000C7917"/>
    <w:rsid w:val="000C7BCF"/>
    <w:rsid w:val="000D03DB"/>
    <w:rsid w:val="000D0592"/>
    <w:rsid w:val="000D2FDB"/>
    <w:rsid w:val="000D4A72"/>
    <w:rsid w:val="000D5BEC"/>
    <w:rsid w:val="000D69C4"/>
    <w:rsid w:val="000D72B1"/>
    <w:rsid w:val="000D74C8"/>
    <w:rsid w:val="000D7F06"/>
    <w:rsid w:val="000E17D4"/>
    <w:rsid w:val="000E1F2B"/>
    <w:rsid w:val="000E27AC"/>
    <w:rsid w:val="000E365C"/>
    <w:rsid w:val="000E3AB9"/>
    <w:rsid w:val="000E589E"/>
    <w:rsid w:val="000E6CCB"/>
    <w:rsid w:val="000E737E"/>
    <w:rsid w:val="000E762C"/>
    <w:rsid w:val="000E7893"/>
    <w:rsid w:val="000F0EC5"/>
    <w:rsid w:val="000F1376"/>
    <w:rsid w:val="000F2AA9"/>
    <w:rsid w:val="000F2F89"/>
    <w:rsid w:val="000F52B5"/>
    <w:rsid w:val="000F5CC3"/>
    <w:rsid w:val="000F6A01"/>
    <w:rsid w:val="000F6DE6"/>
    <w:rsid w:val="000F7200"/>
    <w:rsid w:val="000F75E6"/>
    <w:rsid w:val="001004C6"/>
    <w:rsid w:val="00100BCD"/>
    <w:rsid w:val="001027F5"/>
    <w:rsid w:val="00102CC4"/>
    <w:rsid w:val="00103570"/>
    <w:rsid w:val="00103A27"/>
    <w:rsid w:val="0010445B"/>
    <w:rsid w:val="00104A73"/>
    <w:rsid w:val="00104E28"/>
    <w:rsid w:val="001055A0"/>
    <w:rsid w:val="00105C59"/>
    <w:rsid w:val="0010663D"/>
    <w:rsid w:val="00106755"/>
    <w:rsid w:val="00106D8D"/>
    <w:rsid w:val="001070CE"/>
    <w:rsid w:val="0010743E"/>
    <w:rsid w:val="001076B3"/>
    <w:rsid w:val="0010793B"/>
    <w:rsid w:val="001100DA"/>
    <w:rsid w:val="00110188"/>
    <w:rsid w:val="0011036D"/>
    <w:rsid w:val="00111FC5"/>
    <w:rsid w:val="001129EF"/>
    <w:rsid w:val="0011317E"/>
    <w:rsid w:val="00113812"/>
    <w:rsid w:val="00114934"/>
    <w:rsid w:val="0011526B"/>
    <w:rsid w:val="0011685B"/>
    <w:rsid w:val="00116DFB"/>
    <w:rsid w:val="00116F41"/>
    <w:rsid w:val="001177D0"/>
    <w:rsid w:val="00117BFF"/>
    <w:rsid w:val="0012106E"/>
    <w:rsid w:val="001232D3"/>
    <w:rsid w:val="001239F0"/>
    <w:rsid w:val="00123F0E"/>
    <w:rsid w:val="001259F8"/>
    <w:rsid w:val="0012625D"/>
    <w:rsid w:val="0013154A"/>
    <w:rsid w:val="0013184C"/>
    <w:rsid w:val="00131EC2"/>
    <w:rsid w:val="00131FE0"/>
    <w:rsid w:val="001327C3"/>
    <w:rsid w:val="00134EC7"/>
    <w:rsid w:val="00135F56"/>
    <w:rsid w:val="001374D2"/>
    <w:rsid w:val="001375F6"/>
    <w:rsid w:val="0013767A"/>
    <w:rsid w:val="0014065B"/>
    <w:rsid w:val="001419C8"/>
    <w:rsid w:val="00141A2D"/>
    <w:rsid w:val="00141C9E"/>
    <w:rsid w:val="00141DB1"/>
    <w:rsid w:val="00141F0F"/>
    <w:rsid w:val="00144116"/>
    <w:rsid w:val="0014471F"/>
    <w:rsid w:val="0014571F"/>
    <w:rsid w:val="00145EA3"/>
    <w:rsid w:val="0014778E"/>
    <w:rsid w:val="00147EAE"/>
    <w:rsid w:val="00150799"/>
    <w:rsid w:val="0015097B"/>
    <w:rsid w:val="00150986"/>
    <w:rsid w:val="0015115A"/>
    <w:rsid w:val="0015297B"/>
    <w:rsid w:val="00152C22"/>
    <w:rsid w:val="00153EAD"/>
    <w:rsid w:val="001547A0"/>
    <w:rsid w:val="00155130"/>
    <w:rsid w:val="001556FB"/>
    <w:rsid w:val="00155B08"/>
    <w:rsid w:val="001564E6"/>
    <w:rsid w:val="00156DCB"/>
    <w:rsid w:val="00156E39"/>
    <w:rsid w:val="00156FAB"/>
    <w:rsid w:val="0015726B"/>
    <w:rsid w:val="00157948"/>
    <w:rsid w:val="00157EC7"/>
    <w:rsid w:val="00157FA1"/>
    <w:rsid w:val="00160B70"/>
    <w:rsid w:val="0016185B"/>
    <w:rsid w:val="001619D9"/>
    <w:rsid w:val="00161AA5"/>
    <w:rsid w:val="001622F6"/>
    <w:rsid w:val="00164933"/>
    <w:rsid w:val="00164AD5"/>
    <w:rsid w:val="00164F4A"/>
    <w:rsid w:val="0016537B"/>
    <w:rsid w:val="00165FC2"/>
    <w:rsid w:val="00166F5E"/>
    <w:rsid w:val="00170406"/>
    <w:rsid w:val="001709DA"/>
    <w:rsid w:val="00170B6C"/>
    <w:rsid w:val="00171C9C"/>
    <w:rsid w:val="00174680"/>
    <w:rsid w:val="001750C8"/>
    <w:rsid w:val="00176484"/>
    <w:rsid w:val="0017681F"/>
    <w:rsid w:val="00176BE7"/>
    <w:rsid w:val="0017749D"/>
    <w:rsid w:val="0017750E"/>
    <w:rsid w:val="00177BAB"/>
    <w:rsid w:val="001801A2"/>
    <w:rsid w:val="001804B2"/>
    <w:rsid w:val="00180EF0"/>
    <w:rsid w:val="0018179C"/>
    <w:rsid w:val="00181851"/>
    <w:rsid w:val="001819D7"/>
    <w:rsid w:val="00182BD9"/>
    <w:rsid w:val="00182EBC"/>
    <w:rsid w:val="00182FFA"/>
    <w:rsid w:val="001852D6"/>
    <w:rsid w:val="001860A3"/>
    <w:rsid w:val="00187C55"/>
    <w:rsid w:val="00191F64"/>
    <w:rsid w:val="00192A92"/>
    <w:rsid w:val="00193E9F"/>
    <w:rsid w:val="001954E7"/>
    <w:rsid w:val="00195CCA"/>
    <w:rsid w:val="00196075"/>
    <w:rsid w:val="00196D3C"/>
    <w:rsid w:val="0019701C"/>
    <w:rsid w:val="001976B2"/>
    <w:rsid w:val="00197863"/>
    <w:rsid w:val="001A09D4"/>
    <w:rsid w:val="001A0DA6"/>
    <w:rsid w:val="001A1C75"/>
    <w:rsid w:val="001A296A"/>
    <w:rsid w:val="001A3929"/>
    <w:rsid w:val="001A4E0F"/>
    <w:rsid w:val="001A5443"/>
    <w:rsid w:val="001A70E8"/>
    <w:rsid w:val="001A736A"/>
    <w:rsid w:val="001A7D27"/>
    <w:rsid w:val="001B102A"/>
    <w:rsid w:val="001B1498"/>
    <w:rsid w:val="001B1570"/>
    <w:rsid w:val="001B258C"/>
    <w:rsid w:val="001B54A6"/>
    <w:rsid w:val="001B6822"/>
    <w:rsid w:val="001B6DA9"/>
    <w:rsid w:val="001B7C22"/>
    <w:rsid w:val="001B7FFE"/>
    <w:rsid w:val="001C03EF"/>
    <w:rsid w:val="001C08A2"/>
    <w:rsid w:val="001C0B78"/>
    <w:rsid w:val="001C15C1"/>
    <w:rsid w:val="001C17AE"/>
    <w:rsid w:val="001C1E1C"/>
    <w:rsid w:val="001C2010"/>
    <w:rsid w:val="001C20DC"/>
    <w:rsid w:val="001C21A5"/>
    <w:rsid w:val="001C2AA4"/>
    <w:rsid w:val="001C32EB"/>
    <w:rsid w:val="001C3658"/>
    <w:rsid w:val="001C47C9"/>
    <w:rsid w:val="001C50D5"/>
    <w:rsid w:val="001C510A"/>
    <w:rsid w:val="001C526C"/>
    <w:rsid w:val="001C5AD9"/>
    <w:rsid w:val="001C5AF0"/>
    <w:rsid w:val="001C6934"/>
    <w:rsid w:val="001C7686"/>
    <w:rsid w:val="001C7ABA"/>
    <w:rsid w:val="001C7D65"/>
    <w:rsid w:val="001D17AB"/>
    <w:rsid w:val="001D1892"/>
    <w:rsid w:val="001D1A33"/>
    <w:rsid w:val="001D26BA"/>
    <w:rsid w:val="001D4801"/>
    <w:rsid w:val="001D4D27"/>
    <w:rsid w:val="001D590D"/>
    <w:rsid w:val="001D6F60"/>
    <w:rsid w:val="001D7B8A"/>
    <w:rsid w:val="001D7CBB"/>
    <w:rsid w:val="001D7F56"/>
    <w:rsid w:val="001E013F"/>
    <w:rsid w:val="001E041D"/>
    <w:rsid w:val="001E17E0"/>
    <w:rsid w:val="001E1C8D"/>
    <w:rsid w:val="001E298D"/>
    <w:rsid w:val="001E50AA"/>
    <w:rsid w:val="001E5BF2"/>
    <w:rsid w:val="001E5C9D"/>
    <w:rsid w:val="001E67BC"/>
    <w:rsid w:val="001E7148"/>
    <w:rsid w:val="001E7EB1"/>
    <w:rsid w:val="001F0FBD"/>
    <w:rsid w:val="001F1545"/>
    <w:rsid w:val="001F1E3A"/>
    <w:rsid w:val="001F25D5"/>
    <w:rsid w:val="001F3DAB"/>
    <w:rsid w:val="001F4079"/>
    <w:rsid w:val="001F437E"/>
    <w:rsid w:val="001F4BB4"/>
    <w:rsid w:val="001F64F7"/>
    <w:rsid w:val="001F708B"/>
    <w:rsid w:val="001F7099"/>
    <w:rsid w:val="001F7ECA"/>
    <w:rsid w:val="001F7EEE"/>
    <w:rsid w:val="0020064E"/>
    <w:rsid w:val="00200661"/>
    <w:rsid w:val="00200EF5"/>
    <w:rsid w:val="00201414"/>
    <w:rsid w:val="002014CE"/>
    <w:rsid w:val="00201E1A"/>
    <w:rsid w:val="00201FA7"/>
    <w:rsid w:val="002030DC"/>
    <w:rsid w:val="00203207"/>
    <w:rsid w:val="00206473"/>
    <w:rsid w:val="00206A50"/>
    <w:rsid w:val="00206A76"/>
    <w:rsid w:val="00210D57"/>
    <w:rsid w:val="00211290"/>
    <w:rsid w:val="0021150F"/>
    <w:rsid w:val="0021217D"/>
    <w:rsid w:val="00212609"/>
    <w:rsid w:val="00212B99"/>
    <w:rsid w:val="00213654"/>
    <w:rsid w:val="00213C0A"/>
    <w:rsid w:val="00213EE9"/>
    <w:rsid w:val="00214B2D"/>
    <w:rsid w:val="00214F56"/>
    <w:rsid w:val="00215295"/>
    <w:rsid w:val="00216BDB"/>
    <w:rsid w:val="00220018"/>
    <w:rsid w:val="0022093A"/>
    <w:rsid w:val="00220C72"/>
    <w:rsid w:val="00222639"/>
    <w:rsid w:val="002227CA"/>
    <w:rsid w:val="00224004"/>
    <w:rsid w:val="0022418F"/>
    <w:rsid w:val="0022441A"/>
    <w:rsid w:val="00225C64"/>
    <w:rsid w:val="002267EE"/>
    <w:rsid w:val="00226D4F"/>
    <w:rsid w:val="0023117B"/>
    <w:rsid w:val="002337FA"/>
    <w:rsid w:val="00233F0E"/>
    <w:rsid w:val="00234168"/>
    <w:rsid w:val="00234765"/>
    <w:rsid w:val="002350FE"/>
    <w:rsid w:val="002356D0"/>
    <w:rsid w:val="00235CE3"/>
    <w:rsid w:val="0023794B"/>
    <w:rsid w:val="0024098D"/>
    <w:rsid w:val="002419E4"/>
    <w:rsid w:val="00242544"/>
    <w:rsid w:val="00242800"/>
    <w:rsid w:val="002428AC"/>
    <w:rsid w:val="00242927"/>
    <w:rsid w:val="002438CE"/>
    <w:rsid w:val="00243D2B"/>
    <w:rsid w:val="00243ED4"/>
    <w:rsid w:val="00244334"/>
    <w:rsid w:val="0024743D"/>
    <w:rsid w:val="00247E3A"/>
    <w:rsid w:val="00247F15"/>
    <w:rsid w:val="00251746"/>
    <w:rsid w:val="00252584"/>
    <w:rsid w:val="002527DE"/>
    <w:rsid w:val="002528CC"/>
    <w:rsid w:val="00252AEF"/>
    <w:rsid w:val="00252BA8"/>
    <w:rsid w:val="00252DAC"/>
    <w:rsid w:val="00253692"/>
    <w:rsid w:val="002538B1"/>
    <w:rsid w:val="002538CA"/>
    <w:rsid w:val="002540D1"/>
    <w:rsid w:val="002549CB"/>
    <w:rsid w:val="00255310"/>
    <w:rsid w:val="002561E9"/>
    <w:rsid w:val="002564FA"/>
    <w:rsid w:val="00257962"/>
    <w:rsid w:val="00257AAE"/>
    <w:rsid w:val="002604D8"/>
    <w:rsid w:val="00260ADE"/>
    <w:rsid w:val="00261493"/>
    <w:rsid w:val="00262685"/>
    <w:rsid w:val="002628FD"/>
    <w:rsid w:val="00262DF9"/>
    <w:rsid w:val="002638F7"/>
    <w:rsid w:val="00263F9A"/>
    <w:rsid w:val="0026475D"/>
    <w:rsid w:val="00264E90"/>
    <w:rsid w:val="0026530B"/>
    <w:rsid w:val="00265962"/>
    <w:rsid w:val="0026696E"/>
    <w:rsid w:val="002670BC"/>
    <w:rsid w:val="00267635"/>
    <w:rsid w:val="00267879"/>
    <w:rsid w:val="00267968"/>
    <w:rsid w:val="002707A4"/>
    <w:rsid w:val="00270F6B"/>
    <w:rsid w:val="00271A6F"/>
    <w:rsid w:val="00271DE4"/>
    <w:rsid w:val="00274356"/>
    <w:rsid w:val="0027488E"/>
    <w:rsid w:val="00274F3A"/>
    <w:rsid w:val="0027540C"/>
    <w:rsid w:val="002758A7"/>
    <w:rsid w:val="002768E2"/>
    <w:rsid w:val="00276A09"/>
    <w:rsid w:val="00277ACF"/>
    <w:rsid w:val="00277D3C"/>
    <w:rsid w:val="00280430"/>
    <w:rsid w:val="00280D67"/>
    <w:rsid w:val="00280E81"/>
    <w:rsid w:val="00283F2A"/>
    <w:rsid w:val="00283FE6"/>
    <w:rsid w:val="00283FEB"/>
    <w:rsid w:val="00284141"/>
    <w:rsid w:val="00284A75"/>
    <w:rsid w:val="002853B5"/>
    <w:rsid w:val="00285782"/>
    <w:rsid w:val="00286141"/>
    <w:rsid w:val="00286144"/>
    <w:rsid w:val="00287491"/>
    <w:rsid w:val="00287957"/>
    <w:rsid w:val="00287BA3"/>
    <w:rsid w:val="00290E29"/>
    <w:rsid w:val="00291B27"/>
    <w:rsid w:val="002924F1"/>
    <w:rsid w:val="002929D9"/>
    <w:rsid w:val="00293662"/>
    <w:rsid w:val="00293C57"/>
    <w:rsid w:val="00294366"/>
    <w:rsid w:val="00294989"/>
    <w:rsid w:val="00295572"/>
    <w:rsid w:val="00295CB7"/>
    <w:rsid w:val="002967BC"/>
    <w:rsid w:val="00296C55"/>
    <w:rsid w:val="00296CF7"/>
    <w:rsid w:val="00297D9E"/>
    <w:rsid w:val="00297F6D"/>
    <w:rsid w:val="002A025A"/>
    <w:rsid w:val="002A0A18"/>
    <w:rsid w:val="002A0CBB"/>
    <w:rsid w:val="002A14AB"/>
    <w:rsid w:val="002A1CB7"/>
    <w:rsid w:val="002A1E14"/>
    <w:rsid w:val="002A5678"/>
    <w:rsid w:val="002B09BD"/>
    <w:rsid w:val="002B1A9A"/>
    <w:rsid w:val="002B30E7"/>
    <w:rsid w:val="002B40C2"/>
    <w:rsid w:val="002B4C53"/>
    <w:rsid w:val="002B7C24"/>
    <w:rsid w:val="002C05C7"/>
    <w:rsid w:val="002C1BEC"/>
    <w:rsid w:val="002C1E9A"/>
    <w:rsid w:val="002C23A1"/>
    <w:rsid w:val="002C2BBE"/>
    <w:rsid w:val="002C3D29"/>
    <w:rsid w:val="002C3D2B"/>
    <w:rsid w:val="002C4134"/>
    <w:rsid w:val="002C50A3"/>
    <w:rsid w:val="002C52F3"/>
    <w:rsid w:val="002C5AA7"/>
    <w:rsid w:val="002C610F"/>
    <w:rsid w:val="002C64F9"/>
    <w:rsid w:val="002C665A"/>
    <w:rsid w:val="002C7716"/>
    <w:rsid w:val="002C7DB6"/>
    <w:rsid w:val="002D1F6C"/>
    <w:rsid w:val="002D281B"/>
    <w:rsid w:val="002D2ACB"/>
    <w:rsid w:val="002D37C3"/>
    <w:rsid w:val="002D40E5"/>
    <w:rsid w:val="002D5484"/>
    <w:rsid w:val="002D6A5D"/>
    <w:rsid w:val="002D7042"/>
    <w:rsid w:val="002D71B0"/>
    <w:rsid w:val="002D724F"/>
    <w:rsid w:val="002D73B2"/>
    <w:rsid w:val="002E0251"/>
    <w:rsid w:val="002E0869"/>
    <w:rsid w:val="002E19F3"/>
    <w:rsid w:val="002E2392"/>
    <w:rsid w:val="002E29BC"/>
    <w:rsid w:val="002E3926"/>
    <w:rsid w:val="002E3B42"/>
    <w:rsid w:val="002E3F7D"/>
    <w:rsid w:val="002E4B38"/>
    <w:rsid w:val="002E4E39"/>
    <w:rsid w:val="002E592B"/>
    <w:rsid w:val="002E672C"/>
    <w:rsid w:val="002E6C14"/>
    <w:rsid w:val="002E71ED"/>
    <w:rsid w:val="002E7A88"/>
    <w:rsid w:val="002F1303"/>
    <w:rsid w:val="002F1DC8"/>
    <w:rsid w:val="002F324A"/>
    <w:rsid w:val="002F45E3"/>
    <w:rsid w:val="002F4808"/>
    <w:rsid w:val="002F4CD2"/>
    <w:rsid w:val="002F64A6"/>
    <w:rsid w:val="002F6F93"/>
    <w:rsid w:val="00300587"/>
    <w:rsid w:val="00301DAB"/>
    <w:rsid w:val="00302297"/>
    <w:rsid w:val="0030252E"/>
    <w:rsid w:val="00302612"/>
    <w:rsid w:val="00302A47"/>
    <w:rsid w:val="00304325"/>
    <w:rsid w:val="00304588"/>
    <w:rsid w:val="00304F44"/>
    <w:rsid w:val="00305088"/>
    <w:rsid w:val="0030509F"/>
    <w:rsid w:val="00305614"/>
    <w:rsid w:val="0031033A"/>
    <w:rsid w:val="00311D00"/>
    <w:rsid w:val="00312843"/>
    <w:rsid w:val="00313182"/>
    <w:rsid w:val="00313691"/>
    <w:rsid w:val="00313B99"/>
    <w:rsid w:val="00313DBD"/>
    <w:rsid w:val="00313E7C"/>
    <w:rsid w:val="003142E2"/>
    <w:rsid w:val="00315A7B"/>
    <w:rsid w:val="0031623E"/>
    <w:rsid w:val="003166E9"/>
    <w:rsid w:val="00316CD4"/>
    <w:rsid w:val="0031756E"/>
    <w:rsid w:val="003210D2"/>
    <w:rsid w:val="00321C3A"/>
    <w:rsid w:val="00322AB1"/>
    <w:rsid w:val="00322E12"/>
    <w:rsid w:val="00323648"/>
    <w:rsid w:val="00323878"/>
    <w:rsid w:val="00323FE5"/>
    <w:rsid w:val="0032568A"/>
    <w:rsid w:val="00326116"/>
    <w:rsid w:val="00326A66"/>
    <w:rsid w:val="00326B6A"/>
    <w:rsid w:val="00327953"/>
    <w:rsid w:val="003308CB"/>
    <w:rsid w:val="00331FC0"/>
    <w:rsid w:val="003321C8"/>
    <w:rsid w:val="00332910"/>
    <w:rsid w:val="00332C72"/>
    <w:rsid w:val="00332E04"/>
    <w:rsid w:val="003331D1"/>
    <w:rsid w:val="003332D3"/>
    <w:rsid w:val="003335DF"/>
    <w:rsid w:val="00335F69"/>
    <w:rsid w:val="00336595"/>
    <w:rsid w:val="003365EE"/>
    <w:rsid w:val="003371EF"/>
    <w:rsid w:val="00337AC3"/>
    <w:rsid w:val="003427B8"/>
    <w:rsid w:val="00343132"/>
    <w:rsid w:val="00343906"/>
    <w:rsid w:val="00343C53"/>
    <w:rsid w:val="0034413C"/>
    <w:rsid w:val="00344750"/>
    <w:rsid w:val="003448C2"/>
    <w:rsid w:val="00344B7F"/>
    <w:rsid w:val="00344E1E"/>
    <w:rsid w:val="003453F9"/>
    <w:rsid w:val="00345ACC"/>
    <w:rsid w:val="00346843"/>
    <w:rsid w:val="003473CF"/>
    <w:rsid w:val="00347F65"/>
    <w:rsid w:val="003506DB"/>
    <w:rsid w:val="0035221D"/>
    <w:rsid w:val="00352538"/>
    <w:rsid w:val="00352564"/>
    <w:rsid w:val="003544B9"/>
    <w:rsid w:val="003553B6"/>
    <w:rsid w:val="003560F5"/>
    <w:rsid w:val="003562A0"/>
    <w:rsid w:val="0035649D"/>
    <w:rsid w:val="00357A5C"/>
    <w:rsid w:val="00360794"/>
    <w:rsid w:val="00361053"/>
    <w:rsid w:val="00362929"/>
    <w:rsid w:val="00362EA5"/>
    <w:rsid w:val="003634B2"/>
    <w:rsid w:val="00363D2D"/>
    <w:rsid w:val="00364D7B"/>
    <w:rsid w:val="00365BAE"/>
    <w:rsid w:val="00367362"/>
    <w:rsid w:val="00370F7E"/>
    <w:rsid w:val="0037125F"/>
    <w:rsid w:val="00371319"/>
    <w:rsid w:val="00371CAD"/>
    <w:rsid w:val="00372975"/>
    <w:rsid w:val="003734C0"/>
    <w:rsid w:val="00373A4C"/>
    <w:rsid w:val="00373CE8"/>
    <w:rsid w:val="003752FF"/>
    <w:rsid w:val="00375352"/>
    <w:rsid w:val="00375915"/>
    <w:rsid w:val="00376AE3"/>
    <w:rsid w:val="003772BF"/>
    <w:rsid w:val="00377F03"/>
    <w:rsid w:val="00380755"/>
    <w:rsid w:val="00381452"/>
    <w:rsid w:val="003816F4"/>
    <w:rsid w:val="003824D4"/>
    <w:rsid w:val="00382C40"/>
    <w:rsid w:val="00383D0A"/>
    <w:rsid w:val="003847AC"/>
    <w:rsid w:val="00385700"/>
    <w:rsid w:val="00385C76"/>
    <w:rsid w:val="00386073"/>
    <w:rsid w:val="00386A8E"/>
    <w:rsid w:val="00386F93"/>
    <w:rsid w:val="00387CD8"/>
    <w:rsid w:val="003900E0"/>
    <w:rsid w:val="003909F1"/>
    <w:rsid w:val="00390A2D"/>
    <w:rsid w:val="003922AA"/>
    <w:rsid w:val="00392552"/>
    <w:rsid w:val="0039278D"/>
    <w:rsid w:val="00392841"/>
    <w:rsid w:val="00392975"/>
    <w:rsid w:val="00393074"/>
    <w:rsid w:val="003932DE"/>
    <w:rsid w:val="00393BC2"/>
    <w:rsid w:val="00394201"/>
    <w:rsid w:val="0039436E"/>
    <w:rsid w:val="0039522A"/>
    <w:rsid w:val="00395C46"/>
    <w:rsid w:val="00395EEF"/>
    <w:rsid w:val="00396A95"/>
    <w:rsid w:val="003A0429"/>
    <w:rsid w:val="003A0565"/>
    <w:rsid w:val="003A14C5"/>
    <w:rsid w:val="003A18D6"/>
    <w:rsid w:val="003A19FE"/>
    <w:rsid w:val="003A282B"/>
    <w:rsid w:val="003A3241"/>
    <w:rsid w:val="003A3A3E"/>
    <w:rsid w:val="003A4974"/>
    <w:rsid w:val="003A568D"/>
    <w:rsid w:val="003A64D9"/>
    <w:rsid w:val="003A66DA"/>
    <w:rsid w:val="003A6884"/>
    <w:rsid w:val="003A7276"/>
    <w:rsid w:val="003A7309"/>
    <w:rsid w:val="003A793F"/>
    <w:rsid w:val="003A7C78"/>
    <w:rsid w:val="003B19D2"/>
    <w:rsid w:val="003B2BBA"/>
    <w:rsid w:val="003B2EE7"/>
    <w:rsid w:val="003B2FC7"/>
    <w:rsid w:val="003B32C2"/>
    <w:rsid w:val="003B4050"/>
    <w:rsid w:val="003B459A"/>
    <w:rsid w:val="003B5355"/>
    <w:rsid w:val="003B61E3"/>
    <w:rsid w:val="003B6BBF"/>
    <w:rsid w:val="003B70DE"/>
    <w:rsid w:val="003C09CD"/>
    <w:rsid w:val="003C0A06"/>
    <w:rsid w:val="003C0E1C"/>
    <w:rsid w:val="003C11F5"/>
    <w:rsid w:val="003C24D0"/>
    <w:rsid w:val="003C2A6D"/>
    <w:rsid w:val="003C2B0B"/>
    <w:rsid w:val="003C31CE"/>
    <w:rsid w:val="003C3472"/>
    <w:rsid w:val="003C39A4"/>
    <w:rsid w:val="003C416D"/>
    <w:rsid w:val="003C4810"/>
    <w:rsid w:val="003C52D6"/>
    <w:rsid w:val="003C5EE2"/>
    <w:rsid w:val="003C68E1"/>
    <w:rsid w:val="003C720C"/>
    <w:rsid w:val="003C79D9"/>
    <w:rsid w:val="003C7F42"/>
    <w:rsid w:val="003D147C"/>
    <w:rsid w:val="003D1AF4"/>
    <w:rsid w:val="003D1B3A"/>
    <w:rsid w:val="003D208D"/>
    <w:rsid w:val="003D250D"/>
    <w:rsid w:val="003D280C"/>
    <w:rsid w:val="003D3C69"/>
    <w:rsid w:val="003D3D39"/>
    <w:rsid w:val="003D42CF"/>
    <w:rsid w:val="003D45BD"/>
    <w:rsid w:val="003D4F35"/>
    <w:rsid w:val="003D60FC"/>
    <w:rsid w:val="003D6850"/>
    <w:rsid w:val="003D70FA"/>
    <w:rsid w:val="003E03BB"/>
    <w:rsid w:val="003E0C53"/>
    <w:rsid w:val="003E2336"/>
    <w:rsid w:val="003E2ADC"/>
    <w:rsid w:val="003E3156"/>
    <w:rsid w:val="003E3182"/>
    <w:rsid w:val="003E3639"/>
    <w:rsid w:val="003E4184"/>
    <w:rsid w:val="003E4479"/>
    <w:rsid w:val="003E53E0"/>
    <w:rsid w:val="003E54C5"/>
    <w:rsid w:val="003E7E40"/>
    <w:rsid w:val="003F0B72"/>
    <w:rsid w:val="003F124D"/>
    <w:rsid w:val="003F12E8"/>
    <w:rsid w:val="003F1A34"/>
    <w:rsid w:val="003F4AD4"/>
    <w:rsid w:val="003F6252"/>
    <w:rsid w:val="003F6B6E"/>
    <w:rsid w:val="003F6FA6"/>
    <w:rsid w:val="003F7479"/>
    <w:rsid w:val="003F74E6"/>
    <w:rsid w:val="004006AA"/>
    <w:rsid w:val="00400C82"/>
    <w:rsid w:val="00400CB7"/>
    <w:rsid w:val="004033BD"/>
    <w:rsid w:val="0040424B"/>
    <w:rsid w:val="004043FD"/>
    <w:rsid w:val="00405CE6"/>
    <w:rsid w:val="00406165"/>
    <w:rsid w:val="004061C2"/>
    <w:rsid w:val="00406584"/>
    <w:rsid w:val="00407643"/>
    <w:rsid w:val="00407B30"/>
    <w:rsid w:val="00407D7D"/>
    <w:rsid w:val="00407FCA"/>
    <w:rsid w:val="0041177B"/>
    <w:rsid w:val="00412A8B"/>
    <w:rsid w:val="00412C8D"/>
    <w:rsid w:val="0041515A"/>
    <w:rsid w:val="004151F9"/>
    <w:rsid w:val="00417A30"/>
    <w:rsid w:val="00417DE4"/>
    <w:rsid w:val="00420335"/>
    <w:rsid w:val="00421195"/>
    <w:rsid w:val="00421B72"/>
    <w:rsid w:val="004229D3"/>
    <w:rsid w:val="00423B8B"/>
    <w:rsid w:val="00423EC0"/>
    <w:rsid w:val="00423FFA"/>
    <w:rsid w:val="0042464A"/>
    <w:rsid w:val="00425043"/>
    <w:rsid w:val="004256C6"/>
    <w:rsid w:val="00425B31"/>
    <w:rsid w:val="00427025"/>
    <w:rsid w:val="0042738C"/>
    <w:rsid w:val="0042759D"/>
    <w:rsid w:val="004279A1"/>
    <w:rsid w:val="00430197"/>
    <w:rsid w:val="0043138E"/>
    <w:rsid w:val="00431408"/>
    <w:rsid w:val="00431F0C"/>
    <w:rsid w:val="00433138"/>
    <w:rsid w:val="0043352D"/>
    <w:rsid w:val="0043356F"/>
    <w:rsid w:val="00433AF9"/>
    <w:rsid w:val="00433B3C"/>
    <w:rsid w:val="00434BC7"/>
    <w:rsid w:val="0043508E"/>
    <w:rsid w:val="0043694F"/>
    <w:rsid w:val="004371BE"/>
    <w:rsid w:val="00437654"/>
    <w:rsid w:val="00437840"/>
    <w:rsid w:val="00440057"/>
    <w:rsid w:val="004401C1"/>
    <w:rsid w:val="00440573"/>
    <w:rsid w:val="004412A3"/>
    <w:rsid w:val="00442A6E"/>
    <w:rsid w:val="00443128"/>
    <w:rsid w:val="0044317A"/>
    <w:rsid w:val="00444204"/>
    <w:rsid w:val="004454DC"/>
    <w:rsid w:val="00446153"/>
    <w:rsid w:val="00446B0C"/>
    <w:rsid w:val="004477F4"/>
    <w:rsid w:val="00447C00"/>
    <w:rsid w:val="00447E01"/>
    <w:rsid w:val="00451750"/>
    <w:rsid w:val="00453998"/>
    <w:rsid w:val="00453DBF"/>
    <w:rsid w:val="00454567"/>
    <w:rsid w:val="00455568"/>
    <w:rsid w:val="0045605F"/>
    <w:rsid w:val="00456226"/>
    <w:rsid w:val="00457356"/>
    <w:rsid w:val="0046097C"/>
    <w:rsid w:val="00460EAC"/>
    <w:rsid w:val="00461D9C"/>
    <w:rsid w:val="00462FF0"/>
    <w:rsid w:val="0046339E"/>
    <w:rsid w:val="004634F2"/>
    <w:rsid w:val="00464131"/>
    <w:rsid w:val="00464442"/>
    <w:rsid w:val="00464DB8"/>
    <w:rsid w:val="00465751"/>
    <w:rsid w:val="00465F75"/>
    <w:rsid w:val="0046650A"/>
    <w:rsid w:val="00466764"/>
    <w:rsid w:val="0046681F"/>
    <w:rsid w:val="00466842"/>
    <w:rsid w:val="0046797E"/>
    <w:rsid w:val="00467AA6"/>
    <w:rsid w:val="00467D71"/>
    <w:rsid w:val="004703B1"/>
    <w:rsid w:val="004708DA"/>
    <w:rsid w:val="00470E07"/>
    <w:rsid w:val="00472308"/>
    <w:rsid w:val="00472685"/>
    <w:rsid w:val="0047314A"/>
    <w:rsid w:val="00473614"/>
    <w:rsid w:val="0047455C"/>
    <w:rsid w:val="0047548D"/>
    <w:rsid w:val="004756EC"/>
    <w:rsid w:val="00475CFD"/>
    <w:rsid w:val="00477A38"/>
    <w:rsid w:val="00480A01"/>
    <w:rsid w:val="00482D58"/>
    <w:rsid w:val="00482E95"/>
    <w:rsid w:val="004833E4"/>
    <w:rsid w:val="00483AFE"/>
    <w:rsid w:val="00485F41"/>
    <w:rsid w:val="004866C0"/>
    <w:rsid w:val="00487EC8"/>
    <w:rsid w:val="00490245"/>
    <w:rsid w:val="004916CF"/>
    <w:rsid w:val="004918F3"/>
    <w:rsid w:val="004924BE"/>
    <w:rsid w:val="004953F5"/>
    <w:rsid w:val="0049549F"/>
    <w:rsid w:val="00495632"/>
    <w:rsid w:val="00495E1F"/>
    <w:rsid w:val="00496E0D"/>
    <w:rsid w:val="00497051"/>
    <w:rsid w:val="004971C7"/>
    <w:rsid w:val="00497CB2"/>
    <w:rsid w:val="00497EF2"/>
    <w:rsid w:val="004A1196"/>
    <w:rsid w:val="004A12CD"/>
    <w:rsid w:val="004A1C21"/>
    <w:rsid w:val="004A275E"/>
    <w:rsid w:val="004A2A63"/>
    <w:rsid w:val="004A3CFA"/>
    <w:rsid w:val="004A3F9C"/>
    <w:rsid w:val="004A4A85"/>
    <w:rsid w:val="004A4E6A"/>
    <w:rsid w:val="004A5AFA"/>
    <w:rsid w:val="004A5C08"/>
    <w:rsid w:val="004A5D86"/>
    <w:rsid w:val="004A6FAD"/>
    <w:rsid w:val="004A7E8F"/>
    <w:rsid w:val="004B0947"/>
    <w:rsid w:val="004B1046"/>
    <w:rsid w:val="004B1A4C"/>
    <w:rsid w:val="004B2E56"/>
    <w:rsid w:val="004B3659"/>
    <w:rsid w:val="004B426B"/>
    <w:rsid w:val="004B4B5A"/>
    <w:rsid w:val="004B6DDE"/>
    <w:rsid w:val="004B766B"/>
    <w:rsid w:val="004C0F9A"/>
    <w:rsid w:val="004C1160"/>
    <w:rsid w:val="004C151B"/>
    <w:rsid w:val="004C1EF4"/>
    <w:rsid w:val="004C2574"/>
    <w:rsid w:val="004C4662"/>
    <w:rsid w:val="004C4B43"/>
    <w:rsid w:val="004C62F4"/>
    <w:rsid w:val="004C6C69"/>
    <w:rsid w:val="004C6C73"/>
    <w:rsid w:val="004C6CBF"/>
    <w:rsid w:val="004C6E84"/>
    <w:rsid w:val="004C7121"/>
    <w:rsid w:val="004C7A5A"/>
    <w:rsid w:val="004D037F"/>
    <w:rsid w:val="004D118E"/>
    <w:rsid w:val="004D2EDC"/>
    <w:rsid w:val="004D416D"/>
    <w:rsid w:val="004D41C4"/>
    <w:rsid w:val="004D4CDC"/>
    <w:rsid w:val="004D51B0"/>
    <w:rsid w:val="004D56F3"/>
    <w:rsid w:val="004D5A43"/>
    <w:rsid w:val="004D7DA4"/>
    <w:rsid w:val="004E0ACC"/>
    <w:rsid w:val="004E1526"/>
    <w:rsid w:val="004E1C3F"/>
    <w:rsid w:val="004E1D76"/>
    <w:rsid w:val="004E2C88"/>
    <w:rsid w:val="004E3086"/>
    <w:rsid w:val="004E3A41"/>
    <w:rsid w:val="004E3B5F"/>
    <w:rsid w:val="004E3EC6"/>
    <w:rsid w:val="004E5127"/>
    <w:rsid w:val="004E5225"/>
    <w:rsid w:val="004E5A53"/>
    <w:rsid w:val="004E7D21"/>
    <w:rsid w:val="004F0C00"/>
    <w:rsid w:val="004F19F8"/>
    <w:rsid w:val="004F1E06"/>
    <w:rsid w:val="004F1EE9"/>
    <w:rsid w:val="004F2035"/>
    <w:rsid w:val="004F2692"/>
    <w:rsid w:val="004F3958"/>
    <w:rsid w:val="004F4427"/>
    <w:rsid w:val="004F4834"/>
    <w:rsid w:val="004F4E20"/>
    <w:rsid w:val="004F6469"/>
    <w:rsid w:val="004F665E"/>
    <w:rsid w:val="004F6902"/>
    <w:rsid w:val="004F6AC6"/>
    <w:rsid w:val="0050024C"/>
    <w:rsid w:val="00500695"/>
    <w:rsid w:val="00500C09"/>
    <w:rsid w:val="0050105E"/>
    <w:rsid w:val="005018C4"/>
    <w:rsid w:val="00502231"/>
    <w:rsid w:val="005022E5"/>
    <w:rsid w:val="0050248F"/>
    <w:rsid w:val="00502522"/>
    <w:rsid w:val="005025A1"/>
    <w:rsid w:val="00502D9A"/>
    <w:rsid w:val="00502EED"/>
    <w:rsid w:val="005047A8"/>
    <w:rsid w:val="00505973"/>
    <w:rsid w:val="00505DFF"/>
    <w:rsid w:val="00506876"/>
    <w:rsid w:val="00506D05"/>
    <w:rsid w:val="0050778B"/>
    <w:rsid w:val="005077F4"/>
    <w:rsid w:val="0051042D"/>
    <w:rsid w:val="00510569"/>
    <w:rsid w:val="00510740"/>
    <w:rsid w:val="00510875"/>
    <w:rsid w:val="0051127E"/>
    <w:rsid w:val="005122FD"/>
    <w:rsid w:val="005126EB"/>
    <w:rsid w:val="00512986"/>
    <w:rsid w:val="00512B6E"/>
    <w:rsid w:val="00512D01"/>
    <w:rsid w:val="00513064"/>
    <w:rsid w:val="00513C93"/>
    <w:rsid w:val="00514C98"/>
    <w:rsid w:val="00515A26"/>
    <w:rsid w:val="00515F3F"/>
    <w:rsid w:val="0051609E"/>
    <w:rsid w:val="00516B2E"/>
    <w:rsid w:val="00517658"/>
    <w:rsid w:val="00521520"/>
    <w:rsid w:val="00521BB8"/>
    <w:rsid w:val="0052231C"/>
    <w:rsid w:val="0052304B"/>
    <w:rsid w:val="00523B9F"/>
    <w:rsid w:val="00523CF7"/>
    <w:rsid w:val="005244A5"/>
    <w:rsid w:val="00524BAF"/>
    <w:rsid w:val="00524CF2"/>
    <w:rsid w:val="00524E97"/>
    <w:rsid w:val="00525335"/>
    <w:rsid w:val="0052548C"/>
    <w:rsid w:val="0052632C"/>
    <w:rsid w:val="00527386"/>
    <w:rsid w:val="00530D28"/>
    <w:rsid w:val="00531687"/>
    <w:rsid w:val="005317B1"/>
    <w:rsid w:val="00531FE5"/>
    <w:rsid w:val="005335CD"/>
    <w:rsid w:val="00533F6B"/>
    <w:rsid w:val="00534809"/>
    <w:rsid w:val="00534ABA"/>
    <w:rsid w:val="00535695"/>
    <w:rsid w:val="00536111"/>
    <w:rsid w:val="00536337"/>
    <w:rsid w:val="0053714A"/>
    <w:rsid w:val="005373C0"/>
    <w:rsid w:val="0053751A"/>
    <w:rsid w:val="00537F7F"/>
    <w:rsid w:val="00540132"/>
    <w:rsid w:val="005406BF"/>
    <w:rsid w:val="005419CC"/>
    <w:rsid w:val="00542723"/>
    <w:rsid w:val="0054395F"/>
    <w:rsid w:val="00543D28"/>
    <w:rsid w:val="005442F7"/>
    <w:rsid w:val="0054576E"/>
    <w:rsid w:val="00545E17"/>
    <w:rsid w:val="00546E84"/>
    <w:rsid w:val="00547E4D"/>
    <w:rsid w:val="005505D6"/>
    <w:rsid w:val="00550725"/>
    <w:rsid w:val="00550767"/>
    <w:rsid w:val="0055085C"/>
    <w:rsid w:val="005513BE"/>
    <w:rsid w:val="00551A34"/>
    <w:rsid w:val="0055248A"/>
    <w:rsid w:val="00552C69"/>
    <w:rsid w:val="00553905"/>
    <w:rsid w:val="00553975"/>
    <w:rsid w:val="00553CD5"/>
    <w:rsid w:val="0055501C"/>
    <w:rsid w:val="005559DD"/>
    <w:rsid w:val="00556EA6"/>
    <w:rsid w:val="00556FC1"/>
    <w:rsid w:val="005574B7"/>
    <w:rsid w:val="005608E9"/>
    <w:rsid w:val="005614B4"/>
    <w:rsid w:val="00561BC8"/>
    <w:rsid w:val="00561BEC"/>
    <w:rsid w:val="00561FBE"/>
    <w:rsid w:val="005625F5"/>
    <w:rsid w:val="00562E98"/>
    <w:rsid w:val="00563071"/>
    <w:rsid w:val="005633C5"/>
    <w:rsid w:val="0056378F"/>
    <w:rsid w:val="005638E9"/>
    <w:rsid w:val="00564149"/>
    <w:rsid w:val="00564301"/>
    <w:rsid w:val="0056488B"/>
    <w:rsid w:val="00564BFE"/>
    <w:rsid w:val="00565251"/>
    <w:rsid w:val="005658C6"/>
    <w:rsid w:val="005663FA"/>
    <w:rsid w:val="00566736"/>
    <w:rsid w:val="00571194"/>
    <w:rsid w:val="0057179D"/>
    <w:rsid w:val="005718A4"/>
    <w:rsid w:val="00571E65"/>
    <w:rsid w:val="00572546"/>
    <w:rsid w:val="00574C41"/>
    <w:rsid w:val="00575623"/>
    <w:rsid w:val="00575D8B"/>
    <w:rsid w:val="00575EA7"/>
    <w:rsid w:val="005762DE"/>
    <w:rsid w:val="00576BF5"/>
    <w:rsid w:val="00577162"/>
    <w:rsid w:val="00581815"/>
    <w:rsid w:val="00581D91"/>
    <w:rsid w:val="00582247"/>
    <w:rsid w:val="0058305B"/>
    <w:rsid w:val="005832BE"/>
    <w:rsid w:val="00583B02"/>
    <w:rsid w:val="00583D3A"/>
    <w:rsid w:val="00584D92"/>
    <w:rsid w:val="00584EF4"/>
    <w:rsid w:val="0058545E"/>
    <w:rsid w:val="005856C8"/>
    <w:rsid w:val="005862F1"/>
    <w:rsid w:val="0058660E"/>
    <w:rsid w:val="005879F9"/>
    <w:rsid w:val="00590E6C"/>
    <w:rsid w:val="00591054"/>
    <w:rsid w:val="00591E82"/>
    <w:rsid w:val="0059215F"/>
    <w:rsid w:val="00592513"/>
    <w:rsid w:val="005926DC"/>
    <w:rsid w:val="005929EB"/>
    <w:rsid w:val="00593B8C"/>
    <w:rsid w:val="0059453B"/>
    <w:rsid w:val="00594C78"/>
    <w:rsid w:val="00594D0F"/>
    <w:rsid w:val="00594E94"/>
    <w:rsid w:val="00597084"/>
    <w:rsid w:val="00597954"/>
    <w:rsid w:val="00597D73"/>
    <w:rsid w:val="005A018C"/>
    <w:rsid w:val="005A01CE"/>
    <w:rsid w:val="005A1406"/>
    <w:rsid w:val="005A1574"/>
    <w:rsid w:val="005A17DA"/>
    <w:rsid w:val="005A1C0F"/>
    <w:rsid w:val="005A3779"/>
    <w:rsid w:val="005A54A2"/>
    <w:rsid w:val="005A5692"/>
    <w:rsid w:val="005A66B1"/>
    <w:rsid w:val="005A703E"/>
    <w:rsid w:val="005A7D9B"/>
    <w:rsid w:val="005B0E9F"/>
    <w:rsid w:val="005B1B8D"/>
    <w:rsid w:val="005B250B"/>
    <w:rsid w:val="005B2645"/>
    <w:rsid w:val="005B37C1"/>
    <w:rsid w:val="005B40BC"/>
    <w:rsid w:val="005B44B1"/>
    <w:rsid w:val="005B5E89"/>
    <w:rsid w:val="005B7C19"/>
    <w:rsid w:val="005C70B3"/>
    <w:rsid w:val="005C7A83"/>
    <w:rsid w:val="005C7E60"/>
    <w:rsid w:val="005D111E"/>
    <w:rsid w:val="005D1CEB"/>
    <w:rsid w:val="005D1E11"/>
    <w:rsid w:val="005D39AB"/>
    <w:rsid w:val="005D3E5B"/>
    <w:rsid w:val="005D3FB3"/>
    <w:rsid w:val="005D42B7"/>
    <w:rsid w:val="005D5751"/>
    <w:rsid w:val="005D6050"/>
    <w:rsid w:val="005D6E26"/>
    <w:rsid w:val="005D7048"/>
    <w:rsid w:val="005D74D4"/>
    <w:rsid w:val="005D768B"/>
    <w:rsid w:val="005D7AB9"/>
    <w:rsid w:val="005E15A8"/>
    <w:rsid w:val="005E184B"/>
    <w:rsid w:val="005E193E"/>
    <w:rsid w:val="005E2CC7"/>
    <w:rsid w:val="005E2F21"/>
    <w:rsid w:val="005E355A"/>
    <w:rsid w:val="005E3D10"/>
    <w:rsid w:val="005E4F8F"/>
    <w:rsid w:val="005E5895"/>
    <w:rsid w:val="005E5C59"/>
    <w:rsid w:val="005E692D"/>
    <w:rsid w:val="005E7C0E"/>
    <w:rsid w:val="005F3A5C"/>
    <w:rsid w:val="005F3F77"/>
    <w:rsid w:val="005F555C"/>
    <w:rsid w:val="00600375"/>
    <w:rsid w:val="00603BC2"/>
    <w:rsid w:val="00604588"/>
    <w:rsid w:val="0060479E"/>
    <w:rsid w:val="00604CC2"/>
    <w:rsid w:val="0060707C"/>
    <w:rsid w:val="00607141"/>
    <w:rsid w:val="00607B6D"/>
    <w:rsid w:val="00607EF1"/>
    <w:rsid w:val="00612055"/>
    <w:rsid w:val="006129D7"/>
    <w:rsid w:val="00613609"/>
    <w:rsid w:val="00613B23"/>
    <w:rsid w:val="00613E40"/>
    <w:rsid w:val="006141CD"/>
    <w:rsid w:val="0061516A"/>
    <w:rsid w:val="006152BC"/>
    <w:rsid w:val="00615FCD"/>
    <w:rsid w:val="0061610D"/>
    <w:rsid w:val="00616CB3"/>
    <w:rsid w:val="0061738E"/>
    <w:rsid w:val="00620438"/>
    <w:rsid w:val="0062109E"/>
    <w:rsid w:val="00621255"/>
    <w:rsid w:val="006213FF"/>
    <w:rsid w:val="00622C6D"/>
    <w:rsid w:val="0062313D"/>
    <w:rsid w:val="00623AEC"/>
    <w:rsid w:val="00623B7D"/>
    <w:rsid w:val="00624FCE"/>
    <w:rsid w:val="00625F62"/>
    <w:rsid w:val="006265BD"/>
    <w:rsid w:val="006266EE"/>
    <w:rsid w:val="006268A1"/>
    <w:rsid w:val="00627D26"/>
    <w:rsid w:val="00631806"/>
    <w:rsid w:val="00631FB4"/>
    <w:rsid w:val="0063234D"/>
    <w:rsid w:val="006339F6"/>
    <w:rsid w:val="00633CED"/>
    <w:rsid w:val="006342A4"/>
    <w:rsid w:val="00634B59"/>
    <w:rsid w:val="0063520A"/>
    <w:rsid w:val="0063642D"/>
    <w:rsid w:val="00636C2F"/>
    <w:rsid w:val="00636F59"/>
    <w:rsid w:val="006375BF"/>
    <w:rsid w:val="006405B4"/>
    <w:rsid w:val="0064154D"/>
    <w:rsid w:val="00642B4A"/>
    <w:rsid w:val="0064378F"/>
    <w:rsid w:val="0064391F"/>
    <w:rsid w:val="00643F88"/>
    <w:rsid w:val="006440EF"/>
    <w:rsid w:val="006458D0"/>
    <w:rsid w:val="00646236"/>
    <w:rsid w:val="00646A34"/>
    <w:rsid w:val="00646B37"/>
    <w:rsid w:val="006474C5"/>
    <w:rsid w:val="0065079A"/>
    <w:rsid w:val="006507E6"/>
    <w:rsid w:val="00651C00"/>
    <w:rsid w:val="00653D6E"/>
    <w:rsid w:val="00655603"/>
    <w:rsid w:val="00655C7B"/>
    <w:rsid w:val="00656CA7"/>
    <w:rsid w:val="00660840"/>
    <w:rsid w:val="00660EC0"/>
    <w:rsid w:val="006617DF"/>
    <w:rsid w:val="0066245E"/>
    <w:rsid w:val="00662AD6"/>
    <w:rsid w:val="00663310"/>
    <w:rsid w:val="006633C7"/>
    <w:rsid w:val="00663C6F"/>
    <w:rsid w:val="00666206"/>
    <w:rsid w:val="00670342"/>
    <w:rsid w:val="006703CF"/>
    <w:rsid w:val="006707EE"/>
    <w:rsid w:val="00671997"/>
    <w:rsid w:val="00672B62"/>
    <w:rsid w:val="00672B6D"/>
    <w:rsid w:val="006738A9"/>
    <w:rsid w:val="00674912"/>
    <w:rsid w:val="00674C14"/>
    <w:rsid w:val="00675098"/>
    <w:rsid w:val="00676C95"/>
    <w:rsid w:val="006771EC"/>
    <w:rsid w:val="0067736C"/>
    <w:rsid w:val="00677405"/>
    <w:rsid w:val="0068084A"/>
    <w:rsid w:val="00680DDF"/>
    <w:rsid w:val="00681EDA"/>
    <w:rsid w:val="0068249C"/>
    <w:rsid w:val="00682942"/>
    <w:rsid w:val="006835B0"/>
    <w:rsid w:val="00683706"/>
    <w:rsid w:val="0068408A"/>
    <w:rsid w:val="006842B2"/>
    <w:rsid w:val="0068502A"/>
    <w:rsid w:val="00686CBC"/>
    <w:rsid w:val="0068782F"/>
    <w:rsid w:val="00687D88"/>
    <w:rsid w:val="00687DCE"/>
    <w:rsid w:val="00693B42"/>
    <w:rsid w:val="006946ED"/>
    <w:rsid w:val="0069471B"/>
    <w:rsid w:val="00694878"/>
    <w:rsid w:val="006961EB"/>
    <w:rsid w:val="006965E0"/>
    <w:rsid w:val="00697A71"/>
    <w:rsid w:val="006A0399"/>
    <w:rsid w:val="006A048E"/>
    <w:rsid w:val="006A063D"/>
    <w:rsid w:val="006A1638"/>
    <w:rsid w:val="006A2B1B"/>
    <w:rsid w:val="006A2E4F"/>
    <w:rsid w:val="006A3EF9"/>
    <w:rsid w:val="006A45BF"/>
    <w:rsid w:val="006A4652"/>
    <w:rsid w:val="006A5E35"/>
    <w:rsid w:val="006A67FC"/>
    <w:rsid w:val="006A6B27"/>
    <w:rsid w:val="006A7711"/>
    <w:rsid w:val="006B0638"/>
    <w:rsid w:val="006B0928"/>
    <w:rsid w:val="006B0C7B"/>
    <w:rsid w:val="006B16BD"/>
    <w:rsid w:val="006B197B"/>
    <w:rsid w:val="006B19D5"/>
    <w:rsid w:val="006B2248"/>
    <w:rsid w:val="006B2443"/>
    <w:rsid w:val="006B35EF"/>
    <w:rsid w:val="006B458A"/>
    <w:rsid w:val="006B45F3"/>
    <w:rsid w:val="006B63B1"/>
    <w:rsid w:val="006B6550"/>
    <w:rsid w:val="006B71B5"/>
    <w:rsid w:val="006B7487"/>
    <w:rsid w:val="006B7507"/>
    <w:rsid w:val="006C0335"/>
    <w:rsid w:val="006C13AA"/>
    <w:rsid w:val="006C1F41"/>
    <w:rsid w:val="006C2072"/>
    <w:rsid w:val="006C2247"/>
    <w:rsid w:val="006C2EF8"/>
    <w:rsid w:val="006C2F96"/>
    <w:rsid w:val="006C3865"/>
    <w:rsid w:val="006C5A82"/>
    <w:rsid w:val="006C645E"/>
    <w:rsid w:val="006C6B25"/>
    <w:rsid w:val="006D0E51"/>
    <w:rsid w:val="006D1FA6"/>
    <w:rsid w:val="006D2076"/>
    <w:rsid w:val="006D214E"/>
    <w:rsid w:val="006D23F2"/>
    <w:rsid w:val="006D2463"/>
    <w:rsid w:val="006D2A43"/>
    <w:rsid w:val="006D2E38"/>
    <w:rsid w:val="006D3ABB"/>
    <w:rsid w:val="006D4002"/>
    <w:rsid w:val="006D5718"/>
    <w:rsid w:val="006D5727"/>
    <w:rsid w:val="006D60AE"/>
    <w:rsid w:val="006D64CF"/>
    <w:rsid w:val="006D6D1B"/>
    <w:rsid w:val="006D7B53"/>
    <w:rsid w:val="006D7F24"/>
    <w:rsid w:val="006E04B2"/>
    <w:rsid w:val="006E07EF"/>
    <w:rsid w:val="006E0868"/>
    <w:rsid w:val="006E1064"/>
    <w:rsid w:val="006E13C8"/>
    <w:rsid w:val="006E16BC"/>
    <w:rsid w:val="006E1C88"/>
    <w:rsid w:val="006E2D9D"/>
    <w:rsid w:val="006E3D07"/>
    <w:rsid w:val="006E4019"/>
    <w:rsid w:val="006E550E"/>
    <w:rsid w:val="006E5E72"/>
    <w:rsid w:val="006E7555"/>
    <w:rsid w:val="006F1140"/>
    <w:rsid w:val="006F159F"/>
    <w:rsid w:val="006F1D5A"/>
    <w:rsid w:val="006F1F00"/>
    <w:rsid w:val="006F244F"/>
    <w:rsid w:val="006F2D40"/>
    <w:rsid w:val="006F2E88"/>
    <w:rsid w:val="006F2FE0"/>
    <w:rsid w:val="006F3348"/>
    <w:rsid w:val="006F346C"/>
    <w:rsid w:val="006F3586"/>
    <w:rsid w:val="006F3F74"/>
    <w:rsid w:val="006F5868"/>
    <w:rsid w:val="006F6C83"/>
    <w:rsid w:val="006F71AC"/>
    <w:rsid w:val="00700061"/>
    <w:rsid w:val="0070024F"/>
    <w:rsid w:val="0070132B"/>
    <w:rsid w:val="0070136D"/>
    <w:rsid w:val="00701BE3"/>
    <w:rsid w:val="007025B6"/>
    <w:rsid w:val="00702AF0"/>
    <w:rsid w:val="00703E4D"/>
    <w:rsid w:val="00704E4B"/>
    <w:rsid w:val="00706538"/>
    <w:rsid w:val="00707641"/>
    <w:rsid w:val="0070774B"/>
    <w:rsid w:val="00710CE0"/>
    <w:rsid w:val="00712524"/>
    <w:rsid w:val="007133E5"/>
    <w:rsid w:val="00713784"/>
    <w:rsid w:val="00714461"/>
    <w:rsid w:val="00715A31"/>
    <w:rsid w:val="007160BB"/>
    <w:rsid w:val="00716508"/>
    <w:rsid w:val="00716692"/>
    <w:rsid w:val="007168D3"/>
    <w:rsid w:val="00716A1F"/>
    <w:rsid w:val="007172E6"/>
    <w:rsid w:val="007174BD"/>
    <w:rsid w:val="00717AD9"/>
    <w:rsid w:val="007202BD"/>
    <w:rsid w:val="007207F2"/>
    <w:rsid w:val="00720B8C"/>
    <w:rsid w:val="00721517"/>
    <w:rsid w:val="0072273C"/>
    <w:rsid w:val="007230A7"/>
    <w:rsid w:val="00723264"/>
    <w:rsid w:val="007238AF"/>
    <w:rsid w:val="007239EE"/>
    <w:rsid w:val="00723C1C"/>
    <w:rsid w:val="00724608"/>
    <w:rsid w:val="007248E2"/>
    <w:rsid w:val="00725F74"/>
    <w:rsid w:val="0072656B"/>
    <w:rsid w:val="00727FBD"/>
    <w:rsid w:val="00732021"/>
    <w:rsid w:val="00733279"/>
    <w:rsid w:val="007335D3"/>
    <w:rsid w:val="0073430E"/>
    <w:rsid w:val="00734538"/>
    <w:rsid w:val="0073593D"/>
    <w:rsid w:val="00735F06"/>
    <w:rsid w:val="00736F38"/>
    <w:rsid w:val="00740114"/>
    <w:rsid w:val="00740340"/>
    <w:rsid w:val="007404B1"/>
    <w:rsid w:val="0074148E"/>
    <w:rsid w:val="00741DE2"/>
    <w:rsid w:val="00741F3C"/>
    <w:rsid w:val="00742843"/>
    <w:rsid w:val="00742F10"/>
    <w:rsid w:val="0074333A"/>
    <w:rsid w:val="007437D1"/>
    <w:rsid w:val="00743F2B"/>
    <w:rsid w:val="00744289"/>
    <w:rsid w:val="007447B5"/>
    <w:rsid w:val="007451B6"/>
    <w:rsid w:val="00745D2F"/>
    <w:rsid w:val="0074737A"/>
    <w:rsid w:val="007476AA"/>
    <w:rsid w:val="007530BB"/>
    <w:rsid w:val="007552BE"/>
    <w:rsid w:val="0075546A"/>
    <w:rsid w:val="00755AFA"/>
    <w:rsid w:val="00755CD9"/>
    <w:rsid w:val="00756835"/>
    <w:rsid w:val="00757985"/>
    <w:rsid w:val="00760ADF"/>
    <w:rsid w:val="00760C58"/>
    <w:rsid w:val="007614AE"/>
    <w:rsid w:val="007614F4"/>
    <w:rsid w:val="00761B14"/>
    <w:rsid w:val="007622AA"/>
    <w:rsid w:val="007635CB"/>
    <w:rsid w:val="00763BBE"/>
    <w:rsid w:val="00765087"/>
    <w:rsid w:val="00765382"/>
    <w:rsid w:val="00765580"/>
    <w:rsid w:val="007660C2"/>
    <w:rsid w:val="00766684"/>
    <w:rsid w:val="00766836"/>
    <w:rsid w:val="0077044A"/>
    <w:rsid w:val="007707F5"/>
    <w:rsid w:val="00770BD2"/>
    <w:rsid w:val="0077173C"/>
    <w:rsid w:val="0077254B"/>
    <w:rsid w:val="00773804"/>
    <w:rsid w:val="007742DC"/>
    <w:rsid w:val="007757ED"/>
    <w:rsid w:val="00775A42"/>
    <w:rsid w:val="00775B3F"/>
    <w:rsid w:val="007763F0"/>
    <w:rsid w:val="00780A0B"/>
    <w:rsid w:val="00780C2C"/>
    <w:rsid w:val="007829F5"/>
    <w:rsid w:val="00783400"/>
    <w:rsid w:val="007839B4"/>
    <w:rsid w:val="0078615F"/>
    <w:rsid w:val="0078650A"/>
    <w:rsid w:val="00786570"/>
    <w:rsid w:val="00786AAB"/>
    <w:rsid w:val="0078738F"/>
    <w:rsid w:val="0079048C"/>
    <w:rsid w:val="00790521"/>
    <w:rsid w:val="00791508"/>
    <w:rsid w:val="00791D3F"/>
    <w:rsid w:val="00792A90"/>
    <w:rsid w:val="00792DAC"/>
    <w:rsid w:val="00793190"/>
    <w:rsid w:val="007936B2"/>
    <w:rsid w:val="00793780"/>
    <w:rsid w:val="00793B72"/>
    <w:rsid w:val="00795FCF"/>
    <w:rsid w:val="00796653"/>
    <w:rsid w:val="00796F12"/>
    <w:rsid w:val="00797632"/>
    <w:rsid w:val="00797813"/>
    <w:rsid w:val="00797D57"/>
    <w:rsid w:val="007A0B23"/>
    <w:rsid w:val="007A0C13"/>
    <w:rsid w:val="007A1634"/>
    <w:rsid w:val="007A1BBF"/>
    <w:rsid w:val="007A2E48"/>
    <w:rsid w:val="007A37A7"/>
    <w:rsid w:val="007A38C7"/>
    <w:rsid w:val="007A3F0B"/>
    <w:rsid w:val="007A4143"/>
    <w:rsid w:val="007A5AB9"/>
    <w:rsid w:val="007A63F3"/>
    <w:rsid w:val="007B05C3"/>
    <w:rsid w:val="007B0784"/>
    <w:rsid w:val="007B0C1D"/>
    <w:rsid w:val="007B1A53"/>
    <w:rsid w:val="007B2E13"/>
    <w:rsid w:val="007B2ED4"/>
    <w:rsid w:val="007B3393"/>
    <w:rsid w:val="007B3C9B"/>
    <w:rsid w:val="007B46D5"/>
    <w:rsid w:val="007B5A57"/>
    <w:rsid w:val="007B6007"/>
    <w:rsid w:val="007B6841"/>
    <w:rsid w:val="007B6CB0"/>
    <w:rsid w:val="007B6E17"/>
    <w:rsid w:val="007B7020"/>
    <w:rsid w:val="007C039A"/>
    <w:rsid w:val="007C09DC"/>
    <w:rsid w:val="007C176C"/>
    <w:rsid w:val="007C1C55"/>
    <w:rsid w:val="007C26FC"/>
    <w:rsid w:val="007C2A2C"/>
    <w:rsid w:val="007C2B8E"/>
    <w:rsid w:val="007C2CC4"/>
    <w:rsid w:val="007C3AA4"/>
    <w:rsid w:val="007C3DCF"/>
    <w:rsid w:val="007C4B07"/>
    <w:rsid w:val="007C5A9F"/>
    <w:rsid w:val="007C5AC6"/>
    <w:rsid w:val="007C5D10"/>
    <w:rsid w:val="007C670E"/>
    <w:rsid w:val="007C6E26"/>
    <w:rsid w:val="007C7D90"/>
    <w:rsid w:val="007D18FF"/>
    <w:rsid w:val="007D2F38"/>
    <w:rsid w:val="007D31B0"/>
    <w:rsid w:val="007D4078"/>
    <w:rsid w:val="007D6741"/>
    <w:rsid w:val="007D7424"/>
    <w:rsid w:val="007D74A4"/>
    <w:rsid w:val="007D7759"/>
    <w:rsid w:val="007D7CF9"/>
    <w:rsid w:val="007D7FB3"/>
    <w:rsid w:val="007E0078"/>
    <w:rsid w:val="007E00AE"/>
    <w:rsid w:val="007E02B1"/>
    <w:rsid w:val="007E06AC"/>
    <w:rsid w:val="007E2BA5"/>
    <w:rsid w:val="007E3C4F"/>
    <w:rsid w:val="007E552C"/>
    <w:rsid w:val="007E7B6F"/>
    <w:rsid w:val="007F0487"/>
    <w:rsid w:val="007F2085"/>
    <w:rsid w:val="007F23DF"/>
    <w:rsid w:val="007F260B"/>
    <w:rsid w:val="007F295A"/>
    <w:rsid w:val="007F2A1E"/>
    <w:rsid w:val="007F33F3"/>
    <w:rsid w:val="007F39ED"/>
    <w:rsid w:val="007F3D9C"/>
    <w:rsid w:val="007F4E0A"/>
    <w:rsid w:val="007F4F5C"/>
    <w:rsid w:val="007F542A"/>
    <w:rsid w:val="007F5FDE"/>
    <w:rsid w:val="007F6077"/>
    <w:rsid w:val="007F6CDD"/>
    <w:rsid w:val="007F7206"/>
    <w:rsid w:val="007F7B21"/>
    <w:rsid w:val="007F7DFA"/>
    <w:rsid w:val="007F7FD1"/>
    <w:rsid w:val="008012D9"/>
    <w:rsid w:val="00801990"/>
    <w:rsid w:val="008026B6"/>
    <w:rsid w:val="00802A5F"/>
    <w:rsid w:val="0080603A"/>
    <w:rsid w:val="008063C2"/>
    <w:rsid w:val="00806F98"/>
    <w:rsid w:val="00807780"/>
    <w:rsid w:val="00807AAF"/>
    <w:rsid w:val="0081112D"/>
    <w:rsid w:val="00811AC4"/>
    <w:rsid w:val="008123E2"/>
    <w:rsid w:val="008129AC"/>
    <w:rsid w:val="00812EBE"/>
    <w:rsid w:val="008130C4"/>
    <w:rsid w:val="00816703"/>
    <w:rsid w:val="0081786B"/>
    <w:rsid w:val="00817B07"/>
    <w:rsid w:val="008201E2"/>
    <w:rsid w:val="00821785"/>
    <w:rsid w:val="008217C2"/>
    <w:rsid w:val="00823204"/>
    <w:rsid w:val="008254AB"/>
    <w:rsid w:val="00827584"/>
    <w:rsid w:val="00827B3D"/>
    <w:rsid w:val="00831651"/>
    <w:rsid w:val="00832552"/>
    <w:rsid w:val="00832EE9"/>
    <w:rsid w:val="0083599A"/>
    <w:rsid w:val="00835C48"/>
    <w:rsid w:val="0083626B"/>
    <w:rsid w:val="00836ACC"/>
    <w:rsid w:val="00836D20"/>
    <w:rsid w:val="00837E96"/>
    <w:rsid w:val="00840481"/>
    <w:rsid w:val="008428CB"/>
    <w:rsid w:val="008429E6"/>
    <w:rsid w:val="00843B78"/>
    <w:rsid w:val="00844286"/>
    <w:rsid w:val="00844FB9"/>
    <w:rsid w:val="008451B0"/>
    <w:rsid w:val="00845C8D"/>
    <w:rsid w:val="008466D8"/>
    <w:rsid w:val="0084685D"/>
    <w:rsid w:val="00846895"/>
    <w:rsid w:val="0084717E"/>
    <w:rsid w:val="00847B4D"/>
    <w:rsid w:val="008501EF"/>
    <w:rsid w:val="00850311"/>
    <w:rsid w:val="008505FD"/>
    <w:rsid w:val="00850BF7"/>
    <w:rsid w:val="008510AA"/>
    <w:rsid w:val="00851A88"/>
    <w:rsid w:val="00852108"/>
    <w:rsid w:val="0085224C"/>
    <w:rsid w:val="00852EC1"/>
    <w:rsid w:val="008535BC"/>
    <w:rsid w:val="00853A56"/>
    <w:rsid w:val="00853D73"/>
    <w:rsid w:val="00855616"/>
    <w:rsid w:val="0085603B"/>
    <w:rsid w:val="00856D02"/>
    <w:rsid w:val="00856E2F"/>
    <w:rsid w:val="00856EFF"/>
    <w:rsid w:val="0085728F"/>
    <w:rsid w:val="008602AA"/>
    <w:rsid w:val="008615C9"/>
    <w:rsid w:val="00861694"/>
    <w:rsid w:val="00861B97"/>
    <w:rsid w:val="008622F8"/>
    <w:rsid w:val="008631B7"/>
    <w:rsid w:val="0086358F"/>
    <w:rsid w:val="0086397E"/>
    <w:rsid w:val="008656C1"/>
    <w:rsid w:val="00866E6D"/>
    <w:rsid w:val="00872238"/>
    <w:rsid w:val="00872B14"/>
    <w:rsid w:val="00872D95"/>
    <w:rsid w:val="0087399D"/>
    <w:rsid w:val="0087545A"/>
    <w:rsid w:val="0087559C"/>
    <w:rsid w:val="00875B4B"/>
    <w:rsid w:val="008764B0"/>
    <w:rsid w:val="00876619"/>
    <w:rsid w:val="00876EE9"/>
    <w:rsid w:val="0087728A"/>
    <w:rsid w:val="00877D1F"/>
    <w:rsid w:val="00877DFB"/>
    <w:rsid w:val="00880D1B"/>
    <w:rsid w:val="008818CE"/>
    <w:rsid w:val="008826E3"/>
    <w:rsid w:val="008829D3"/>
    <w:rsid w:val="00883F4B"/>
    <w:rsid w:val="00884AB8"/>
    <w:rsid w:val="008858BE"/>
    <w:rsid w:val="00885AA6"/>
    <w:rsid w:val="00885B66"/>
    <w:rsid w:val="00885BED"/>
    <w:rsid w:val="008862FB"/>
    <w:rsid w:val="00886B3E"/>
    <w:rsid w:val="00887382"/>
    <w:rsid w:val="00887941"/>
    <w:rsid w:val="008904E1"/>
    <w:rsid w:val="00891249"/>
    <w:rsid w:val="008914BD"/>
    <w:rsid w:val="008917A6"/>
    <w:rsid w:val="00893FB9"/>
    <w:rsid w:val="0089465F"/>
    <w:rsid w:val="0089496B"/>
    <w:rsid w:val="00894E3B"/>
    <w:rsid w:val="00895024"/>
    <w:rsid w:val="008950BB"/>
    <w:rsid w:val="0089613F"/>
    <w:rsid w:val="008962F9"/>
    <w:rsid w:val="00896601"/>
    <w:rsid w:val="00896E92"/>
    <w:rsid w:val="008A0546"/>
    <w:rsid w:val="008A0A7A"/>
    <w:rsid w:val="008A13A6"/>
    <w:rsid w:val="008A304B"/>
    <w:rsid w:val="008A3AAB"/>
    <w:rsid w:val="008A3C9B"/>
    <w:rsid w:val="008A3CA6"/>
    <w:rsid w:val="008A3FCA"/>
    <w:rsid w:val="008A478F"/>
    <w:rsid w:val="008A512E"/>
    <w:rsid w:val="008A76C9"/>
    <w:rsid w:val="008A772A"/>
    <w:rsid w:val="008A774C"/>
    <w:rsid w:val="008A7F7E"/>
    <w:rsid w:val="008B0A02"/>
    <w:rsid w:val="008B11C8"/>
    <w:rsid w:val="008B13A5"/>
    <w:rsid w:val="008B2A9B"/>
    <w:rsid w:val="008B2CEB"/>
    <w:rsid w:val="008B310F"/>
    <w:rsid w:val="008B31E2"/>
    <w:rsid w:val="008B327F"/>
    <w:rsid w:val="008B36E0"/>
    <w:rsid w:val="008B3907"/>
    <w:rsid w:val="008B474D"/>
    <w:rsid w:val="008B4CFE"/>
    <w:rsid w:val="008B4D5A"/>
    <w:rsid w:val="008B6038"/>
    <w:rsid w:val="008B693E"/>
    <w:rsid w:val="008B69F4"/>
    <w:rsid w:val="008B7376"/>
    <w:rsid w:val="008B7EAF"/>
    <w:rsid w:val="008B7EB3"/>
    <w:rsid w:val="008C0083"/>
    <w:rsid w:val="008C0C3F"/>
    <w:rsid w:val="008C1358"/>
    <w:rsid w:val="008C1B77"/>
    <w:rsid w:val="008C1CEE"/>
    <w:rsid w:val="008C30F5"/>
    <w:rsid w:val="008C47EA"/>
    <w:rsid w:val="008C5081"/>
    <w:rsid w:val="008C633D"/>
    <w:rsid w:val="008C6556"/>
    <w:rsid w:val="008C7116"/>
    <w:rsid w:val="008C71AB"/>
    <w:rsid w:val="008C7533"/>
    <w:rsid w:val="008D126F"/>
    <w:rsid w:val="008D1540"/>
    <w:rsid w:val="008D2DDD"/>
    <w:rsid w:val="008D2F42"/>
    <w:rsid w:val="008D3D62"/>
    <w:rsid w:val="008D3ED7"/>
    <w:rsid w:val="008D4B06"/>
    <w:rsid w:val="008D5AB8"/>
    <w:rsid w:val="008D5DB0"/>
    <w:rsid w:val="008D6126"/>
    <w:rsid w:val="008D680C"/>
    <w:rsid w:val="008D70A5"/>
    <w:rsid w:val="008D7F7B"/>
    <w:rsid w:val="008E1061"/>
    <w:rsid w:val="008E1412"/>
    <w:rsid w:val="008E16D2"/>
    <w:rsid w:val="008E1D0D"/>
    <w:rsid w:val="008E22AB"/>
    <w:rsid w:val="008E3476"/>
    <w:rsid w:val="008E433A"/>
    <w:rsid w:val="008E4A45"/>
    <w:rsid w:val="008E63D5"/>
    <w:rsid w:val="008E6899"/>
    <w:rsid w:val="008F0A2B"/>
    <w:rsid w:val="008F16A8"/>
    <w:rsid w:val="008F180B"/>
    <w:rsid w:val="008F1E81"/>
    <w:rsid w:val="008F2C74"/>
    <w:rsid w:val="008F350C"/>
    <w:rsid w:val="008F35CF"/>
    <w:rsid w:val="008F5011"/>
    <w:rsid w:val="008F5643"/>
    <w:rsid w:val="008F613D"/>
    <w:rsid w:val="008F68E4"/>
    <w:rsid w:val="008F7178"/>
    <w:rsid w:val="008F7D00"/>
    <w:rsid w:val="00900020"/>
    <w:rsid w:val="00900149"/>
    <w:rsid w:val="009005F3"/>
    <w:rsid w:val="00901AF5"/>
    <w:rsid w:val="00901B2E"/>
    <w:rsid w:val="00902FE0"/>
    <w:rsid w:val="0090310A"/>
    <w:rsid w:val="00903A63"/>
    <w:rsid w:val="00904156"/>
    <w:rsid w:val="00905675"/>
    <w:rsid w:val="00906026"/>
    <w:rsid w:val="00906492"/>
    <w:rsid w:val="00906FF5"/>
    <w:rsid w:val="009117A3"/>
    <w:rsid w:val="00912151"/>
    <w:rsid w:val="009124DF"/>
    <w:rsid w:val="00912891"/>
    <w:rsid w:val="00913F30"/>
    <w:rsid w:val="009145A2"/>
    <w:rsid w:val="009165F3"/>
    <w:rsid w:val="00916EA7"/>
    <w:rsid w:val="009177F7"/>
    <w:rsid w:val="009178FC"/>
    <w:rsid w:val="00917A48"/>
    <w:rsid w:val="009203E5"/>
    <w:rsid w:val="00920558"/>
    <w:rsid w:val="00920B74"/>
    <w:rsid w:val="00921E86"/>
    <w:rsid w:val="00922856"/>
    <w:rsid w:val="00923AD1"/>
    <w:rsid w:val="00924DDE"/>
    <w:rsid w:val="00925EAA"/>
    <w:rsid w:val="00926580"/>
    <w:rsid w:val="00927016"/>
    <w:rsid w:val="00927415"/>
    <w:rsid w:val="00927450"/>
    <w:rsid w:val="009278F1"/>
    <w:rsid w:val="009301ED"/>
    <w:rsid w:val="00930DCE"/>
    <w:rsid w:val="00930F79"/>
    <w:rsid w:val="00931C99"/>
    <w:rsid w:val="00931DD5"/>
    <w:rsid w:val="00931EAB"/>
    <w:rsid w:val="0093218A"/>
    <w:rsid w:val="009326EE"/>
    <w:rsid w:val="009329FD"/>
    <w:rsid w:val="009345BC"/>
    <w:rsid w:val="00934F48"/>
    <w:rsid w:val="009354F6"/>
    <w:rsid w:val="00935A4F"/>
    <w:rsid w:val="0093614C"/>
    <w:rsid w:val="00936B03"/>
    <w:rsid w:val="009371E8"/>
    <w:rsid w:val="00937F43"/>
    <w:rsid w:val="00940475"/>
    <w:rsid w:val="00940DE4"/>
    <w:rsid w:val="00940E08"/>
    <w:rsid w:val="00940FC9"/>
    <w:rsid w:val="00941810"/>
    <w:rsid w:val="00941F03"/>
    <w:rsid w:val="00941F53"/>
    <w:rsid w:val="00942C58"/>
    <w:rsid w:val="00942E83"/>
    <w:rsid w:val="00942F3D"/>
    <w:rsid w:val="009431A8"/>
    <w:rsid w:val="009437C4"/>
    <w:rsid w:val="009437D9"/>
    <w:rsid w:val="00943DDE"/>
    <w:rsid w:val="00945922"/>
    <w:rsid w:val="00945C9A"/>
    <w:rsid w:val="0094735C"/>
    <w:rsid w:val="009473A3"/>
    <w:rsid w:val="009475DF"/>
    <w:rsid w:val="0094762C"/>
    <w:rsid w:val="00947CDA"/>
    <w:rsid w:val="00950550"/>
    <w:rsid w:val="00951582"/>
    <w:rsid w:val="00951A4B"/>
    <w:rsid w:val="00951FE7"/>
    <w:rsid w:val="00952398"/>
    <w:rsid w:val="00952B57"/>
    <w:rsid w:val="00953270"/>
    <w:rsid w:val="00953271"/>
    <w:rsid w:val="0095344B"/>
    <w:rsid w:val="009537FE"/>
    <w:rsid w:val="00953B88"/>
    <w:rsid w:val="00953BF2"/>
    <w:rsid w:val="009545FD"/>
    <w:rsid w:val="00954BF4"/>
    <w:rsid w:val="00954DDF"/>
    <w:rsid w:val="0095519D"/>
    <w:rsid w:val="00955739"/>
    <w:rsid w:val="0095681B"/>
    <w:rsid w:val="00956968"/>
    <w:rsid w:val="00957307"/>
    <w:rsid w:val="00957FAD"/>
    <w:rsid w:val="00960274"/>
    <w:rsid w:val="00960D93"/>
    <w:rsid w:val="00962EC7"/>
    <w:rsid w:val="00963872"/>
    <w:rsid w:val="00964699"/>
    <w:rsid w:val="0096523D"/>
    <w:rsid w:val="009653C6"/>
    <w:rsid w:val="00965A70"/>
    <w:rsid w:val="009664A4"/>
    <w:rsid w:val="00966D39"/>
    <w:rsid w:val="009675F4"/>
    <w:rsid w:val="009713C7"/>
    <w:rsid w:val="009722A0"/>
    <w:rsid w:val="00974821"/>
    <w:rsid w:val="009773F3"/>
    <w:rsid w:val="0098003E"/>
    <w:rsid w:val="00981593"/>
    <w:rsid w:val="00981861"/>
    <w:rsid w:val="00983F86"/>
    <w:rsid w:val="00985BF1"/>
    <w:rsid w:val="00987F3B"/>
    <w:rsid w:val="00990B97"/>
    <w:rsid w:val="0099219E"/>
    <w:rsid w:val="009928EF"/>
    <w:rsid w:val="00992B8A"/>
    <w:rsid w:val="00992EAF"/>
    <w:rsid w:val="009940CC"/>
    <w:rsid w:val="009943EA"/>
    <w:rsid w:val="0099574A"/>
    <w:rsid w:val="00995E80"/>
    <w:rsid w:val="00996C8B"/>
    <w:rsid w:val="009A29D4"/>
    <w:rsid w:val="009A2FF6"/>
    <w:rsid w:val="009A305C"/>
    <w:rsid w:val="009A320C"/>
    <w:rsid w:val="009A332F"/>
    <w:rsid w:val="009A35C9"/>
    <w:rsid w:val="009A4015"/>
    <w:rsid w:val="009A7675"/>
    <w:rsid w:val="009A79B0"/>
    <w:rsid w:val="009A7BC2"/>
    <w:rsid w:val="009A7CD2"/>
    <w:rsid w:val="009B05AC"/>
    <w:rsid w:val="009B09CD"/>
    <w:rsid w:val="009B1A36"/>
    <w:rsid w:val="009B2079"/>
    <w:rsid w:val="009B462A"/>
    <w:rsid w:val="009B51A2"/>
    <w:rsid w:val="009B5CF5"/>
    <w:rsid w:val="009B5D3A"/>
    <w:rsid w:val="009C00DE"/>
    <w:rsid w:val="009C0195"/>
    <w:rsid w:val="009C0C3C"/>
    <w:rsid w:val="009C1513"/>
    <w:rsid w:val="009C1580"/>
    <w:rsid w:val="009C287A"/>
    <w:rsid w:val="009C2BF7"/>
    <w:rsid w:val="009C2D97"/>
    <w:rsid w:val="009C375F"/>
    <w:rsid w:val="009C4E8C"/>
    <w:rsid w:val="009C5851"/>
    <w:rsid w:val="009C5D5C"/>
    <w:rsid w:val="009C61AE"/>
    <w:rsid w:val="009D1685"/>
    <w:rsid w:val="009D1E48"/>
    <w:rsid w:val="009D27CE"/>
    <w:rsid w:val="009D293E"/>
    <w:rsid w:val="009D4E02"/>
    <w:rsid w:val="009D54DC"/>
    <w:rsid w:val="009D647B"/>
    <w:rsid w:val="009D772A"/>
    <w:rsid w:val="009E0516"/>
    <w:rsid w:val="009E05D0"/>
    <w:rsid w:val="009E0BB6"/>
    <w:rsid w:val="009E108F"/>
    <w:rsid w:val="009E16F5"/>
    <w:rsid w:val="009E209A"/>
    <w:rsid w:val="009E2312"/>
    <w:rsid w:val="009E34EB"/>
    <w:rsid w:val="009E38DD"/>
    <w:rsid w:val="009E39C6"/>
    <w:rsid w:val="009E3D18"/>
    <w:rsid w:val="009E4EE6"/>
    <w:rsid w:val="009E4FB1"/>
    <w:rsid w:val="009E5E2C"/>
    <w:rsid w:val="009E5F7C"/>
    <w:rsid w:val="009E64D8"/>
    <w:rsid w:val="009E6858"/>
    <w:rsid w:val="009E6CB1"/>
    <w:rsid w:val="009E71F1"/>
    <w:rsid w:val="009F08A9"/>
    <w:rsid w:val="009F0AA4"/>
    <w:rsid w:val="009F0EC3"/>
    <w:rsid w:val="009F2420"/>
    <w:rsid w:val="009F2BD3"/>
    <w:rsid w:val="009F62A9"/>
    <w:rsid w:val="009F731E"/>
    <w:rsid w:val="009F7C37"/>
    <w:rsid w:val="009F7EC9"/>
    <w:rsid w:val="00A0053C"/>
    <w:rsid w:val="00A01746"/>
    <w:rsid w:val="00A024B4"/>
    <w:rsid w:val="00A03072"/>
    <w:rsid w:val="00A039BA"/>
    <w:rsid w:val="00A03E87"/>
    <w:rsid w:val="00A04011"/>
    <w:rsid w:val="00A04C14"/>
    <w:rsid w:val="00A07A64"/>
    <w:rsid w:val="00A10497"/>
    <w:rsid w:val="00A10A0D"/>
    <w:rsid w:val="00A11398"/>
    <w:rsid w:val="00A1232E"/>
    <w:rsid w:val="00A127CB"/>
    <w:rsid w:val="00A12D17"/>
    <w:rsid w:val="00A13DCD"/>
    <w:rsid w:val="00A14109"/>
    <w:rsid w:val="00A141BB"/>
    <w:rsid w:val="00A15F6A"/>
    <w:rsid w:val="00A16081"/>
    <w:rsid w:val="00A1676F"/>
    <w:rsid w:val="00A1677F"/>
    <w:rsid w:val="00A168E9"/>
    <w:rsid w:val="00A17D2E"/>
    <w:rsid w:val="00A2011D"/>
    <w:rsid w:val="00A201C2"/>
    <w:rsid w:val="00A206A3"/>
    <w:rsid w:val="00A206F3"/>
    <w:rsid w:val="00A20B37"/>
    <w:rsid w:val="00A2239E"/>
    <w:rsid w:val="00A22E65"/>
    <w:rsid w:val="00A24845"/>
    <w:rsid w:val="00A249C5"/>
    <w:rsid w:val="00A24EF3"/>
    <w:rsid w:val="00A25D8A"/>
    <w:rsid w:val="00A277A9"/>
    <w:rsid w:val="00A30571"/>
    <w:rsid w:val="00A31B35"/>
    <w:rsid w:val="00A31FD1"/>
    <w:rsid w:val="00A32BAA"/>
    <w:rsid w:val="00A32CE8"/>
    <w:rsid w:val="00A3356B"/>
    <w:rsid w:val="00A33E63"/>
    <w:rsid w:val="00A33EC7"/>
    <w:rsid w:val="00A340B5"/>
    <w:rsid w:val="00A34705"/>
    <w:rsid w:val="00A353C5"/>
    <w:rsid w:val="00A35CE1"/>
    <w:rsid w:val="00A36BDB"/>
    <w:rsid w:val="00A36FB9"/>
    <w:rsid w:val="00A37E3B"/>
    <w:rsid w:val="00A4011A"/>
    <w:rsid w:val="00A4136B"/>
    <w:rsid w:val="00A42660"/>
    <w:rsid w:val="00A426A0"/>
    <w:rsid w:val="00A42A41"/>
    <w:rsid w:val="00A42DB0"/>
    <w:rsid w:val="00A4304B"/>
    <w:rsid w:val="00A44EB0"/>
    <w:rsid w:val="00A4523D"/>
    <w:rsid w:val="00A454A7"/>
    <w:rsid w:val="00A45F3D"/>
    <w:rsid w:val="00A463C8"/>
    <w:rsid w:val="00A46EC9"/>
    <w:rsid w:val="00A47403"/>
    <w:rsid w:val="00A4741C"/>
    <w:rsid w:val="00A504A8"/>
    <w:rsid w:val="00A525CD"/>
    <w:rsid w:val="00A52B1D"/>
    <w:rsid w:val="00A53586"/>
    <w:rsid w:val="00A552A3"/>
    <w:rsid w:val="00A55F93"/>
    <w:rsid w:val="00A57262"/>
    <w:rsid w:val="00A57AC5"/>
    <w:rsid w:val="00A6001A"/>
    <w:rsid w:val="00A60590"/>
    <w:rsid w:val="00A60A02"/>
    <w:rsid w:val="00A6140F"/>
    <w:rsid w:val="00A6238D"/>
    <w:rsid w:val="00A624E4"/>
    <w:rsid w:val="00A62853"/>
    <w:rsid w:val="00A62D86"/>
    <w:rsid w:val="00A64B27"/>
    <w:rsid w:val="00A64E92"/>
    <w:rsid w:val="00A65B6E"/>
    <w:rsid w:val="00A65C52"/>
    <w:rsid w:val="00A66782"/>
    <w:rsid w:val="00A668A4"/>
    <w:rsid w:val="00A70BF1"/>
    <w:rsid w:val="00A71CC6"/>
    <w:rsid w:val="00A71E41"/>
    <w:rsid w:val="00A728EE"/>
    <w:rsid w:val="00A72926"/>
    <w:rsid w:val="00A74546"/>
    <w:rsid w:val="00A75516"/>
    <w:rsid w:val="00A76051"/>
    <w:rsid w:val="00A76923"/>
    <w:rsid w:val="00A7697D"/>
    <w:rsid w:val="00A770FD"/>
    <w:rsid w:val="00A77E8F"/>
    <w:rsid w:val="00A806E5"/>
    <w:rsid w:val="00A80A96"/>
    <w:rsid w:val="00A8106F"/>
    <w:rsid w:val="00A82D83"/>
    <w:rsid w:val="00A85811"/>
    <w:rsid w:val="00A85DDB"/>
    <w:rsid w:val="00A8665C"/>
    <w:rsid w:val="00A90148"/>
    <w:rsid w:val="00A903D1"/>
    <w:rsid w:val="00A916E7"/>
    <w:rsid w:val="00A92137"/>
    <w:rsid w:val="00A94482"/>
    <w:rsid w:val="00A95517"/>
    <w:rsid w:val="00A9630A"/>
    <w:rsid w:val="00A96F45"/>
    <w:rsid w:val="00A9793D"/>
    <w:rsid w:val="00A97EED"/>
    <w:rsid w:val="00AA0719"/>
    <w:rsid w:val="00AA0DC3"/>
    <w:rsid w:val="00AA1C0F"/>
    <w:rsid w:val="00AA1ED1"/>
    <w:rsid w:val="00AA35D2"/>
    <w:rsid w:val="00AA3A5F"/>
    <w:rsid w:val="00AA6A7E"/>
    <w:rsid w:val="00AA6EF0"/>
    <w:rsid w:val="00AB035C"/>
    <w:rsid w:val="00AB07B7"/>
    <w:rsid w:val="00AB12BE"/>
    <w:rsid w:val="00AB2648"/>
    <w:rsid w:val="00AB286A"/>
    <w:rsid w:val="00AB294E"/>
    <w:rsid w:val="00AB29D9"/>
    <w:rsid w:val="00AB50DA"/>
    <w:rsid w:val="00AB571B"/>
    <w:rsid w:val="00AB5A3B"/>
    <w:rsid w:val="00AB6C2B"/>
    <w:rsid w:val="00AB7025"/>
    <w:rsid w:val="00AB791A"/>
    <w:rsid w:val="00AB7E2F"/>
    <w:rsid w:val="00AC01A3"/>
    <w:rsid w:val="00AC0589"/>
    <w:rsid w:val="00AC2114"/>
    <w:rsid w:val="00AC5435"/>
    <w:rsid w:val="00AC5AC7"/>
    <w:rsid w:val="00AC62BD"/>
    <w:rsid w:val="00AC64C4"/>
    <w:rsid w:val="00AC6D00"/>
    <w:rsid w:val="00AC722F"/>
    <w:rsid w:val="00AC735C"/>
    <w:rsid w:val="00AD02D9"/>
    <w:rsid w:val="00AD0D78"/>
    <w:rsid w:val="00AD0F12"/>
    <w:rsid w:val="00AD0F81"/>
    <w:rsid w:val="00AD20BC"/>
    <w:rsid w:val="00AD2647"/>
    <w:rsid w:val="00AD3122"/>
    <w:rsid w:val="00AD409C"/>
    <w:rsid w:val="00AD554A"/>
    <w:rsid w:val="00AD6E54"/>
    <w:rsid w:val="00AD6F3D"/>
    <w:rsid w:val="00AE1026"/>
    <w:rsid w:val="00AE320E"/>
    <w:rsid w:val="00AE3AAA"/>
    <w:rsid w:val="00AE47D6"/>
    <w:rsid w:val="00AE4B7D"/>
    <w:rsid w:val="00AE6637"/>
    <w:rsid w:val="00AE68D8"/>
    <w:rsid w:val="00AE7811"/>
    <w:rsid w:val="00AE7849"/>
    <w:rsid w:val="00AE798C"/>
    <w:rsid w:val="00AF0A21"/>
    <w:rsid w:val="00AF1911"/>
    <w:rsid w:val="00AF1C52"/>
    <w:rsid w:val="00AF3F1D"/>
    <w:rsid w:val="00AF4298"/>
    <w:rsid w:val="00AF42F5"/>
    <w:rsid w:val="00AF4AA2"/>
    <w:rsid w:val="00AF5652"/>
    <w:rsid w:val="00AF7151"/>
    <w:rsid w:val="00AF72BD"/>
    <w:rsid w:val="00B001E2"/>
    <w:rsid w:val="00B01638"/>
    <w:rsid w:val="00B02566"/>
    <w:rsid w:val="00B02828"/>
    <w:rsid w:val="00B03612"/>
    <w:rsid w:val="00B038B1"/>
    <w:rsid w:val="00B03A6A"/>
    <w:rsid w:val="00B03B77"/>
    <w:rsid w:val="00B05C67"/>
    <w:rsid w:val="00B06132"/>
    <w:rsid w:val="00B0663F"/>
    <w:rsid w:val="00B07C26"/>
    <w:rsid w:val="00B07EEE"/>
    <w:rsid w:val="00B07FF4"/>
    <w:rsid w:val="00B101A2"/>
    <w:rsid w:val="00B10906"/>
    <w:rsid w:val="00B10968"/>
    <w:rsid w:val="00B10A47"/>
    <w:rsid w:val="00B11253"/>
    <w:rsid w:val="00B11819"/>
    <w:rsid w:val="00B11C52"/>
    <w:rsid w:val="00B12270"/>
    <w:rsid w:val="00B137D4"/>
    <w:rsid w:val="00B138A0"/>
    <w:rsid w:val="00B13ACE"/>
    <w:rsid w:val="00B13DB5"/>
    <w:rsid w:val="00B14111"/>
    <w:rsid w:val="00B14416"/>
    <w:rsid w:val="00B1481C"/>
    <w:rsid w:val="00B15CB5"/>
    <w:rsid w:val="00B16E62"/>
    <w:rsid w:val="00B20D02"/>
    <w:rsid w:val="00B22420"/>
    <w:rsid w:val="00B22E6C"/>
    <w:rsid w:val="00B2407A"/>
    <w:rsid w:val="00B258CC"/>
    <w:rsid w:val="00B25A21"/>
    <w:rsid w:val="00B265C6"/>
    <w:rsid w:val="00B26E91"/>
    <w:rsid w:val="00B2737A"/>
    <w:rsid w:val="00B2785E"/>
    <w:rsid w:val="00B27AAF"/>
    <w:rsid w:val="00B31289"/>
    <w:rsid w:val="00B31C57"/>
    <w:rsid w:val="00B323B3"/>
    <w:rsid w:val="00B33218"/>
    <w:rsid w:val="00B33C4E"/>
    <w:rsid w:val="00B3450C"/>
    <w:rsid w:val="00B3487E"/>
    <w:rsid w:val="00B36191"/>
    <w:rsid w:val="00B3620A"/>
    <w:rsid w:val="00B3651E"/>
    <w:rsid w:val="00B407F8"/>
    <w:rsid w:val="00B408BB"/>
    <w:rsid w:val="00B41197"/>
    <w:rsid w:val="00B41B6D"/>
    <w:rsid w:val="00B41C90"/>
    <w:rsid w:val="00B42179"/>
    <w:rsid w:val="00B42223"/>
    <w:rsid w:val="00B427BC"/>
    <w:rsid w:val="00B4291B"/>
    <w:rsid w:val="00B42E94"/>
    <w:rsid w:val="00B43F37"/>
    <w:rsid w:val="00B463F6"/>
    <w:rsid w:val="00B4655A"/>
    <w:rsid w:val="00B46D9E"/>
    <w:rsid w:val="00B4751F"/>
    <w:rsid w:val="00B47ED0"/>
    <w:rsid w:val="00B501BA"/>
    <w:rsid w:val="00B5084A"/>
    <w:rsid w:val="00B51074"/>
    <w:rsid w:val="00B51211"/>
    <w:rsid w:val="00B51852"/>
    <w:rsid w:val="00B51CF5"/>
    <w:rsid w:val="00B53999"/>
    <w:rsid w:val="00B54A9F"/>
    <w:rsid w:val="00B550F8"/>
    <w:rsid w:val="00B55E3A"/>
    <w:rsid w:val="00B5617B"/>
    <w:rsid w:val="00B56F88"/>
    <w:rsid w:val="00B60119"/>
    <w:rsid w:val="00B6131C"/>
    <w:rsid w:val="00B619D5"/>
    <w:rsid w:val="00B61FDE"/>
    <w:rsid w:val="00B6221C"/>
    <w:rsid w:val="00B644C3"/>
    <w:rsid w:val="00B66ED9"/>
    <w:rsid w:val="00B67F8B"/>
    <w:rsid w:val="00B704DD"/>
    <w:rsid w:val="00B716AB"/>
    <w:rsid w:val="00B71CE3"/>
    <w:rsid w:val="00B71E66"/>
    <w:rsid w:val="00B7225B"/>
    <w:rsid w:val="00B7282A"/>
    <w:rsid w:val="00B72B10"/>
    <w:rsid w:val="00B736E2"/>
    <w:rsid w:val="00B73B88"/>
    <w:rsid w:val="00B75780"/>
    <w:rsid w:val="00B76E5C"/>
    <w:rsid w:val="00B7709A"/>
    <w:rsid w:val="00B77781"/>
    <w:rsid w:val="00B77D8D"/>
    <w:rsid w:val="00B77DD2"/>
    <w:rsid w:val="00B808C4"/>
    <w:rsid w:val="00B8123C"/>
    <w:rsid w:val="00B81C85"/>
    <w:rsid w:val="00B8584B"/>
    <w:rsid w:val="00B86A5D"/>
    <w:rsid w:val="00B8711A"/>
    <w:rsid w:val="00B873A9"/>
    <w:rsid w:val="00B877E4"/>
    <w:rsid w:val="00B878B0"/>
    <w:rsid w:val="00B90E59"/>
    <w:rsid w:val="00B928AC"/>
    <w:rsid w:val="00B9292A"/>
    <w:rsid w:val="00B92F73"/>
    <w:rsid w:val="00B93830"/>
    <w:rsid w:val="00B940EB"/>
    <w:rsid w:val="00B9414D"/>
    <w:rsid w:val="00B9457D"/>
    <w:rsid w:val="00B9522B"/>
    <w:rsid w:val="00B953B6"/>
    <w:rsid w:val="00B955A8"/>
    <w:rsid w:val="00B95CDD"/>
    <w:rsid w:val="00B95F6C"/>
    <w:rsid w:val="00BA0618"/>
    <w:rsid w:val="00BA0B1E"/>
    <w:rsid w:val="00BA20B6"/>
    <w:rsid w:val="00BA2153"/>
    <w:rsid w:val="00BA2448"/>
    <w:rsid w:val="00BA3017"/>
    <w:rsid w:val="00BA4376"/>
    <w:rsid w:val="00BA48E4"/>
    <w:rsid w:val="00BA5061"/>
    <w:rsid w:val="00BA5283"/>
    <w:rsid w:val="00BA65DB"/>
    <w:rsid w:val="00BA697D"/>
    <w:rsid w:val="00BA69A0"/>
    <w:rsid w:val="00BA6CC3"/>
    <w:rsid w:val="00BA6CFD"/>
    <w:rsid w:val="00BA7266"/>
    <w:rsid w:val="00BA7431"/>
    <w:rsid w:val="00BA7E9C"/>
    <w:rsid w:val="00BB0685"/>
    <w:rsid w:val="00BB0A3A"/>
    <w:rsid w:val="00BB1DC6"/>
    <w:rsid w:val="00BB2504"/>
    <w:rsid w:val="00BB34C8"/>
    <w:rsid w:val="00BB4AD2"/>
    <w:rsid w:val="00BB4BE2"/>
    <w:rsid w:val="00BB5352"/>
    <w:rsid w:val="00BB6329"/>
    <w:rsid w:val="00BB6AF3"/>
    <w:rsid w:val="00BB7733"/>
    <w:rsid w:val="00BC02AE"/>
    <w:rsid w:val="00BC0925"/>
    <w:rsid w:val="00BC12A0"/>
    <w:rsid w:val="00BC3880"/>
    <w:rsid w:val="00BC4511"/>
    <w:rsid w:val="00BC55B8"/>
    <w:rsid w:val="00BC56E7"/>
    <w:rsid w:val="00BC5867"/>
    <w:rsid w:val="00BC5E5E"/>
    <w:rsid w:val="00BC646B"/>
    <w:rsid w:val="00BC6CCB"/>
    <w:rsid w:val="00BC7C67"/>
    <w:rsid w:val="00BD0CDC"/>
    <w:rsid w:val="00BD0F1D"/>
    <w:rsid w:val="00BD1015"/>
    <w:rsid w:val="00BD175B"/>
    <w:rsid w:val="00BD2164"/>
    <w:rsid w:val="00BD3868"/>
    <w:rsid w:val="00BD3AEC"/>
    <w:rsid w:val="00BD4BA1"/>
    <w:rsid w:val="00BD4E64"/>
    <w:rsid w:val="00BD5024"/>
    <w:rsid w:val="00BD5C50"/>
    <w:rsid w:val="00BD627B"/>
    <w:rsid w:val="00BD6803"/>
    <w:rsid w:val="00BD68CE"/>
    <w:rsid w:val="00BD7180"/>
    <w:rsid w:val="00BD79FB"/>
    <w:rsid w:val="00BE096D"/>
    <w:rsid w:val="00BE09D5"/>
    <w:rsid w:val="00BE2030"/>
    <w:rsid w:val="00BE29CD"/>
    <w:rsid w:val="00BE3056"/>
    <w:rsid w:val="00BE3CAC"/>
    <w:rsid w:val="00BE4321"/>
    <w:rsid w:val="00BE4FF6"/>
    <w:rsid w:val="00BE63ED"/>
    <w:rsid w:val="00BE7773"/>
    <w:rsid w:val="00BF3288"/>
    <w:rsid w:val="00BF36E8"/>
    <w:rsid w:val="00BF473A"/>
    <w:rsid w:val="00BF6802"/>
    <w:rsid w:val="00BF7DD2"/>
    <w:rsid w:val="00C00BA2"/>
    <w:rsid w:val="00C01103"/>
    <w:rsid w:val="00C012A6"/>
    <w:rsid w:val="00C0230D"/>
    <w:rsid w:val="00C02498"/>
    <w:rsid w:val="00C024E8"/>
    <w:rsid w:val="00C025A4"/>
    <w:rsid w:val="00C02E3E"/>
    <w:rsid w:val="00C03EB8"/>
    <w:rsid w:val="00C04F0C"/>
    <w:rsid w:val="00C053C6"/>
    <w:rsid w:val="00C05925"/>
    <w:rsid w:val="00C05AD4"/>
    <w:rsid w:val="00C0612A"/>
    <w:rsid w:val="00C066AF"/>
    <w:rsid w:val="00C07289"/>
    <w:rsid w:val="00C075A5"/>
    <w:rsid w:val="00C11D0F"/>
    <w:rsid w:val="00C12051"/>
    <w:rsid w:val="00C139B7"/>
    <w:rsid w:val="00C14038"/>
    <w:rsid w:val="00C15450"/>
    <w:rsid w:val="00C166F0"/>
    <w:rsid w:val="00C16939"/>
    <w:rsid w:val="00C170C0"/>
    <w:rsid w:val="00C17736"/>
    <w:rsid w:val="00C17A28"/>
    <w:rsid w:val="00C17D81"/>
    <w:rsid w:val="00C21879"/>
    <w:rsid w:val="00C2283D"/>
    <w:rsid w:val="00C23C2A"/>
    <w:rsid w:val="00C262A6"/>
    <w:rsid w:val="00C26863"/>
    <w:rsid w:val="00C26989"/>
    <w:rsid w:val="00C26DFA"/>
    <w:rsid w:val="00C27079"/>
    <w:rsid w:val="00C27A1D"/>
    <w:rsid w:val="00C32666"/>
    <w:rsid w:val="00C32DE8"/>
    <w:rsid w:val="00C33E9A"/>
    <w:rsid w:val="00C35135"/>
    <w:rsid w:val="00C35722"/>
    <w:rsid w:val="00C359E0"/>
    <w:rsid w:val="00C36D58"/>
    <w:rsid w:val="00C37051"/>
    <w:rsid w:val="00C3732D"/>
    <w:rsid w:val="00C4079F"/>
    <w:rsid w:val="00C40816"/>
    <w:rsid w:val="00C42527"/>
    <w:rsid w:val="00C42CCD"/>
    <w:rsid w:val="00C42E37"/>
    <w:rsid w:val="00C42F01"/>
    <w:rsid w:val="00C42F7D"/>
    <w:rsid w:val="00C43443"/>
    <w:rsid w:val="00C43715"/>
    <w:rsid w:val="00C44BF3"/>
    <w:rsid w:val="00C45043"/>
    <w:rsid w:val="00C454BD"/>
    <w:rsid w:val="00C454C0"/>
    <w:rsid w:val="00C456A7"/>
    <w:rsid w:val="00C459DA"/>
    <w:rsid w:val="00C45F71"/>
    <w:rsid w:val="00C46D21"/>
    <w:rsid w:val="00C473EB"/>
    <w:rsid w:val="00C50127"/>
    <w:rsid w:val="00C50688"/>
    <w:rsid w:val="00C522D4"/>
    <w:rsid w:val="00C530B5"/>
    <w:rsid w:val="00C537ED"/>
    <w:rsid w:val="00C538A8"/>
    <w:rsid w:val="00C5423D"/>
    <w:rsid w:val="00C5577C"/>
    <w:rsid w:val="00C56042"/>
    <w:rsid w:val="00C562C3"/>
    <w:rsid w:val="00C56EF9"/>
    <w:rsid w:val="00C57274"/>
    <w:rsid w:val="00C57A3E"/>
    <w:rsid w:val="00C57A3F"/>
    <w:rsid w:val="00C618AB"/>
    <w:rsid w:val="00C62E6D"/>
    <w:rsid w:val="00C630FF"/>
    <w:rsid w:val="00C63585"/>
    <w:rsid w:val="00C65024"/>
    <w:rsid w:val="00C67400"/>
    <w:rsid w:val="00C704B7"/>
    <w:rsid w:val="00C705C7"/>
    <w:rsid w:val="00C7341A"/>
    <w:rsid w:val="00C74B61"/>
    <w:rsid w:val="00C74D99"/>
    <w:rsid w:val="00C76057"/>
    <w:rsid w:val="00C76862"/>
    <w:rsid w:val="00C773A4"/>
    <w:rsid w:val="00C77637"/>
    <w:rsid w:val="00C816B6"/>
    <w:rsid w:val="00C8265F"/>
    <w:rsid w:val="00C82B25"/>
    <w:rsid w:val="00C83EE3"/>
    <w:rsid w:val="00C84BCA"/>
    <w:rsid w:val="00C85542"/>
    <w:rsid w:val="00C85C17"/>
    <w:rsid w:val="00C871BC"/>
    <w:rsid w:val="00C87250"/>
    <w:rsid w:val="00C8729F"/>
    <w:rsid w:val="00C8740B"/>
    <w:rsid w:val="00C875C9"/>
    <w:rsid w:val="00C87CDE"/>
    <w:rsid w:val="00C87ED6"/>
    <w:rsid w:val="00C902EC"/>
    <w:rsid w:val="00C90F36"/>
    <w:rsid w:val="00C912A7"/>
    <w:rsid w:val="00C9243F"/>
    <w:rsid w:val="00C92488"/>
    <w:rsid w:val="00C925E8"/>
    <w:rsid w:val="00C9323C"/>
    <w:rsid w:val="00C93B3D"/>
    <w:rsid w:val="00C93D25"/>
    <w:rsid w:val="00C93E54"/>
    <w:rsid w:val="00C942C7"/>
    <w:rsid w:val="00C950A1"/>
    <w:rsid w:val="00C9547A"/>
    <w:rsid w:val="00C95F72"/>
    <w:rsid w:val="00C964CE"/>
    <w:rsid w:val="00C96DED"/>
    <w:rsid w:val="00CA1466"/>
    <w:rsid w:val="00CA1F42"/>
    <w:rsid w:val="00CA2683"/>
    <w:rsid w:val="00CA2729"/>
    <w:rsid w:val="00CA2DC3"/>
    <w:rsid w:val="00CA3EF8"/>
    <w:rsid w:val="00CA4858"/>
    <w:rsid w:val="00CA52FD"/>
    <w:rsid w:val="00CA5615"/>
    <w:rsid w:val="00CA6075"/>
    <w:rsid w:val="00CA7BED"/>
    <w:rsid w:val="00CB0D06"/>
    <w:rsid w:val="00CB1448"/>
    <w:rsid w:val="00CB14BB"/>
    <w:rsid w:val="00CB1B6F"/>
    <w:rsid w:val="00CB22AC"/>
    <w:rsid w:val="00CB2A87"/>
    <w:rsid w:val="00CB2AEB"/>
    <w:rsid w:val="00CB3C40"/>
    <w:rsid w:val="00CB3FCE"/>
    <w:rsid w:val="00CB5B66"/>
    <w:rsid w:val="00CB5BE4"/>
    <w:rsid w:val="00CB6723"/>
    <w:rsid w:val="00CB741F"/>
    <w:rsid w:val="00CB7F99"/>
    <w:rsid w:val="00CC01C7"/>
    <w:rsid w:val="00CC02E6"/>
    <w:rsid w:val="00CC0479"/>
    <w:rsid w:val="00CC0A76"/>
    <w:rsid w:val="00CC1528"/>
    <w:rsid w:val="00CC36CA"/>
    <w:rsid w:val="00CC4756"/>
    <w:rsid w:val="00CC5FCA"/>
    <w:rsid w:val="00CC6EC5"/>
    <w:rsid w:val="00CC78CF"/>
    <w:rsid w:val="00CC79CF"/>
    <w:rsid w:val="00CD0FB3"/>
    <w:rsid w:val="00CD1264"/>
    <w:rsid w:val="00CD238E"/>
    <w:rsid w:val="00CD2609"/>
    <w:rsid w:val="00CD31CC"/>
    <w:rsid w:val="00CD3DC9"/>
    <w:rsid w:val="00CD62E7"/>
    <w:rsid w:val="00CE0C81"/>
    <w:rsid w:val="00CE0F60"/>
    <w:rsid w:val="00CE193C"/>
    <w:rsid w:val="00CE1C32"/>
    <w:rsid w:val="00CE3C0A"/>
    <w:rsid w:val="00CE3F62"/>
    <w:rsid w:val="00CE51EF"/>
    <w:rsid w:val="00CE58A2"/>
    <w:rsid w:val="00CE5B35"/>
    <w:rsid w:val="00CE5BAB"/>
    <w:rsid w:val="00CE647C"/>
    <w:rsid w:val="00CE7258"/>
    <w:rsid w:val="00CE72A5"/>
    <w:rsid w:val="00CE7BED"/>
    <w:rsid w:val="00CE7D94"/>
    <w:rsid w:val="00CF26EA"/>
    <w:rsid w:val="00CF2BE4"/>
    <w:rsid w:val="00CF312A"/>
    <w:rsid w:val="00CF444F"/>
    <w:rsid w:val="00CF48B7"/>
    <w:rsid w:val="00CF496F"/>
    <w:rsid w:val="00CF4D69"/>
    <w:rsid w:val="00CF540C"/>
    <w:rsid w:val="00CF6402"/>
    <w:rsid w:val="00CF6CA4"/>
    <w:rsid w:val="00CF739C"/>
    <w:rsid w:val="00CF7A79"/>
    <w:rsid w:val="00CF7FA5"/>
    <w:rsid w:val="00D00678"/>
    <w:rsid w:val="00D02393"/>
    <w:rsid w:val="00D0295D"/>
    <w:rsid w:val="00D0311C"/>
    <w:rsid w:val="00D03290"/>
    <w:rsid w:val="00D03445"/>
    <w:rsid w:val="00D035EC"/>
    <w:rsid w:val="00D04305"/>
    <w:rsid w:val="00D04525"/>
    <w:rsid w:val="00D04A68"/>
    <w:rsid w:val="00D04CAC"/>
    <w:rsid w:val="00D0641D"/>
    <w:rsid w:val="00D06B01"/>
    <w:rsid w:val="00D06C9F"/>
    <w:rsid w:val="00D06E13"/>
    <w:rsid w:val="00D0716C"/>
    <w:rsid w:val="00D07B65"/>
    <w:rsid w:val="00D10733"/>
    <w:rsid w:val="00D12452"/>
    <w:rsid w:val="00D136C6"/>
    <w:rsid w:val="00D13863"/>
    <w:rsid w:val="00D14379"/>
    <w:rsid w:val="00D143BB"/>
    <w:rsid w:val="00D1578A"/>
    <w:rsid w:val="00D15C03"/>
    <w:rsid w:val="00D20B31"/>
    <w:rsid w:val="00D24A71"/>
    <w:rsid w:val="00D2527C"/>
    <w:rsid w:val="00D25781"/>
    <w:rsid w:val="00D25791"/>
    <w:rsid w:val="00D25A2F"/>
    <w:rsid w:val="00D2622C"/>
    <w:rsid w:val="00D26CAA"/>
    <w:rsid w:val="00D279B4"/>
    <w:rsid w:val="00D30EB0"/>
    <w:rsid w:val="00D31503"/>
    <w:rsid w:val="00D315FA"/>
    <w:rsid w:val="00D31B71"/>
    <w:rsid w:val="00D3279C"/>
    <w:rsid w:val="00D333D5"/>
    <w:rsid w:val="00D33513"/>
    <w:rsid w:val="00D33A85"/>
    <w:rsid w:val="00D33ED6"/>
    <w:rsid w:val="00D34767"/>
    <w:rsid w:val="00D34843"/>
    <w:rsid w:val="00D35CBF"/>
    <w:rsid w:val="00D36620"/>
    <w:rsid w:val="00D366E4"/>
    <w:rsid w:val="00D36B32"/>
    <w:rsid w:val="00D37376"/>
    <w:rsid w:val="00D404D1"/>
    <w:rsid w:val="00D40CE9"/>
    <w:rsid w:val="00D41143"/>
    <w:rsid w:val="00D42F6D"/>
    <w:rsid w:val="00D45FE9"/>
    <w:rsid w:val="00D52B17"/>
    <w:rsid w:val="00D53740"/>
    <w:rsid w:val="00D5506F"/>
    <w:rsid w:val="00D552A8"/>
    <w:rsid w:val="00D60910"/>
    <w:rsid w:val="00D611F9"/>
    <w:rsid w:val="00D61241"/>
    <w:rsid w:val="00D6220B"/>
    <w:rsid w:val="00D622C0"/>
    <w:rsid w:val="00D626B6"/>
    <w:rsid w:val="00D6278A"/>
    <w:rsid w:val="00D62D9E"/>
    <w:rsid w:val="00D62F43"/>
    <w:rsid w:val="00D62FED"/>
    <w:rsid w:val="00D632A5"/>
    <w:rsid w:val="00D63759"/>
    <w:rsid w:val="00D641BF"/>
    <w:rsid w:val="00D64CE8"/>
    <w:rsid w:val="00D65C99"/>
    <w:rsid w:val="00D6658C"/>
    <w:rsid w:val="00D70046"/>
    <w:rsid w:val="00D705A8"/>
    <w:rsid w:val="00D7091E"/>
    <w:rsid w:val="00D71475"/>
    <w:rsid w:val="00D714B9"/>
    <w:rsid w:val="00D71828"/>
    <w:rsid w:val="00D71E83"/>
    <w:rsid w:val="00D723E2"/>
    <w:rsid w:val="00D743D8"/>
    <w:rsid w:val="00D765FD"/>
    <w:rsid w:val="00D769E5"/>
    <w:rsid w:val="00D76BB4"/>
    <w:rsid w:val="00D77264"/>
    <w:rsid w:val="00D77357"/>
    <w:rsid w:val="00D77AF7"/>
    <w:rsid w:val="00D8011F"/>
    <w:rsid w:val="00D80304"/>
    <w:rsid w:val="00D8050D"/>
    <w:rsid w:val="00D80895"/>
    <w:rsid w:val="00D81338"/>
    <w:rsid w:val="00D8143F"/>
    <w:rsid w:val="00D81686"/>
    <w:rsid w:val="00D819A0"/>
    <w:rsid w:val="00D81FAB"/>
    <w:rsid w:val="00D82C75"/>
    <w:rsid w:val="00D84B34"/>
    <w:rsid w:val="00D84E78"/>
    <w:rsid w:val="00D84E97"/>
    <w:rsid w:val="00D8550C"/>
    <w:rsid w:val="00D868A5"/>
    <w:rsid w:val="00D8753E"/>
    <w:rsid w:val="00D90267"/>
    <w:rsid w:val="00D9080D"/>
    <w:rsid w:val="00D908B8"/>
    <w:rsid w:val="00D90D01"/>
    <w:rsid w:val="00D91456"/>
    <w:rsid w:val="00D9311D"/>
    <w:rsid w:val="00D94611"/>
    <w:rsid w:val="00D94FC5"/>
    <w:rsid w:val="00D95221"/>
    <w:rsid w:val="00D9599A"/>
    <w:rsid w:val="00D964A9"/>
    <w:rsid w:val="00D9723E"/>
    <w:rsid w:val="00D9795D"/>
    <w:rsid w:val="00DA0F73"/>
    <w:rsid w:val="00DA1C4C"/>
    <w:rsid w:val="00DA21EA"/>
    <w:rsid w:val="00DA3258"/>
    <w:rsid w:val="00DA3372"/>
    <w:rsid w:val="00DA3BC2"/>
    <w:rsid w:val="00DA4C0F"/>
    <w:rsid w:val="00DA5089"/>
    <w:rsid w:val="00DA5B82"/>
    <w:rsid w:val="00DA5FA2"/>
    <w:rsid w:val="00DA61E2"/>
    <w:rsid w:val="00DA69E5"/>
    <w:rsid w:val="00DA7CD2"/>
    <w:rsid w:val="00DA7DAD"/>
    <w:rsid w:val="00DB23CF"/>
    <w:rsid w:val="00DB24CD"/>
    <w:rsid w:val="00DB2AD1"/>
    <w:rsid w:val="00DB2E11"/>
    <w:rsid w:val="00DB3440"/>
    <w:rsid w:val="00DB3514"/>
    <w:rsid w:val="00DB357F"/>
    <w:rsid w:val="00DB46BF"/>
    <w:rsid w:val="00DB51D1"/>
    <w:rsid w:val="00DB58AC"/>
    <w:rsid w:val="00DB6884"/>
    <w:rsid w:val="00DB6C7B"/>
    <w:rsid w:val="00DB740C"/>
    <w:rsid w:val="00DB7702"/>
    <w:rsid w:val="00DC03DB"/>
    <w:rsid w:val="00DC194A"/>
    <w:rsid w:val="00DC2552"/>
    <w:rsid w:val="00DC2A60"/>
    <w:rsid w:val="00DC2E16"/>
    <w:rsid w:val="00DC32CD"/>
    <w:rsid w:val="00DC34D0"/>
    <w:rsid w:val="00DC35B6"/>
    <w:rsid w:val="00DC3DD8"/>
    <w:rsid w:val="00DC4142"/>
    <w:rsid w:val="00DC4347"/>
    <w:rsid w:val="00DC465E"/>
    <w:rsid w:val="00DC4BFA"/>
    <w:rsid w:val="00DC567B"/>
    <w:rsid w:val="00DC6894"/>
    <w:rsid w:val="00DC6FB2"/>
    <w:rsid w:val="00DC74C0"/>
    <w:rsid w:val="00DC7740"/>
    <w:rsid w:val="00DC7889"/>
    <w:rsid w:val="00DD0664"/>
    <w:rsid w:val="00DD0DB0"/>
    <w:rsid w:val="00DD1065"/>
    <w:rsid w:val="00DD15F7"/>
    <w:rsid w:val="00DD3576"/>
    <w:rsid w:val="00DD3A5D"/>
    <w:rsid w:val="00DD4B00"/>
    <w:rsid w:val="00DD4E41"/>
    <w:rsid w:val="00DD54B8"/>
    <w:rsid w:val="00DD5E77"/>
    <w:rsid w:val="00DD676A"/>
    <w:rsid w:val="00DD6F23"/>
    <w:rsid w:val="00DE07C3"/>
    <w:rsid w:val="00DE0923"/>
    <w:rsid w:val="00DE2A83"/>
    <w:rsid w:val="00DE34DF"/>
    <w:rsid w:val="00DE359C"/>
    <w:rsid w:val="00DE4DAA"/>
    <w:rsid w:val="00DE5630"/>
    <w:rsid w:val="00DE5AA0"/>
    <w:rsid w:val="00DE5B49"/>
    <w:rsid w:val="00DE5CF8"/>
    <w:rsid w:val="00DE5FE6"/>
    <w:rsid w:val="00DE712D"/>
    <w:rsid w:val="00DE72D1"/>
    <w:rsid w:val="00DE7AB7"/>
    <w:rsid w:val="00DF11D0"/>
    <w:rsid w:val="00DF1287"/>
    <w:rsid w:val="00DF26E0"/>
    <w:rsid w:val="00DF2B80"/>
    <w:rsid w:val="00DF4C63"/>
    <w:rsid w:val="00DF51BD"/>
    <w:rsid w:val="00DF5877"/>
    <w:rsid w:val="00DF6664"/>
    <w:rsid w:val="00DF6FAD"/>
    <w:rsid w:val="00DF73CD"/>
    <w:rsid w:val="00DF7648"/>
    <w:rsid w:val="00DF7924"/>
    <w:rsid w:val="00DF79DC"/>
    <w:rsid w:val="00E0021B"/>
    <w:rsid w:val="00E0084E"/>
    <w:rsid w:val="00E00BD3"/>
    <w:rsid w:val="00E00C5E"/>
    <w:rsid w:val="00E01654"/>
    <w:rsid w:val="00E0199C"/>
    <w:rsid w:val="00E01E19"/>
    <w:rsid w:val="00E02016"/>
    <w:rsid w:val="00E02224"/>
    <w:rsid w:val="00E02698"/>
    <w:rsid w:val="00E028A0"/>
    <w:rsid w:val="00E02C0D"/>
    <w:rsid w:val="00E0361F"/>
    <w:rsid w:val="00E0379D"/>
    <w:rsid w:val="00E03A0A"/>
    <w:rsid w:val="00E03D34"/>
    <w:rsid w:val="00E04317"/>
    <w:rsid w:val="00E04412"/>
    <w:rsid w:val="00E0444A"/>
    <w:rsid w:val="00E04ECF"/>
    <w:rsid w:val="00E053D6"/>
    <w:rsid w:val="00E05B10"/>
    <w:rsid w:val="00E06408"/>
    <w:rsid w:val="00E10492"/>
    <w:rsid w:val="00E1069B"/>
    <w:rsid w:val="00E10811"/>
    <w:rsid w:val="00E10DDF"/>
    <w:rsid w:val="00E1265D"/>
    <w:rsid w:val="00E128B1"/>
    <w:rsid w:val="00E13571"/>
    <w:rsid w:val="00E15248"/>
    <w:rsid w:val="00E16990"/>
    <w:rsid w:val="00E16D90"/>
    <w:rsid w:val="00E170F5"/>
    <w:rsid w:val="00E1765E"/>
    <w:rsid w:val="00E178D6"/>
    <w:rsid w:val="00E207AF"/>
    <w:rsid w:val="00E2140D"/>
    <w:rsid w:val="00E21574"/>
    <w:rsid w:val="00E219D2"/>
    <w:rsid w:val="00E221DB"/>
    <w:rsid w:val="00E226F6"/>
    <w:rsid w:val="00E24775"/>
    <w:rsid w:val="00E24AED"/>
    <w:rsid w:val="00E24ED2"/>
    <w:rsid w:val="00E2595F"/>
    <w:rsid w:val="00E25A01"/>
    <w:rsid w:val="00E25A7B"/>
    <w:rsid w:val="00E27379"/>
    <w:rsid w:val="00E27E90"/>
    <w:rsid w:val="00E30D27"/>
    <w:rsid w:val="00E30F0E"/>
    <w:rsid w:val="00E31198"/>
    <w:rsid w:val="00E31358"/>
    <w:rsid w:val="00E323E9"/>
    <w:rsid w:val="00E325F1"/>
    <w:rsid w:val="00E3439A"/>
    <w:rsid w:val="00E343AE"/>
    <w:rsid w:val="00E35CE8"/>
    <w:rsid w:val="00E35FAB"/>
    <w:rsid w:val="00E3655E"/>
    <w:rsid w:val="00E37054"/>
    <w:rsid w:val="00E4028E"/>
    <w:rsid w:val="00E40BA1"/>
    <w:rsid w:val="00E40C09"/>
    <w:rsid w:val="00E41272"/>
    <w:rsid w:val="00E4190F"/>
    <w:rsid w:val="00E425A6"/>
    <w:rsid w:val="00E436F4"/>
    <w:rsid w:val="00E4425F"/>
    <w:rsid w:val="00E44FB0"/>
    <w:rsid w:val="00E4560D"/>
    <w:rsid w:val="00E50453"/>
    <w:rsid w:val="00E505C7"/>
    <w:rsid w:val="00E51C81"/>
    <w:rsid w:val="00E52B46"/>
    <w:rsid w:val="00E52D65"/>
    <w:rsid w:val="00E53000"/>
    <w:rsid w:val="00E530D8"/>
    <w:rsid w:val="00E53671"/>
    <w:rsid w:val="00E536B5"/>
    <w:rsid w:val="00E545B9"/>
    <w:rsid w:val="00E54F2F"/>
    <w:rsid w:val="00E57E59"/>
    <w:rsid w:val="00E6001D"/>
    <w:rsid w:val="00E60405"/>
    <w:rsid w:val="00E60453"/>
    <w:rsid w:val="00E60809"/>
    <w:rsid w:val="00E60D09"/>
    <w:rsid w:val="00E60E44"/>
    <w:rsid w:val="00E61E46"/>
    <w:rsid w:val="00E6273C"/>
    <w:rsid w:val="00E62746"/>
    <w:rsid w:val="00E633B9"/>
    <w:rsid w:val="00E63558"/>
    <w:rsid w:val="00E6406B"/>
    <w:rsid w:val="00E64131"/>
    <w:rsid w:val="00E64FFC"/>
    <w:rsid w:val="00E65222"/>
    <w:rsid w:val="00E65F2C"/>
    <w:rsid w:val="00E67732"/>
    <w:rsid w:val="00E70E18"/>
    <w:rsid w:val="00E714DB"/>
    <w:rsid w:val="00E72020"/>
    <w:rsid w:val="00E72537"/>
    <w:rsid w:val="00E7511A"/>
    <w:rsid w:val="00E751AB"/>
    <w:rsid w:val="00E7573A"/>
    <w:rsid w:val="00E8038F"/>
    <w:rsid w:val="00E80E83"/>
    <w:rsid w:val="00E82807"/>
    <w:rsid w:val="00E82F3C"/>
    <w:rsid w:val="00E8316A"/>
    <w:rsid w:val="00E83DAC"/>
    <w:rsid w:val="00E8461C"/>
    <w:rsid w:val="00E85712"/>
    <w:rsid w:val="00E87151"/>
    <w:rsid w:val="00E873C3"/>
    <w:rsid w:val="00E8783E"/>
    <w:rsid w:val="00E90B67"/>
    <w:rsid w:val="00E90E3F"/>
    <w:rsid w:val="00E910F2"/>
    <w:rsid w:val="00E914E7"/>
    <w:rsid w:val="00E9174E"/>
    <w:rsid w:val="00E91BD2"/>
    <w:rsid w:val="00E91C4D"/>
    <w:rsid w:val="00E92688"/>
    <w:rsid w:val="00E92F36"/>
    <w:rsid w:val="00E93370"/>
    <w:rsid w:val="00E93897"/>
    <w:rsid w:val="00E942BE"/>
    <w:rsid w:val="00E94402"/>
    <w:rsid w:val="00E94638"/>
    <w:rsid w:val="00E9467D"/>
    <w:rsid w:val="00E97B21"/>
    <w:rsid w:val="00E97DCF"/>
    <w:rsid w:val="00EA0E8B"/>
    <w:rsid w:val="00EA19F1"/>
    <w:rsid w:val="00EA25D5"/>
    <w:rsid w:val="00EA44A1"/>
    <w:rsid w:val="00EA50F2"/>
    <w:rsid w:val="00EA7200"/>
    <w:rsid w:val="00EA7769"/>
    <w:rsid w:val="00EA7E7C"/>
    <w:rsid w:val="00EB0067"/>
    <w:rsid w:val="00EB10B4"/>
    <w:rsid w:val="00EB1B25"/>
    <w:rsid w:val="00EB2843"/>
    <w:rsid w:val="00EB2A94"/>
    <w:rsid w:val="00EB4212"/>
    <w:rsid w:val="00EB5554"/>
    <w:rsid w:val="00EB59A1"/>
    <w:rsid w:val="00EB6284"/>
    <w:rsid w:val="00EB72E2"/>
    <w:rsid w:val="00EB7816"/>
    <w:rsid w:val="00EC114F"/>
    <w:rsid w:val="00EC17B5"/>
    <w:rsid w:val="00EC242C"/>
    <w:rsid w:val="00EC33A2"/>
    <w:rsid w:val="00EC4928"/>
    <w:rsid w:val="00EC4E9F"/>
    <w:rsid w:val="00EC61F5"/>
    <w:rsid w:val="00EC6962"/>
    <w:rsid w:val="00EC6D9F"/>
    <w:rsid w:val="00ED04C1"/>
    <w:rsid w:val="00ED0CDA"/>
    <w:rsid w:val="00ED1A2E"/>
    <w:rsid w:val="00ED2B82"/>
    <w:rsid w:val="00ED34CD"/>
    <w:rsid w:val="00ED365A"/>
    <w:rsid w:val="00ED3A10"/>
    <w:rsid w:val="00ED451D"/>
    <w:rsid w:val="00ED512B"/>
    <w:rsid w:val="00ED59C1"/>
    <w:rsid w:val="00ED5BB9"/>
    <w:rsid w:val="00ED6BAD"/>
    <w:rsid w:val="00ED7103"/>
    <w:rsid w:val="00ED710D"/>
    <w:rsid w:val="00EE01A1"/>
    <w:rsid w:val="00EE17CF"/>
    <w:rsid w:val="00EE19B9"/>
    <w:rsid w:val="00EE2E59"/>
    <w:rsid w:val="00EE47CD"/>
    <w:rsid w:val="00EE4826"/>
    <w:rsid w:val="00EE524D"/>
    <w:rsid w:val="00EE5F88"/>
    <w:rsid w:val="00EE6285"/>
    <w:rsid w:val="00EE6777"/>
    <w:rsid w:val="00EE7435"/>
    <w:rsid w:val="00EE7C2F"/>
    <w:rsid w:val="00EE7FA7"/>
    <w:rsid w:val="00EF05CB"/>
    <w:rsid w:val="00EF143B"/>
    <w:rsid w:val="00EF1A44"/>
    <w:rsid w:val="00EF1CC6"/>
    <w:rsid w:val="00EF34E2"/>
    <w:rsid w:val="00EF3FB6"/>
    <w:rsid w:val="00EF4835"/>
    <w:rsid w:val="00EF52A8"/>
    <w:rsid w:val="00EF574E"/>
    <w:rsid w:val="00EF58EC"/>
    <w:rsid w:val="00EF5A5A"/>
    <w:rsid w:val="00EF5BB0"/>
    <w:rsid w:val="00EF5C5B"/>
    <w:rsid w:val="00EF66E3"/>
    <w:rsid w:val="00EF6D9E"/>
    <w:rsid w:val="00F00637"/>
    <w:rsid w:val="00F00A0E"/>
    <w:rsid w:val="00F01121"/>
    <w:rsid w:val="00F01A22"/>
    <w:rsid w:val="00F02107"/>
    <w:rsid w:val="00F0225D"/>
    <w:rsid w:val="00F0324B"/>
    <w:rsid w:val="00F038EC"/>
    <w:rsid w:val="00F03EE9"/>
    <w:rsid w:val="00F06556"/>
    <w:rsid w:val="00F10C6F"/>
    <w:rsid w:val="00F1187A"/>
    <w:rsid w:val="00F11C8C"/>
    <w:rsid w:val="00F11DDE"/>
    <w:rsid w:val="00F1252E"/>
    <w:rsid w:val="00F13DDB"/>
    <w:rsid w:val="00F1438E"/>
    <w:rsid w:val="00F153B8"/>
    <w:rsid w:val="00F15D3A"/>
    <w:rsid w:val="00F1648A"/>
    <w:rsid w:val="00F16EC5"/>
    <w:rsid w:val="00F17E59"/>
    <w:rsid w:val="00F207CF"/>
    <w:rsid w:val="00F20AC8"/>
    <w:rsid w:val="00F20AFA"/>
    <w:rsid w:val="00F21286"/>
    <w:rsid w:val="00F217C6"/>
    <w:rsid w:val="00F22AB4"/>
    <w:rsid w:val="00F22BB7"/>
    <w:rsid w:val="00F22C54"/>
    <w:rsid w:val="00F2300F"/>
    <w:rsid w:val="00F24C43"/>
    <w:rsid w:val="00F254A8"/>
    <w:rsid w:val="00F27205"/>
    <w:rsid w:val="00F303CB"/>
    <w:rsid w:val="00F30950"/>
    <w:rsid w:val="00F32798"/>
    <w:rsid w:val="00F33361"/>
    <w:rsid w:val="00F33A54"/>
    <w:rsid w:val="00F33E7B"/>
    <w:rsid w:val="00F34ECC"/>
    <w:rsid w:val="00F400F0"/>
    <w:rsid w:val="00F4105D"/>
    <w:rsid w:val="00F41FF6"/>
    <w:rsid w:val="00F422D9"/>
    <w:rsid w:val="00F4358A"/>
    <w:rsid w:val="00F43EA2"/>
    <w:rsid w:val="00F43FD8"/>
    <w:rsid w:val="00F44928"/>
    <w:rsid w:val="00F45250"/>
    <w:rsid w:val="00F45D80"/>
    <w:rsid w:val="00F46207"/>
    <w:rsid w:val="00F47030"/>
    <w:rsid w:val="00F47C89"/>
    <w:rsid w:val="00F47E81"/>
    <w:rsid w:val="00F5019F"/>
    <w:rsid w:val="00F50254"/>
    <w:rsid w:val="00F50B9A"/>
    <w:rsid w:val="00F50E34"/>
    <w:rsid w:val="00F51256"/>
    <w:rsid w:val="00F51C8E"/>
    <w:rsid w:val="00F51E04"/>
    <w:rsid w:val="00F523EF"/>
    <w:rsid w:val="00F52913"/>
    <w:rsid w:val="00F52BAC"/>
    <w:rsid w:val="00F53C91"/>
    <w:rsid w:val="00F56440"/>
    <w:rsid w:val="00F57B26"/>
    <w:rsid w:val="00F57D0F"/>
    <w:rsid w:val="00F57DB8"/>
    <w:rsid w:val="00F610E2"/>
    <w:rsid w:val="00F613BA"/>
    <w:rsid w:val="00F61B26"/>
    <w:rsid w:val="00F631FE"/>
    <w:rsid w:val="00F63CB6"/>
    <w:rsid w:val="00F6493C"/>
    <w:rsid w:val="00F64CB7"/>
    <w:rsid w:val="00F65333"/>
    <w:rsid w:val="00F67CD3"/>
    <w:rsid w:val="00F7098E"/>
    <w:rsid w:val="00F70B56"/>
    <w:rsid w:val="00F70FF8"/>
    <w:rsid w:val="00F712D6"/>
    <w:rsid w:val="00F717B6"/>
    <w:rsid w:val="00F72785"/>
    <w:rsid w:val="00F748E1"/>
    <w:rsid w:val="00F7645D"/>
    <w:rsid w:val="00F76892"/>
    <w:rsid w:val="00F76AB3"/>
    <w:rsid w:val="00F774B4"/>
    <w:rsid w:val="00F774BB"/>
    <w:rsid w:val="00F8090D"/>
    <w:rsid w:val="00F80F23"/>
    <w:rsid w:val="00F8212E"/>
    <w:rsid w:val="00F82DB5"/>
    <w:rsid w:val="00F82F48"/>
    <w:rsid w:val="00F83E83"/>
    <w:rsid w:val="00F856F0"/>
    <w:rsid w:val="00F874F5"/>
    <w:rsid w:val="00F87A55"/>
    <w:rsid w:val="00F91416"/>
    <w:rsid w:val="00F91A87"/>
    <w:rsid w:val="00F92B52"/>
    <w:rsid w:val="00F93247"/>
    <w:rsid w:val="00F93989"/>
    <w:rsid w:val="00F9553A"/>
    <w:rsid w:val="00F95A81"/>
    <w:rsid w:val="00FA1E77"/>
    <w:rsid w:val="00FA236B"/>
    <w:rsid w:val="00FA24DA"/>
    <w:rsid w:val="00FA3D42"/>
    <w:rsid w:val="00FA40E9"/>
    <w:rsid w:val="00FA4131"/>
    <w:rsid w:val="00FA571A"/>
    <w:rsid w:val="00FA648F"/>
    <w:rsid w:val="00FA76B8"/>
    <w:rsid w:val="00FB0444"/>
    <w:rsid w:val="00FB188C"/>
    <w:rsid w:val="00FB3A38"/>
    <w:rsid w:val="00FB43C4"/>
    <w:rsid w:val="00FB45FD"/>
    <w:rsid w:val="00FB50D6"/>
    <w:rsid w:val="00FB62F3"/>
    <w:rsid w:val="00FB6918"/>
    <w:rsid w:val="00FB6BC5"/>
    <w:rsid w:val="00FB7146"/>
    <w:rsid w:val="00FB72FD"/>
    <w:rsid w:val="00FB748A"/>
    <w:rsid w:val="00FB7CCB"/>
    <w:rsid w:val="00FB7D58"/>
    <w:rsid w:val="00FC0B57"/>
    <w:rsid w:val="00FC2481"/>
    <w:rsid w:val="00FC3121"/>
    <w:rsid w:val="00FC38DA"/>
    <w:rsid w:val="00FC41C0"/>
    <w:rsid w:val="00FC4B20"/>
    <w:rsid w:val="00FC4ED0"/>
    <w:rsid w:val="00FC5143"/>
    <w:rsid w:val="00FC5267"/>
    <w:rsid w:val="00FC58DA"/>
    <w:rsid w:val="00FC59EA"/>
    <w:rsid w:val="00FC60F1"/>
    <w:rsid w:val="00FC620B"/>
    <w:rsid w:val="00FC7714"/>
    <w:rsid w:val="00FD1BE4"/>
    <w:rsid w:val="00FD3884"/>
    <w:rsid w:val="00FD4ADD"/>
    <w:rsid w:val="00FD4C90"/>
    <w:rsid w:val="00FD5AC0"/>
    <w:rsid w:val="00FD5B34"/>
    <w:rsid w:val="00FD5B65"/>
    <w:rsid w:val="00FD6BDD"/>
    <w:rsid w:val="00FD6DD6"/>
    <w:rsid w:val="00FD72A9"/>
    <w:rsid w:val="00FD7516"/>
    <w:rsid w:val="00FD78C7"/>
    <w:rsid w:val="00FE0A1F"/>
    <w:rsid w:val="00FE0BBC"/>
    <w:rsid w:val="00FE127C"/>
    <w:rsid w:val="00FE1306"/>
    <w:rsid w:val="00FE2654"/>
    <w:rsid w:val="00FE3EF9"/>
    <w:rsid w:val="00FE4DFC"/>
    <w:rsid w:val="00FE5A67"/>
    <w:rsid w:val="00FE5B25"/>
    <w:rsid w:val="00FE727A"/>
    <w:rsid w:val="00FF0510"/>
    <w:rsid w:val="00FF15AC"/>
    <w:rsid w:val="00FF1D7A"/>
    <w:rsid w:val="00FF289F"/>
    <w:rsid w:val="00FF408A"/>
    <w:rsid w:val="00FF434D"/>
    <w:rsid w:val="00FF44D1"/>
    <w:rsid w:val="00FF4779"/>
    <w:rsid w:val="00FF4924"/>
    <w:rsid w:val="00FF4B41"/>
    <w:rsid w:val="00FF5274"/>
    <w:rsid w:val="00FF5BBA"/>
    <w:rsid w:val="00FF5BE8"/>
    <w:rsid w:val="00FF6475"/>
    <w:rsid w:val="00FF6986"/>
    <w:rsid w:val="00FF6E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1B385"/>
  <w15:docId w15:val="{50EE4BB5-6B55-42E9-86DE-23FB4B883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710D"/>
    <w:pPr>
      <w:spacing w:after="240" w:line="240" w:lineRule="auto"/>
    </w:pPr>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1">
    <w:name w:val="L1"/>
    <w:basedOn w:val="Normal"/>
    <w:qFormat/>
    <w:rsid w:val="003C31CE"/>
    <w:pPr>
      <w:keepNext/>
      <w:numPr>
        <w:ilvl w:val="1"/>
        <w:numId w:val="10"/>
      </w:numPr>
      <w:spacing w:before="240"/>
      <w:outlineLvl w:val="0"/>
    </w:pPr>
    <w:rPr>
      <w:rFonts w:eastAsiaTheme="minorEastAsia"/>
      <w:b/>
      <w:szCs w:val="24"/>
    </w:rPr>
  </w:style>
  <w:style w:type="paragraph" w:customStyle="1" w:styleId="L2">
    <w:name w:val="L2"/>
    <w:basedOn w:val="Normal"/>
    <w:qFormat/>
    <w:rsid w:val="00DB46BF"/>
    <w:pPr>
      <w:keepNext/>
      <w:numPr>
        <w:ilvl w:val="2"/>
        <w:numId w:val="10"/>
      </w:numPr>
      <w:spacing w:before="240"/>
      <w:outlineLvl w:val="1"/>
    </w:pPr>
    <w:rPr>
      <w:rFonts w:eastAsiaTheme="minorEastAsia"/>
      <w:b/>
      <w:szCs w:val="24"/>
    </w:rPr>
  </w:style>
  <w:style w:type="paragraph" w:customStyle="1" w:styleId="L3">
    <w:name w:val="L3"/>
    <w:basedOn w:val="Normal"/>
    <w:qFormat/>
    <w:rsid w:val="004A1196"/>
    <w:pPr>
      <w:numPr>
        <w:ilvl w:val="3"/>
        <w:numId w:val="10"/>
      </w:numPr>
      <w:spacing w:before="120" w:after="120"/>
      <w:outlineLvl w:val="2"/>
    </w:pPr>
    <w:rPr>
      <w:rFonts w:eastAsiaTheme="minorEastAsia"/>
      <w:szCs w:val="24"/>
    </w:rPr>
  </w:style>
  <w:style w:type="paragraph" w:customStyle="1" w:styleId="L4">
    <w:name w:val="L4"/>
    <w:basedOn w:val="Normal"/>
    <w:qFormat/>
    <w:rsid w:val="004A1196"/>
    <w:pPr>
      <w:numPr>
        <w:ilvl w:val="4"/>
        <w:numId w:val="10"/>
      </w:numPr>
      <w:spacing w:before="140" w:after="140"/>
      <w:outlineLvl w:val="3"/>
    </w:pPr>
    <w:rPr>
      <w:rFonts w:eastAsiaTheme="minorEastAsia"/>
      <w:szCs w:val="24"/>
    </w:rPr>
  </w:style>
  <w:style w:type="paragraph" w:customStyle="1" w:styleId="L5">
    <w:name w:val="L5"/>
    <w:basedOn w:val="Normal"/>
    <w:qFormat/>
    <w:rsid w:val="004A1196"/>
    <w:pPr>
      <w:numPr>
        <w:ilvl w:val="5"/>
        <w:numId w:val="10"/>
      </w:numPr>
      <w:spacing w:before="140" w:after="140"/>
      <w:outlineLvl w:val="4"/>
    </w:pPr>
    <w:rPr>
      <w:rFonts w:ascii="Calibri" w:eastAsiaTheme="minorEastAsia" w:hAnsi="Calibri"/>
      <w:szCs w:val="24"/>
    </w:rPr>
  </w:style>
  <w:style w:type="paragraph" w:customStyle="1" w:styleId="L6">
    <w:name w:val="L6"/>
    <w:basedOn w:val="Normal"/>
    <w:qFormat/>
    <w:rsid w:val="004A1196"/>
    <w:pPr>
      <w:numPr>
        <w:ilvl w:val="6"/>
        <w:numId w:val="10"/>
      </w:numPr>
      <w:spacing w:before="140" w:after="140"/>
      <w:outlineLvl w:val="5"/>
    </w:pPr>
    <w:rPr>
      <w:rFonts w:ascii="Book Antiqua" w:eastAsiaTheme="minorEastAsia" w:hAnsi="Book Antiqua"/>
      <w:sz w:val="26"/>
      <w:szCs w:val="24"/>
    </w:rPr>
  </w:style>
  <w:style w:type="paragraph" w:customStyle="1" w:styleId="L7">
    <w:name w:val="L7"/>
    <w:basedOn w:val="Normal"/>
    <w:qFormat/>
    <w:rsid w:val="004A1196"/>
    <w:pPr>
      <w:numPr>
        <w:ilvl w:val="7"/>
        <w:numId w:val="10"/>
      </w:numPr>
      <w:spacing w:before="140" w:after="140"/>
      <w:outlineLvl w:val="6"/>
    </w:pPr>
    <w:rPr>
      <w:rFonts w:ascii="Book Antiqua" w:eastAsiaTheme="minorEastAsia" w:hAnsi="Book Antiqua"/>
      <w:sz w:val="26"/>
      <w:szCs w:val="24"/>
    </w:rPr>
  </w:style>
  <w:style w:type="paragraph" w:customStyle="1" w:styleId="L8">
    <w:name w:val="L8"/>
    <w:basedOn w:val="Normal"/>
    <w:qFormat/>
    <w:rsid w:val="004A1196"/>
    <w:pPr>
      <w:numPr>
        <w:ilvl w:val="8"/>
        <w:numId w:val="10"/>
      </w:numPr>
      <w:spacing w:before="140" w:after="140"/>
      <w:outlineLvl w:val="7"/>
    </w:pPr>
    <w:rPr>
      <w:rFonts w:ascii="Book Antiqua" w:eastAsiaTheme="minorEastAsia" w:hAnsi="Book Antiqua"/>
      <w:sz w:val="28"/>
      <w:szCs w:val="24"/>
    </w:rPr>
  </w:style>
  <w:style w:type="numbering" w:customStyle="1" w:styleId="StyleforNotes">
    <w:name w:val="StyleforNotes"/>
    <w:uiPriority w:val="99"/>
    <w:rsid w:val="004A1196"/>
    <w:pPr>
      <w:numPr>
        <w:numId w:val="1"/>
      </w:numPr>
    </w:pPr>
  </w:style>
  <w:style w:type="numbering" w:customStyle="1" w:styleId="SBookAntiqua12">
    <w:name w:val="S_BookAntiqua_12"/>
    <w:uiPriority w:val="99"/>
    <w:rsid w:val="004A1196"/>
    <w:pPr>
      <w:numPr>
        <w:numId w:val="11"/>
      </w:numPr>
    </w:pPr>
  </w:style>
  <w:style w:type="paragraph" w:customStyle="1" w:styleId="s1ba12">
    <w:name w:val="s1_ba12"/>
    <w:basedOn w:val="Normal"/>
    <w:rsid w:val="004A1196"/>
    <w:pPr>
      <w:numPr>
        <w:numId w:val="15"/>
      </w:numPr>
      <w:tabs>
        <w:tab w:val="left" w:pos="360"/>
        <w:tab w:val="left" w:pos="720"/>
        <w:tab w:val="left" w:pos="1080"/>
        <w:tab w:val="left" w:pos="1440"/>
        <w:tab w:val="left" w:pos="1800"/>
        <w:tab w:val="left" w:pos="2160"/>
        <w:tab w:val="left" w:pos="2520"/>
      </w:tabs>
      <w:spacing w:before="120" w:after="0"/>
    </w:pPr>
    <w:rPr>
      <w:rFonts w:ascii="Book Antiqua" w:hAnsi="Book Antiqua"/>
    </w:rPr>
  </w:style>
  <w:style w:type="paragraph" w:customStyle="1" w:styleId="s2ba12">
    <w:name w:val="s2_ba12"/>
    <w:basedOn w:val="Normal"/>
    <w:next w:val="s1ba12"/>
    <w:rsid w:val="004A1196"/>
    <w:pPr>
      <w:numPr>
        <w:ilvl w:val="1"/>
        <w:numId w:val="15"/>
      </w:numPr>
      <w:tabs>
        <w:tab w:val="left" w:pos="360"/>
        <w:tab w:val="left" w:pos="720"/>
        <w:tab w:val="left" w:pos="1080"/>
        <w:tab w:val="left" w:pos="1440"/>
        <w:tab w:val="left" w:pos="1800"/>
        <w:tab w:val="left" w:pos="2160"/>
        <w:tab w:val="left" w:pos="2520"/>
      </w:tabs>
      <w:spacing w:before="120" w:after="0"/>
    </w:pPr>
    <w:rPr>
      <w:rFonts w:ascii="Book Antiqua" w:hAnsi="Book Antiqua"/>
    </w:rPr>
  </w:style>
  <w:style w:type="paragraph" w:customStyle="1" w:styleId="s3ba12">
    <w:name w:val="s3_ba12"/>
    <w:basedOn w:val="Normal"/>
    <w:next w:val="s2ba12"/>
    <w:rsid w:val="004A1196"/>
    <w:pPr>
      <w:numPr>
        <w:ilvl w:val="2"/>
        <w:numId w:val="15"/>
      </w:numPr>
      <w:tabs>
        <w:tab w:val="left" w:pos="360"/>
        <w:tab w:val="left" w:pos="720"/>
        <w:tab w:val="left" w:pos="1080"/>
        <w:tab w:val="left" w:pos="1440"/>
        <w:tab w:val="left" w:pos="1800"/>
        <w:tab w:val="left" w:pos="2160"/>
        <w:tab w:val="left" w:pos="2520"/>
      </w:tabs>
      <w:spacing w:before="120" w:after="0"/>
    </w:pPr>
    <w:rPr>
      <w:rFonts w:ascii="Book Antiqua" w:hAnsi="Book Antiqua"/>
    </w:rPr>
  </w:style>
  <w:style w:type="paragraph" w:customStyle="1" w:styleId="s4ba12">
    <w:name w:val="s4_ba12"/>
    <w:basedOn w:val="Normal"/>
    <w:next w:val="s3ba12"/>
    <w:rsid w:val="004A1196"/>
    <w:pPr>
      <w:numPr>
        <w:ilvl w:val="3"/>
        <w:numId w:val="15"/>
      </w:numPr>
      <w:tabs>
        <w:tab w:val="left" w:pos="360"/>
        <w:tab w:val="left" w:pos="720"/>
        <w:tab w:val="left" w:pos="1080"/>
        <w:tab w:val="left" w:pos="1440"/>
        <w:tab w:val="left" w:pos="1800"/>
        <w:tab w:val="left" w:pos="2160"/>
        <w:tab w:val="left" w:pos="2520"/>
      </w:tabs>
      <w:spacing w:before="120" w:after="0"/>
    </w:pPr>
    <w:rPr>
      <w:rFonts w:ascii="Book Antiqua" w:hAnsi="Book Antiqua"/>
    </w:rPr>
  </w:style>
  <w:style w:type="numbering" w:customStyle="1" w:styleId="SCalibri11">
    <w:name w:val="S_Calibri_11"/>
    <w:uiPriority w:val="99"/>
    <w:rsid w:val="003A19FE"/>
  </w:style>
  <w:style w:type="paragraph" w:styleId="EndnoteText">
    <w:name w:val="endnote text"/>
    <w:basedOn w:val="Normal"/>
    <w:link w:val="EndnoteTextChar"/>
    <w:uiPriority w:val="99"/>
    <w:semiHidden/>
    <w:unhideWhenUsed/>
    <w:rsid w:val="00ED710D"/>
    <w:rPr>
      <w:sz w:val="20"/>
      <w:szCs w:val="20"/>
    </w:rPr>
  </w:style>
  <w:style w:type="character" w:customStyle="1" w:styleId="EndnoteTextChar">
    <w:name w:val="Endnote Text Char"/>
    <w:basedOn w:val="DefaultParagraphFont"/>
    <w:link w:val="EndnoteText"/>
    <w:uiPriority w:val="99"/>
    <w:semiHidden/>
    <w:rsid w:val="00ED710D"/>
    <w:rPr>
      <w:rFonts w:ascii="Calibri" w:eastAsia="Calibri" w:hAnsi="Calibri" w:cs="Times New Roman"/>
      <w:sz w:val="20"/>
      <w:szCs w:val="20"/>
    </w:rPr>
  </w:style>
  <w:style w:type="character" w:styleId="EndnoteReference">
    <w:name w:val="endnote reference"/>
    <w:uiPriority w:val="99"/>
    <w:semiHidden/>
    <w:unhideWhenUsed/>
    <w:rsid w:val="00ED710D"/>
    <w:rPr>
      <w:vertAlign w:val="superscript"/>
    </w:rPr>
  </w:style>
  <w:style w:type="character" w:styleId="Hyperlink">
    <w:name w:val="Hyperlink"/>
    <w:uiPriority w:val="99"/>
    <w:unhideWhenUsed/>
    <w:rsid w:val="00ED710D"/>
    <w:rPr>
      <w:color w:val="0000FF"/>
      <w:u w:val="single"/>
    </w:rPr>
  </w:style>
  <w:style w:type="paragraph" w:styleId="FootnoteText">
    <w:name w:val="footnote text"/>
    <w:basedOn w:val="Normal"/>
    <w:link w:val="FootnoteTextChar"/>
    <w:uiPriority w:val="99"/>
    <w:unhideWhenUsed/>
    <w:rsid w:val="00ED710D"/>
    <w:pPr>
      <w:spacing w:after="0"/>
    </w:pPr>
    <w:rPr>
      <w:sz w:val="20"/>
      <w:szCs w:val="20"/>
    </w:rPr>
  </w:style>
  <w:style w:type="character" w:customStyle="1" w:styleId="FootnoteTextChar">
    <w:name w:val="Footnote Text Char"/>
    <w:basedOn w:val="DefaultParagraphFont"/>
    <w:link w:val="FootnoteText"/>
    <w:uiPriority w:val="99"/>
    <w:rsid w:val="00ED710D"/>
    <w:rPr>
      <w:rFonts w:ascii="Times New Roman" w:eastAsia="Calibri" w:hAnsi="Times New Roman" w:cs="Times New Roman"/>
      <w:sz w:val="20"/>
      <w:szCs w:val="20"/>
    </w:rPr>
  </w:style>
  <w:style w:type="character" w:styleId="FootnoteReference">
    <w:name w:val="footnote reference"/>
    <w:uiPriority w:val="99"/>
    <w:semiHidden/>
    <w:unhideWhenUsed/>
    <w:rsid w:val="00ED710D"/>
    <w:rPr>
      <w:vertAlign w:val="superscript"/>
    </w:rPr>
  </w:style>
  <w:style w:type="character" w:styleId="FollowedHyperlink">
    <w:name w:val="FollowedHyperlink"/>
    <w:uiPriority w:val="99"/>
    <w:semiHidden/>
    <w:unhideWhenUsed/>
    <w:rsid w:val="00ED710D"/>
    <w:rPr>
      <w:color w:val="800080"/>
      <w:u w:val="single"/>
    </w:rPr>
  </w:style>
  <w:style w:type="paragraph" w:styleId="BalloonText">
    <w:name w:val="Balloon Text"/>
    <w:basedOn w:val="Normal"/>
    <w:link w:val="BalloonTextChar"/>
    <w:uiPriority w:val="99"/>
    <w:semiHidden/>
    <w:unhideWhenUsed/>
    <w:rsid w:val="00ED710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710D"/>
    <w:rPr>
      <w:rFonts w:ascii="Tahoma" w:eastAsia="Calibri" w:hAnsi="Tahoma" w:cs="Tahoma"/>
      <w:sz w:val="16"/>
      <w:szCs w:val="16"/>
    </w:rPr>
  </w:style>
  <w:style w:type="paragraph" w:styleId="Header">
    <w:name w:val="header"/>
    <w:basedOn w:val="Normal"/>
    <w:link w:val="HeaderChar"/>
    <w:uiPriority w:val="99"/>
    <w:unhideWhenUsed/>
    <w:rsid w:val="00ED710D"/>
    <w:pPr>
      <w:tabs>
        <w:tab w:val="center" w:pos="4680"/>
        <w:tab w:val="right" w:pos="9360"/>
      </w:tabs>
      <w:spacing w:after="0"/>
    </w:pPr>
  </w:style>
  <w:style w:type="character" w:customStyle="1" w:styleId="HeaderChar">
    <w:name w:val="Header Char"/>
    <w:basedOn w:val="DefaultParagraphFont"/>
    <w:link w:val="Header"/>
    <w:uiPriority w:val="99"/>
    <w:rsid w:val="00ED710D"/>
    <w:rPr>
      <w:rFonts w:ascii="Calibri" w:eastAsia="Calibri" w:hAnsi="Calibri" w:cs="Times New Roman"/>
    </w:rPr>
  </w:style>
  <w:style w:type="paragraph" w:styleId="Footer">
    <w:name w:val="footer"/>
    <w:basedOn w:val="Normal"/>
    <w:link w:val="FooterChar"/>
    <w:uiPriority w:val="99"/>
    <w:unhideWhenUsed/>
    <w:rsid w:val="00ED710D"/>
    <w:pPr>
      <w:tabs>
        <w:tab w:val="center" w:pos="4680"/>
        <w:tab w:val="right" w:pos="9360"/>
      </w:tabs>
      <w:spacing w:after="0"/>
    </w:pPr>
  </w:style>
  <w:style w:type="character" w:customStyle="1" w:styleId="FooterChar">
    <w:name w:val="Footer Char"/>
    <w:basedOn w:val="DefaultParagraphFont"/>
    <w:link w:val="Footer"/>
    <w:uiPriority w:val="99"/>
    <w:rsid w:val="00ED710D"/>
    <w:rPr>
      <w:rFonts w:ascii="Calibri" w:eastAsia="Calibri" w:hAnsi="Calibri" w:cs="Times New Roman"/>
    </w:rPr>
  </w:style>
  <w:style w:type="character" w:styleId="CommentReference">
    <w:name w:val="annotation reference"/>
    <w:basedOn w:val="DefaultParagraphFont"/>
    <w:uiPriority w:val="99"/>
    <w:semiHidden/>
    <w:unhideWhenUsed/>
    <w:rsid w:val="00ED710D"/>
    <w:rPr>
      <w:sz w:val="16"/>
      <w:szCs w:val="16"/>
    </w:rPr>
  </w:style>
  <w:style w:type="paragraph" w:styleId="CommentText">
    <w:name w:val="annotation text"/>
    <w:basedOn w:val="Normal"/>
    <w:link w:val="CommentTextChar"/>
    <w:uiPriority w:val="99"/>
    <w:unhideWhenUsed/>
    <w:rsid w:val="00ED710D"/>
    <w:rPr>
      <w:sz w:val="20"/>
      <w:szCs w:val="20"/>
    </w:rPr>
  </w:style>
  <w:style w:type="character" w:customStyle="1" w:styleId="CommentTextChar">
    <w:name w:val="Comment Text Char"/>
    <w:basedOn w:val="DefaultParagraphFont"/>
    <w:link w:val="CommentText"/>
    <w:uiPriority w:val="99"/>
    <w:rsid w:val="00ED710D"/>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D710D"/>
    <w:rPr>
      <w:b/>
      <w:bCs/>
    </w:rPr>
  </w:style>
  <w:style w:type="character" w:customStyle="1" w:styleId="CommentSubjectChar">
    <w:name w:val="Comment Subject Char"/>
    <w:basedOn w:val="CommentTextChar"/>
    <w:link w:val="CommentSubject"/>
    <w:uiPriority w:val="99"/>
    <w:semiHidden/>
    <w:rsid w:val="00ED710D"/>
    <w:rPr>
      <w:rFonts w:ascii="Calibri" w:eastAsia="Calibri" w:hAnsi="Calibri" w:cs="Times New Roman"/>
      <w:b/>
      <w:bCs/>
      <w:sz w:val="20"/>
      <w:szCs w:val="20"/>
    </w:rPr>
  </w:style>
  <w:style w:type="paragraph" w:styleId="ListParagraph">
    <w:name w:val="List Paragraph"/>
    <w:basedOn w:val="Normal"/>
    <w:uiPriority w:val="34"/>
    <w:qFormat/>
    <w:rsid w:val="00ED710D"/>
    <w:pPr>
      <w:ind w:left="720"/>
      <w:contextualSpacing/>
    </w:pPr>
  </w:style>
  <w:style w:type="paragraph" w:styleId="NoSpacing">
    <w:name w:val="No Spacing"/>
    <w:uiPriority w:val="1"/>
    <w:qFormat/>
    <w:rsid w:val="00ED710D"/>
    <w:pPr>
      <w:spacing w:after="0" w:line="240" w:lineRule="auto"/>
    </w:pPr>
  </w:style>
  <w:style w:type="paragraph" w:styleId="Revision">
    <w:name w:val="Revision"/>
    <w:hidden/>
    <w:uiPriority w:val="99"/>
    <w:semiHidden/>
    <w:rsid w:val="00ED710D"/>
    <w:pPr>
      <w:spacing w:after="0" w:line="240" w:lineRule="auto"/>
    </w:pPr>
    <w:rPr>
      <w:rFonts w:ascii="Calibri" w:eastAsia="Calibri" w:hAnsi="Calibri" w:cs="Times New Roman"/>
    </w:rPr>
  </w:style>
  <w:style w:type="table" w:styleId="TableGrid">
    <w:name w:val="Table Grid"/>
    <w:basedOn w:val="TableNormal"/>
    <w:uiPriority w:val="59"/>
    <w:rsid w:val="008D6126"/>
    <w:pPr>
      <w:spacing w:after="0" w:line="240" w:lineRule="auto"/>
      <w:jc w:val="center"/>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bottom"/>
    </w:tcPr>
    <w:tblStylePr w:type="firstRow">
      <w:pPr>
        <w:wordWrap/>
        <w:spacing w:line="240" w:lineRule="auto"/>
        <w:jc w:val="center"/>
      </w:pPr>
      <w:rPr>
        <w:rFonts w:ascii="Calibri" w:hAnsi="Calibri"/>
        <w:b/>
        <w:color w:val="FFFFFF" w:themeColor="background1"/>
        <w:sz w:val="20"/>
      </w:rPr>
      <w:tblPr/>
      <w:tcPr>
        <w:shd w:val="clear" w:color="auto" w:fill="4F81BD"/>
      </w:tcPr>
    </w:tblStylePr>
  </w:style>
  <w:style w:type="character" w:styleId="Strong">
    <w:name w:val="Strong"/>
    <w:basedOn w:val="DefaultParagraphFont"/>
    <w:uiPriority w:val="22"/>
    <w:qFormat/>
    <w:rsid w:val="00ED710D"/>
    <w:rPr>
      <w:b/>
      <w:bCs/>
    </w:rPr>
  </w:style>
  <w:style w:type="paragraph" w:styleId="NormalWeb">
    <w:name w:val="Normal (Web)"/>
    <w:basedOn w:val="Normal"/>
    <w:uiPriority w:val="99"/>
    <w:semiHidden/>
    <w:unhideWhenUsed/>
    <w:rsid w:val="00ED710D"/>
    <w:pPr>
      <w:spacing w:before="100" w:beforeAutospacing="1" w:after="100" w:afterAutospacing="1"/>
    </w:pPr>
    <w:rPr>
      <w:rFonts w:eastAsiaTheme="minorHAnsi"/>
      <w:szCs w:val="24"/>
    </w:rPr>
  </w:style>
  <w:style w:type="paragraph" w:customStyle="1" w:styleId="Bullet1">
    <w:name w:val="Bullet1"/>
    <w:basedOn w:val="Normal"/>
    <w:qFormat/>
    <w:rsid w:val="00ED710D"/>
    <w:pPr>
      <w:numPr>
        <w:numId w:val="33"/>
      </w:numPr>
    </w:pPr>
    <w:rPr>
      <w:rFonts w:asciiTheme="majorBidi" w:hAnsiTheme="majorBidi" w:cstheme="majorBidi"/>
      <w:bCs/>
      <w:szCs w:val="24"/>
    </w:rPr>
  </w:style>
  <w:style w:type="paragraph" w:customStyle="1" w:styleId="Bullet2">
    <w:name w:val="Bullet2"/>
    <w:basedOn w:val="Normal"/>
    <w:qFormat/>
    <w:rsid w:val="00ED710D"/>
    <w:pPr>
      <w:numPr>
        <w:ilvl w:val="1"/>
        <w:numId w:val="33"/>
      </w:numPr>
    </w:pPr>
    <w:rPr>
      <w:rFonts w:asciiTheme="majorBidi" w:hAnsiTheme="majorBidi" w:cstheme="majorBidi"/>
      <w:bCs/>
      <w:szCs w:val="24"/>
    </w:rPr>
  </w:style>
  <w:style w:type="paragraph" w:styleId="TOC1">
    <w:name w:val="toc 1"/>
    <w:basedOn w:val="Normal"/>
    <w:next w:val="Normal"/>
    <w:uiPriority w:val="39"/>
    <w:unhideWhenUsed/>
    <w:rsid w:val="00BD175B"/>
    <w:pPr>
      <w:tabs>
        <w:tab w:val="right" w:leader="dot" w:pos="9350"/>
      </w:tabs>
      <w:spacing w:after="100"/>
      <w:ind w:left="547" w:right="288" w:hanging="547"/>
    </w:pPr>
  </w:style>
  <w:style w:type="paragraph" w:styleId="TOC2">
    <w:name w:val="toc 2"/>
    <w:basedOn w:val="Normal"/>
    <w:next w:val="Normal"/>
    <w:autoRedefine/>
    <w:uiPriority w:val="39"/>
    <w:unhideWhenUsed/>
    <w:rsid w:val="000C7BCF"/>
    <w:pPr>
      <w:tabs>
        <w:tab w:val="left" w:pos="907"/>
        <w:tab w:val="right" w:leader="dot" w:pos="9350"/>
      </w:tabs>
      <w:spacing w:after="100"/>
      <w:ind w:left="907" w:right="288" w:hanging="547"/>
    </w:pPr>
  </w:style>
  <w:style w:type="paragraph" w:customStyle="1" w:styleId="Asterisks">
    <w:name w:val="Asterisks"/>
    <w:basedOn w:val="Normal"/>
    <w:qFormat/>
    <w:rsid w:val="00A04011"/>
    <w:pPr>
      <w:spacing w:before="60"/>
      <w:ind w:left="144" w:hanging="144"/>
      <w:contextualSpacing/>
    </w:pPr>
    <w:rPr>
      <w:rFonts w:ascii="Calibri" w:hAnsi="Calibri" w:cstheme="majorBidi"/>
      <w:sz w:val="18"/>
      <w:szCs w:val="20"/>
    </w:rPr>
  </w:style>
  <w:style w:type="paragraph" w:customStyle="1" w:styleId="TableFigure">
    <w:name w:val="TableFigure"/>
    <w:basedOn w:val="Normal"/>
    <w:qFormat/>
    <w:rsid w:val="00F856F0"/>
    <w:pPr>
      <w:keepNext/>
      <w:spacing w:before="360" w:after="120"/>
      <w:jc w:val="center"/>
    </w:pPr>
    <w:rPr>
      <w:rFonts w:ascii="Calibri" w:hAnsi="Calibri" w:cstheme="majorBidi"/>
      <w:b/>
      <w:bCs/>
      <w:sz w:val="22"/>
      <w:szCs w:val="24"/>
    </w:rPr>
  </w:style>
  <w:style w:type="paragraph" w:customStyle="1" w:styleId="Chart">
    <w:name w:val="Chart"/>
    <w:basedOn w:val="Normal"/>
    <w:qFormat/>
    <w:rsid w:val="00E94402"/>
    <w:pPr>
      <w:spacing w:after="0"/>
    </w:pPr>
    <w:rPr>
      <w:rFonts w:asciiTheme="majorBidi" w:hAnsiTheme="majorBidi" w:cstheme="majorBidi"/>
      <w:szCs w:val="24"/>
    </w:rPr>
  </w:style>
  <w:style w:type="paragraph" w:customStyle="1" w:styleId="TableText">
    <w:name w:val="TableText"/>
    <w:basedOn w:val="TableFigure"/>
    <w:qFormat/>
    <w:rsid w:val="00ED365A"/>
    <w:pPr>
      <w:spacing w:after="0"/>
    </w:pPr>
    <w:rPr>
      <w:b w:val="0"/>
    </w:rPr>
  </w:style>
  <w:style w:type="paragraph" w:customStyle="1" w:styleId="TableLeft">
    <w:name w:val="TableLeft"/>
    <w:basedOn w:val="TableText"/>
    <w:qFormat/>
    <w:rsid w:val="007F4E0A"/>
    <w:pPr>
      <w:spacing w:before="60" w:after="60"/>
      <w:jc w:val="left"/>
    </w:pPr>
  </w:style>
  <w:style w:type="paragraph" w:customStyle="1" w:styleId="TableHeading">
    <w:name w:val="TableHeading"/>
    <w:basedOn w:val="Normal"/>
    <w:qFormat/>
    <w:rsid w:val="00F21286"/>
    <w:pPr>
      <w:keepNext/>
      <w:shd w:val="clear" w:color="auto" w:fill="4F81BD"/>
      <w:spacing w:before="60" w:after="60"/>
      <w:jc w:val="center"/>
    </w:pPr>
    <w:rPr>
      <w:rFonts w:asciiTheme="minorHAnsi" w:hAnsiTheme="minorHAnsi" w:cstheme="minorHAnsi"/>
      <w:b/>
      <w:bCs/>
      <w:color w:val="FFFFFF" w:themeColor="background1"/>
      <w:sz w:val="22"/>
      <w:szCs w:val="24"/>
    </w:rPr>
  </w:style>
  <w:style w:type="paragraph" w:customStyle="1" w:styleId="TableLeftBold">
    <w:name w:val="TableLeftBold"/>
    <w:basedOn w:val="TableLeft"/>
    <w:qFormat/>
    <w:rsid w:val="004A3F9C"/>
    <w:rPr>
      <w:b/>
    </w:rPr>
  </w:style>
  <w:style w:type="paragraph" w:customStyle="1" w:styleId="TableCenter">
    <w:name w:val="TableCenter"/>
    <w:basedOn w:val="TableText"/>
    <w:qFormat/>
    <w:rsid w:val="00495E1F"/>
    <w:pPr>
      <w:spacing w:before="60" w:after="60"/>
    </w:pPr>
  </w:style>
  <w:style w:type="table" w:styleId="LightShading-Accent5">
    <w:name w:val="Light Shading Accent 5"/>
    <w:aliases w:val="TableGrid2"/>
    <w:basedOn w:val="TableNormal"/>
    <w:uiPriority w:val="60"/>
    <w:rsid w:val="009653C6"/>
    <w:pPr>
      <w:spacing w:after="0" w:line="240" w:lineRule="auto"/>
      <w:jc w:val="center"/>
    </w:pPr>
    <w:rPr>
      <w:color w:val="2F5496" w:themeColor="accent5" w:themeShade="BF"/>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vAlign w:val="center"/>
    </w:tcPr>
    <w:tblStylePr w:type="firstRow">
      <w:pPr>
        <w:spacing w:before="0" w:after="0" w:line="240" w:lineRule="auto"/>
        <w:jc w:val="center"/>
      </w:pPr>
      <w:rPr>
        <w:b w:val="0"/>
        <w:bCs/>
        <w:color w:val="FFFFFF" w:themeColor="background1"/>
      </w:rPr>
      <w:tblPr/>
      <w:tcPr>
        <w:shd w:val="clear" w:color="auto" w:fill="4F81BD"/>
        <w:vAlign w:val="bottom"/>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val="0"/>
        <w:bCs/>
      </w:rPr>
    </w:tblStylePr>
    <w:tblStylePr w:type="lastCol">
      <w:rPr>
        <w:b w:val="0"/>
        <w:bCs/>
      </w:rPr>
    </w:tblStylePr>
    <w:tblStylePr w:type="band1Vert">
      <w:tblPr/>
      <w:tcPr>
        <w:tcBorders>
          <w:left w:val="nil"/>
          <w:right w:val="nil"/>
          <w:insideH w:val="nil"/>
          <w:insideV w:val="nil"/>
        </w:tcBorders>
        <w:shd w:val="clear" w:color="auto" w:fill="D0DBF0" w:themeFill="accent5" w:themeFillTint="3F"/>
      </w:tcPr>
    </w:tblStylePr>
    <w:tblStylePr w:type="band1Horz">
      <w:rPr>
        <w:color w:val="auto"/>
      </w:rPr>
      <w:tblPr/>
      <w:tcPr>
        <w:shd w:val="clear" w:color="auto" w:fill="B8CCE4"/>
      </w:tcPr>
    </w:tblStylePr>
    <w:tblStylePr w:type="band2Horz">
      <w:rPr>
        <w:color w:val="auto"/>
      </w:rPr>
      <w:tblPr/>
      <w:tcPr>
        <w:shd w:val="clear" w:color="auto" w:fill="DCE6F1"/>
      </w:tcPr>
    </w:tblStylePr>
    <w:tblStylePr w:type="swCell">
      <w:rPr>
        <w:b w:val="0"/>
        <w:color w:val="000000" w:themeColor="text1"/>
      </w:rPr>
    </w:tblStylePr>
  </w:style>
  <w:style w:type="paragraph" w:styleId="Caption">
    <w:name w:val="caption"/>
    <w:basedOn w:val="Normal"/>
    <w:next w:val="Normal"/>
    <w:uiPriority w:val="35"/>
    <w:unhideWhenUsed/>
    <w:qFormat/>
    <w:rsid w:val="00A04011"/>
    <w:pPr>
      <w:keepNext/>
      <w:spacing w:after="60"/>
      <w:contextualSpacing/>
      <w:jc w:val="center"/>
    </w:pPr>
    <w:rPr>
      <w:rFonts w:asciiTheme="minorHAnsi" w:hAnsiTheme="minorHAnsi"/>
      <w:b/>
      <w:bCs/>
      <w:color w:val="000000" w:themeColor="text1"/>
      <w:sz w:val="22"/>
      <w:szCs w:val="18"/>
    </w:rPr>
  </w:style>
  <w:style w:type="paragraph" w:customStyle="1" w:styleId="Asterisks1">
    <w:name w:val="Asterisks1"/>
    <w:basedOn w:val="Asterisks"/>
    <w:qFormat/>
    <w:rsid w:val="00455568"/>
    <w:pPr>
      <w:ind w:left="900" w:right="810" w:firstLine="0"/>
    </w:pPr>
  </w:style>
  <w:style w:type="paragraph" w:customStyle="1" w:styleId="TableGridRainbow">
    <w:name w:val="TableGridRainbow"/>
    <w:basedOn w:val="Normal"/>
    <w:qFormat/>
    <w:rsid w:val="006D5718"/>
    <w:pPr>
      <w:spacing w:after="0"/>
      <w:jc w:val="center"/>
    </w:pPr>
    <w:rPr>
      <w:rFonts w:ascii="Calibri" w:eastAsia="Times New Roman" w:hAnsi="Calibri" w:cs="Calibri"/>
      <w:b/>
      <w:color w:val="000000"/>
      <w:sz w:val="20"/>
      <w:szCs w:val="20"/>
    </w:rPr>
  </w:style>
  <w:style w:type="paragraph" w:customStyle="1" w:styleId="TableBullet">
    <w:name w:val="TableBullet"/>
    <w:basedOn w:val="TableLeft"/>
    <w:qFormat/>
    <w:rsid w:val="00E16990"/>
    <w:pPr>
      <w:numPr>
        <w:numId w:val="43"/>
      </w:numPr>
      <w:ind w:left="301" w:hanging="211"/>
    </w:pPr>
  </w:style>
  <w:style w:type="paragraph" w:customStyle="1" w:styleId="Blockquote">
    <w:name w:val="Blockquote"/>
    <w:basedOn w:val="Normal"/>
    <w:qFormat/>
    <w:rsid w:val="00536111"/>
    <w:pPr>
      <w:ind w:left="720" w:right="720"/>
    </w:pPr>
  </w:style>
  <w:style w:type="character" w:customStyle="1" w:styleId="sectionlabel">
    <w:name w:val="sectionlabel"/>
    <w:basedOn w:val="DefaultParagraphFont"/>
    <w:rsid w:val="003E53E0"/>
  </w:style>
  <w:style w:type="paragraph" w:customStyle="1" w:styleId="subsection">
    <w:name w:val="subsection"/>
    <w:basedOn w:val="Normal"/>
    <w:rsid w:val="003E53E0"/>
    <w:pPr>
      <w:spacing w:before="100" w:beforeAutospacing="1" w:after="100" w:afterAutospacing="1"/>
    </w:pPr>
    <w:rPr>
      <w:rFonts w:eastAsia="Times New Roman"/>
      <w:szCs w:val="24"/>
    </w:rPr>
  </w:style>
  <w:style w:type="character" w:customStyle="1" w:styleId="lawlabel">
    <w:name w:val="lawlabel"/>
    <w:basedOn w:val="DefaultParagraphFont"/>
    <w:rsid w:val="003E53E0"/>
  </w:style>
  <w:style w:type="paragraph" w:customStyle="1" w:styleId="paragraph">
    <w:name w:val="paragraph"/>
    <w:basedOn w:val="Normal"/>
    <w:rsid w:val="003E53E0"/>
    <w:pPr>
      <w:spacing w:before="100" w:beforeAutospacing="1" w:after="100" w:afterAutospacing="1"/>
    </w:pPr>
    <w:rPr>
      <w:rFonts w:eastAsia="Times New Roman"/>
      <w:szCs w:val="24"/>
    </w:rPr>
  </w:style>
  <w:style w:type="paragraph" w:customStyle="1" w:styleId="subparagraph">
    <w:name w:val="subparagraph"/>
    <w:basedOn w:val="Normal"/>
    <w:rsid w:val="003E53E0"/>
    <w:pPr>
      <w:spacing w:before="100" w:beforeAutospacing="1" w:after="100" w:afterAutospacing="1"/>
    </w:pPr>
    <w:rPr>
      <w:rFonts w:eastAsia="Times New Roman"/>
      <w:szCs w:val="24"/>
    </w:rPr>
  </w:style>
  <w:style w:type="paragraph" w:customStyle="1" w:styleId="Level3">
    <w:name w:val="Level3"/>
    <w:basedOn w:val="Normal"/>
    <w:qFormat/>
    <w:rsid w:val="00C42F01"/>
    <w:pPr>
      <w:keepNext/>
    </w:pPr>
    <w:rPr>
      <w:rFonts w:asciiTheme="majorBidi" w:hAnsiTheme="majorBidi" w:cstheme="majorBidi"/>
      <w:i/>
      <w:i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089573">
      <w:bodyDiv w:val="1"/>
      <w:marLeft w:val="0"/>
      <w:marRight w:val="0"/>
      <w:marTop w:val="0"/>
      <w:marBottom w:val="0"/>
      <w:divBdr>
        <w:top w:val="none" w:sz="0" w:space="0" w:color="auto"/>
        <w:left w:val="none" w:sz="0" w:space="0" w:color="auto"/>
        <w:bottom w:val="none" w:sz="0" w:space="0" w:color="auto"/>
        <w:right w:val="none" w:sz="0" w:space="0" w:color="auto"/>
      </w:divBdr>
    </w:div>
    <w:div w:id="377126637">
      <w:bodyDiv w:val="1"/>
      <w:marLeft w:val="0"/>
      <w:marRight w:val="0"/>
      <w:marTop w:val="0"/>
      <w:marBottom w:val="0"/>
      <w:divBdr>
        <w:top w:val="none" w:sz="0" w:space="0" w:color="auto"/>
        <w:left w:val="none" w:sz="0" w:space="0" w:color="auto"/>
        <w:bottom w:val="none" w:sz="0" w:space="0" w:color="auto"/>
        <w:right w:val="none" w:sz="0" w:space="0" w:color="auto"/>
      </w:divBdr>
    </w:div>
    <w:div w:id="520558581">
      <w:bodyDiv w:val="1"/>
      <w:marLeft w:val="0"/>
      <w:marRight w:val="0"/>
      <w:marTop w:val="0"/>
      <w:marBottom w:val="0"/>
      <w:divBdr>
        <w:top w:val="none" w:sz="0" w:space="0" w:color="auto"/>
        <w:left w:val="none" w:sz="0" w:space="0" w:color="auto"/>
        <w:bottom w:val="none" w:sz="0" w:space="0" w:color="auto"/>
        <w:right w:val="none" w:sz="0" w:space="0" w:color="auto"/>
      </w:divBdr>
    </w:div>
    <w:div w:id="548229845">
      <w:bodyDiv w:val="1"/>
      <w:marLeft w:val="0"/>
      <w:marRight w:val="0"/>
      <w:marTop w:val="0"/>
      <w:marBottom w:val="0"/>
      <w:divBdr>
        <w:top w:val="none" w:sz="0" w:space="0" w:color="auto"/>
        <w:left w:val="none" w:sz="0" w:space="0" w:color="auto"/>
        <w:bottom w:val="none" w:sz="0" w:space="0" w:color="auto"/>
        <w:right w:val="none" w:sz="0" w:space="0" w:color="auto"/>
      </w:divBdr>
    </w:div>
    <w:div w:id="586766155">
      <w:bodyDiv w:val="1"/>
      <w:marLeft w:val="0"/>
      <w:marRight w:val="0"/>
      <w:marTop w:val="0"/>
      <w:marBottom w:val="0"/>
      <w:divBdr>
        <w:top w:val="none" w:sz="0" w:space="0" w:color="auto"/>
        <w:left w:val="none" w:sz="0" w:space="0" w:color="auto"/>
        <w:bottom w:val="none" w:sz="0" w:space="0" w:color="auto"/>
        <w:right w:val="none" w:sz="0" w:space="0" w:color="auto"/>
      </w:divBdr>
    </w:div>
    <w:div w:id="603340487">
      <w:bodyDiv w:val="1"/>
      <w:marLeft w:val="0"/>
      <w:marRight w:val="0"/>
      <w:marTop w:val="0"/>
      <w:marBottom w:val="0"/>
      <w:divBdr>
        <w:top w:val="none" w:sz="0" w:space="0" w:color="auto"/>
        <w:left w:val="none" w:sz="0" w:space="0" w:color="auto"/>
        <w:bottom w:val="none" w:sz="0" w:space="0" w:color="auto"/>
        <w:right w:val="none" w:sz="0" w:space="0" w:color="auto"/>
      </w:divBdr>
    </w:div>
    <w:div w:id="725639363">
      <w:bodyDiv w:val="1"/>
      <w:marLeft w:val="0"/>
      <w:marRight w:val="0"/>
      <w:marTop w:val="0"/>
      <w:marBottom w:val="0"/>
      <w:divBdr>
        <w:top w:val="none" w:sz="0" w:space="0" w:color="auto"/>
        <w:left w:val="none" w:sz="0" w:space="0" w:color="auto"/>
        <w:bottom w:val="none" w:sz="0" w:space="0" w:color="auto"/>
        <w:right w:val="none" w:sz="0" w:space="0" w:color="auto"/>
      </w:divBdr>
    </w:div>
    <w:div w:id="835419515">
      <w:bodyDiv w:val="1"/>
      <w:marLeft w:val="0"/>
      <w:marRight w:val="0"/>
      <w:marTop w:val="0"/>
      <w:marBottom w:val="0"/>
      <w:divBdr>
        <w:top w:val="none" w:sz="0" w:space="0" w:color="auto"/>
        <w:left w:val="none" w:sz="0" w:space="0" w:color="auto"/>
        <w:bottom w:val="none" w:sz="0" w:space="0" w:color="auto"/>
        <w:right w:val="none" w:sz="0" w:space="0" w:color="auto"/>
      </w:divBdr>
    </w:div>
    <w:div w:id="886333123">
      <w:bodyDiv w:val="1"/>
      <w:marLeft w:val="0"/>
      <w:marRight w:val="0"/>
      <w:marTop w:val="0"/>
      <w:marBottom w:val="0"/>
      <w:divBdr>
        <w:top w:val="none" w:sz="0" w:space="0" w:color="auto"/>
        <w:left w:val="none" w:sz="0" w:space="0" w:color="auto"/>
        <w:bottom w:val="none" w:sz="0" w:space="0" w:color="auto"/>
        <w:right w:val="none" w:sz="0" w:space="0" w:color="auto"/>
      </w:divBdr>
    </w:div>
    <w:div w:id="931283145">
      <w:bodyDiv w:val="1"/>
      <w:marLeft w:val="0"/>
      <w:marRight w:val="0"/>
      <w:marTop w:val="0"/>
      <w:marBottom w:val="0"/>
      <w:divBdr>
        <w:top w:val="none" w:sz="0" w:space="0" w:color="auto"/>
        <w:left w:val="none" w:sz="0" w:space="0" w:color="auto"/>
        <w:bottom w:val="none" w:sz="0" w:space="0" w:color="auto"/>
        <w:right w:val="none" w:sz="0" w:space="0" w:color="auto"/>
      </w:divBdr>
    </w:div>
    <w:div w:id="951597915">
      <w:bodyDiv w:val="1"/>
      <w:marLeft w:val="0"/>
      <w:marRight w:val="0"/>
      <w:marTop w:val="0"/>
      <w:marBottom w:val="0"/>
      <w:divBdr>
        <w:top w:val="none" w:sz="0" w:space="0" w:color="auto"/>
        <w:left w:val="none" w:sz="0" w:space="0" w:color="auto"/>
        <w:bottom w:val="none" w:sz="0" w:space="0" w:color="auto"/>
        <w:right w:val="none" w:sz="0" w:space="0" w:color="auto"/>
      </w:divBdr>
    </w:div>
    <w:div w:id="957906937">
      <w:bodyDiv w:val="1"/>
      <w:marLeft w:val="0"/>
      <w:marRight w:val="0"/>
      <w:marTop w:val="0"/>
      <w:marBottom w:val="0"/>
      <w:divBdr>
        <w:top w:val="none" w:sz="0" w:space="0" w:color="auto"/>
        <w:left w:val="none" w:sz="0" w:space="0" w:color="auto"/>
        <w:bottom w:val="none" w:sz="0" w:space="0" w:color="auto"/>
        <w:right w:val="none" w:sz="0" w:space="0" w:color="auto"/>
      </w:divBdr>
    </w:div>
    <w:div w:id="968894821">
      <w:bodyDiv w:val="1"/>
      <w:marLeft w:val="0"/>
      <w:marRight w:val="0"/>
      <w:marTop w:val="0"/>
      <w:marBottom w:val="0"/>
      <w:divBdr>
        <w:top w:val="none" w:sz="0" w:space="0" w:color="auto"/>
        <w:left w:val="none" w:sz="0" w:space="0" w:color="auto"/>
        <w:bottom w:val="none" w:sz="0" w:space="0" w:color="auto"/>
        <w:right w:val="none" w:sz="0" w:space="0" w:color="auto"/>
      </w:divBdr>
    </w:div>
    <w:div w:id="981226516">
      <w:bodyDiv w:val="1"/>
      <w:marLeft w:val="0"/>
      <w:marRight w:val="0"/>
      <w:marTop w:val="0"/>
      <w:marBottom w:val="0"/>
      <w:divBdr>
        <w:top w:val="none" w:sz="0" w:space="0" w:color="auto"/>
        <w:left w:val="none" w:sz="0" w:space="0" w:color="auto"/>
        <w:bottom w:val="none" w:sz="0" w:space="0" w:color="auto"/>
        <w:right w:val="none" w:sz="0" w:space="0" w:color="auto"/>
      </w:divBdr>
    </w:div>
    <w:div w:id="1033655569">
      <w:bodyDiv w:val="1"/>
      <w:marLeft w:val="0"/>
      <w:marRight w:val="0"/>
      <w:marTop w:val="0"/>
      <w:marBottom w:val="0"/>
      <w:divBdr>
        <w:top w:val="none" w:sz="0" w:space="0" w:color="auto"/>
        <w:left w:val="none" w:sz="0" w:space="0" w:color="auto"/>
        <w:bottom w:val="none" w:sz="0" w:space="0" w:color="auto"/>
        <w:right w:val="none" w:sz="0" w:space="0" w:color="auto"/>
      </w:divBdr>
    </w:div>
    <w:div w:id="1276325206">
      <w:bodyDiv w:val="1"/>
      <w:marLeft w:val="0"/>
      <w:marRight w:val="0"/>
      <w:marTop w:val="0"/>
      <w:marBottom w:val="0"/>
      <w:divBdr>
        <w:top w:val="none" w:sz="0" w:space="0" w:color="auto"/>
        <w:left w:val="none" w:sz="0" w:space="0" w:color="auto"/>
        <w:bottom w:val="none" w:sz="0" w:space="0" w:color="auto"/>
        <w:right w:val="none" w:sz="0" w:space="0" w:color="auto"/>
      </w:divBdr>
    </w:div>
    <w:div w:id="1359312405">
      <w:bodyDiv w:val="1"/>
      <w:marLeft w:val="0"/>
      <w:marRight w:val="0"/>
      <w:marTop w:val="0"/>
      <w:marBottom w:val="0"/>
      <w:divBdr>
        <w:top w:val="none" w:sz="0" w:space="0" w:color="auto"/>
        <w:left w:val="none" w:sz="0" w:space="0" w:color="auto"/>
        <w:bottom w:val="none" w:sz="0" w:space="0" w:color="auto"/>
        <w:right w:val="none" w:sz="0" w:space="0" w:color="auto"/>
      </w:divBdr>
    </w:div>
    <w:div w:id="1641349671">
      <w:bodyDiv w:val="1"/>
      <w:marLeft w:val="0"/>
      <w:marRight w:val="0"/>
      <w:marTop w:val="0"/>
      <w:marBottom w:val="0"/>
      <w:divBdr>
        <w:top w:val="none" w:sz="0" w:space="0" w:color="auto"/>
        <w:left w:val="none" w:sz="0" w:space="0" w:color="auto"/>
        <w:bottom w:val="none" w:sz="0" w:space="0" w:color="auto"/>
        <w:right w:val="none" w:sz="0" w:space="0" w:color="auto"/>
      </w:divBdr>
    </w:div>
    <w:div w:id="1728258700">
      <w:bodyDiv w:val="1"/>
      <w:marLeft w:val="0"/>
      <w:marRight w:val="0"/>
      <w:marTop w:val="0"/>
      <w:marBottom w:val="0"/>
      <w:divBdr>
        <w:top w:val="none" w:sz="0" w:space="0" w:color="auto"/>
        <w:left w:val="none" w:sz="0" w:space="0" w:color="auto"/>
        <w:bottom w:val="none" w:sz="0" w:space="0" w:color="auto"/>
        <w:right w:val="none" w:sz="0" w:space="0" w:color="auto"/>
      </w:divBdr>
    </w:div>
    <w:div w:id="2037735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4.xml"/><Relationship Id="rId18" Type="http://schemas.openxmlformats.org/officeDocument/2006/relationships/image" Target="media/image2.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image" Target="media/image1.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revisor.mn.gov/rules/?id=5205.0110"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ata.bls.gov/gqt/InitialPage"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app.leg.wa.gov/WAC/default.aspx?cite=296-62&amp;full=true" TargetMode="External"/><Relationship Id="rId23" Type="http://schemas.openxmlformats.org/officeDocument/2006/relationships/footer" Target="footer1.xml"/><Relationship Id="rId10" Type="http://schemas.openxmlformats.org/officeDocument/2006/relationships/chart" Target="charts/chart2.xml"/><Relationship Id="rId19" Type="http://schemas.openxmlformats.org/officeDocument/2006/relationships/hyperlink" Target="https://www.osha.gov/dts/osta/otm/otm_iii/otm_iii_4.html" TargetMode="External"/><Relationship Id="rId4" Type="http://schemas.openxmlformats.org/officeDocument/2006/relationships/settings" Target="settings.xml"/><Relationship Id="rId9" Type="http://schemas.openxmlformats.org/officeDocument/2006/relationships/hyperlink" Target="https://data.bls.gov/gqt/InitialPage" TargetMode="External"/><Relationship Id="rId14" Type="http://schemas.openxmlformats.org/officeDocument/2006/relationships/hyperlink" Target="https://www.dir.ca.gov/title8/3395.html" TargetMode="External"/><Relationship Id="rId22" Type="http://schemas.openxmlformats.org/officeDocument/2006/relationships/header" Target="header1.xml"/></Relationships>
</file>

<file path=word/_rels/footnotes.xml.rels><?xml version="1.0" encoding="UTF-8" standalone="yes"?>
<Relationships xmlns="http://schemas.openxmlformats.org/package/2006/relationships"><Relationship Id="rId13" Type="http://schemas.openxmlformats.org/officeDocument/2006/relationships/hyperlink" Target="https://www.cdc.gov/niosh/topics/heatstress/heatrelillness.html" TargetMode="External"/><Relationship Id="rId18" Type="http://schemas.openxmlformats.org/officeDocument/2006/relationships/hyperlink" Target="http://www.bls.gov/iif/oshfaq1.htm" TargetMode="External"/><Relationship Id="rId26" Type="http://schemas.openxmlformats.org/officeDocument/2006/relationships/hyperlink" Target="http://ehstoday.com/mag/heat_stress_prevention/" TargetMode="External"/><Relationship Id="rId39" Type="http://schemas.openxmlformats.org/officeDocument/2006/relationships/hyperlink" Target="http://laws.justice.gc.ca/eng/regulations/SOR-86-304/page-35.html" TargetMode="External"/><Relationship Id="rId21" Type="http://schemas.openxmlformats.org/officeDocument/2006/relationships/hyperlink" Target="http://www.gao.gov/new.items/d1010.pdf" TargetMode="External"/><Relationship Id="rId34" Type="http://schemas.openxmlformats.org/officeDocument/2006/relationships/hyperlink" Target="http://app.leg.wa.gov/WAC/default.aspx?cite=296-62&amp;full=true" TargetMode="External"/><Relationship Id="rId42" Type="http://schemas.openxmlformats.org/officeDocument/2006/relationships/hyperlink" Target="http://www.dir.ca.gov/title8/3395.html" TargetMode="External"/><Relationship Id="rId7" Type="http://schemas.openxmlformats.org/officeDocument/2006/relationships/hyperlink" Target="https://www.theguardian.com/environment/2016/apr/28/workers-epidemic-heat-related-injuries-climate-change-un-report" TargetMode="External"/><Relationship Id="rId2" Type="http://schemas.openxmlformats.org/officeDocument/2006/relationships/hyperlink" Target="https://www.weather.gov/tsa/wbgt" TargetMode="External"/><Relationship Id="rId16" Type="http://schemas.openxmlformats.org/officeDocument/2006/relationships/hyperlink" Target="https://www.bls.gov/opub/hom/cfoi/pdf/cfoi.pdf" TargetMode="External"/><Relationship Id="rId20" Type="http://schemas.openxmlformats.org/officeDocument/2006/relationships/hyperlink" Target="http://www.osha.gov/pls/oshaweb/owadisp.show_document?p_table=STANDARDS&amp;p_id=9638" TargetMode="External"/><Relationship Id="rId29" Type="http://schemas.openxmlformats.org/officeDocument/2006/relationships/hyperlink" Target="https://www.osha.gov/pls/imis/generalsearch.html" TargetMode="External"/><Relationship Id="rId41" Type="http://schemas.openxmlformats.org/officeDocument/2006/relationships/hyperlink" Target="https://www.osha.gov/dts/osta/otm/otm_iii/otm_iii_4.html" TargetMode="External"/><Relationship Id="rId1" Type="http://schemas.openxmlformats.org/officeDocument/2006/relationships/hyperlink" Target="https://www.cdc.gov/niosh/docs/2016-106/pdfs/2016-106.pdf" TargetMode="External"/><Relationship Id="rId6" Type="http://schemas.openxmlformats.org/officeDocument/2006/relationships/hyperlink" Target="https://data.bls.gov/gqt/InitialPage" TargetMode="External"/><Relationship Id="rId11" Type="http://schemas.openxmlformats.org/officeDocument/2006/relationships/hyperlink" Target="https://www.cdc.gov/niosh/docket/archive/pdfs/niosh-278/curwinbscsept2016.pdf" TargetMode="External"/><Relationship Id="rId24" Type="http://schemas.openxmlformats.org/officeDocument/2006/relationships/hyperlink" Target="http://nepis.epa.gov/EPA/html/Pubs/pubalpha_A.html" TargetMode="External"/><Relationship Id="rId32" Type="http://schemas.openxmlformats.org/officeDocument/2006/relationships/hyperlink" Target="https://www.dir.ca.gov/title8/3395.html" TargetMode="External"/><Relationship Id="rId37" Type="http://schemas.openxmlformats.org/officeDocument/2006/relationships/hyperlink" Target="http://laws.justice.gc.ca/eng/regulations/SOR-86-304/page-18.html" TargetMode="External"/><Relationship Id="rId40" Type="http://schemas.openxmlformats.org/officeDocument/2006/relationships/hyperlink" Target="https://www.osha.gov/dts/osta/otm/otm_iii/otm_iii_4.html" TargetMode="External"/><Relationship Id="rId5" Type="http://schemas.openxmlformats.org/officeDocument/2006/relationships/hyperlink" Target="https://maps.esri.com/globalriskofdeadlyheat/" TargetMode="External"/><Relationship Id="rId15" Type="http://schemas.openxmlformats.org/officeDocument/2006/relationships/hyperlink" Target="https://data.bls.gov/gqt/InitialPage" TargetMode="External"/><Relationship Id="rId23" Type="http://schemas.openxmlformats.org/officeDocument/2006/relationships/hyperlink" Target="https://www.bls.gov/opub/hom/cfoi/pdf/cfoi.pdf" TargetMode="External"/><Relationship Id="rId28" Type="http://schemas.openxmlformats.org/officeDocument/2006/relationships/hyperlink" Target="https://www.citizen.org/sites/default/files/petition-for-a-heat-standard-090111.pdf" TargetMode="External"/><Relationship Id="rId36" Type="http://schemas.openxmlformats.org/officeDocument/2006/relationships/hyperlink" Target="https://www.marines.mil/News/Messages/Messages-Display/Article/897018/marine-corps-heat-and-cold-stress-injury-prevention-program/" TargetMode="External"/><Relationship Id="rId10" Type="http://schemas.openxmlformats.org/officeDocument/2006/relationships/hyperlink" Target="https://www.healthdirect.gov.au/dehydration" TargetMode="External"/><Relationship Id="rId19" Type="http://schemas.openxmlformats.org/officeDocument/2006/relationships/hyperlink" Target="http://www.bls.gov/iif/oshfaq1.htm" TargetMode="External"/><Relationship Id="rId31" Type="http://schemas.openxmlformats.org/officeDocument/2006/relationships/hyperlink" Target="https://www.cdc.gov/niosh/docs/86-113/86-113.pdf" TargetMode="External"/><Relationship Id="rId4" Type="http://schemas.openxmlformats.org/officeDocument/2006/relationships/hyperlink" Target="https://www.nytimes.com/interactive/2018/01/18/climate/hottest-year-2017.html" TargetMode="External"/><Relationship Id="rId9" Type="http://schemas.openxmlformats.org/officeDocument/2006/relationships/hyperlink" Target="http://books.nap.edu/openbook.php?record_id=10925&amp;page=488" TargetMode="External"/><Relationship Id="rId14" Type="http://schemas.openxmlformats.org/officeDocument/2006/relationships/hyperlink" Target="https://www.cdc.gov/pictureofamerica/pdfs/picture_of_america_heat-related_illness.pdf" TargetMode="External"/><Relationship Id="rId22" Type="http://schemas.openxmlformats.org/officeDocument/2006/relationships/hyperlink" Target="http://digitalcommons.ilr.cornell.edu/laborunions/28/" TargetMode="External"/><Relationship Id="rId27" Type="http://schemas.openxmlformats.org/officeDocument/2006/relationships/hyperlink" Target="http://www.dir.ca.gov/title8/3395.html" TargetMode="External"/><Relationship Id="rId30" Type="http://schemas.openxmlformats.org/officeDocument/2006/relationships/hyperlink" Target="https://www.cdc.gov/niosh/docs/72-10269/" TargetMode="External"/><Relationship Id="rId35" Type="http://schemas.openxmlformats.org/officeDocument/2006/relationships/hyperlink" Target="http://leginfo.legislature.ca.gov/faces/billNavClient.xhtml?bill_id=201520160SB1167" TargetMode="External"/><Relationship Id="rId43" Type="http://schemas.openxmlformats.org/officeDocument/2006/relationships/hyperlink" Target="https://www.osha.gov/Publications/OSHA3905.pdf.%20Accessed%20July%209" TargetMode="External"/><Relationship Id="rId8" Type="http://schemas.openxmlformats.org/officeDocument/2006/relationships/hyperlink" Target="https://www.ncbi.nlm.nih.gov/pmc/articles/PMC4974898/" TargetMode="External"/><Relationship Id="rId3" Type="http://schemas.openxmlformats.org/officeDocument/2006/relationships/hyperlink" Target="https://e360.yale.edu/digest/its-official-2017-was-the-second-hottest-year-on-record" TargetMode="External"/><Relationship Id="rId12" Type="http://schemas.openxmlformats.org/officeDocument/2006/relationships/hyperlink" Target="https://www.osha.gov/dts/osta/otm/otm_iii/otm_iii_4.html" TargetMode="External"/><Relationship Id="rId17" Type="http://schemas.openxmlformats.org/officeDocument/2006/relationships/hyperlink" Target="https://www.bls.gov/iif/oshfaq1.htm" TargetMode="External"/><Relationship Id="rId25" Type="http://schemas.openxmlformats.org/officeDocument/2006/relationships/hyperlink" Target="https://www.dir.ca.gov/DIRNews/2005/IR2005-33.html" TargetMode="External"/><Relationship Id="rId33" Type="http://schemas.openxmlformats.org/officeDocument/2006/relationships/hyperlink" Target="https://www.revisor.mn.gov/rules/?id=5205.0110" TargetMode="External"/><Relationship Id="rId38" Type="http://schemas.openxmlformats.org/officeDocument/2006/relationships/hyperlink" Target="http://laws.justice.gc.ca/eng/regulations/SOR-86-304/page-42.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charts/_rels/chart1.xml.rels><?xml version="1.0" encoding="UTF-8" standalone="yes"?>
<Relationships xmlns="http://schemas.openxmlformats.org/package/2006/relationships"><Relationship Id="rId1" Type="http://schemas.openxmlformats.org/officeDocument/2006/relationships/oleObject" Target="file:///C:\Users\darkush\Dropbox\Heat%20Stress\BLS%20Heat%20Injuries%20&amp;%20Fatalities%20Data.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darkush\Dropbox\Heat%20Stress\BLS%20Heat%20Injuries%20&amp;%20Fatalities%20Data.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darkush\Dropbox\Heat%20Stress\BLS%20Heat%20Injuries%20&amp;%20Fatalities%20Data.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darkush\Dropbox\Heat%20Stress\reproduction%20of%20OSHA%20chart.d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1"/>
          <c:order val="0"/>
          <c:tx>
            <c:strRef>
              <c:f>Fatal!$L$3</c:f>
              <c:strCache>
                <c:ptCount val="1"/>
                <c:pt idx="0">
                  <c:v>Number of Workers</c:v>
                </c:pt>
              </c:strCache>
            </c:strRef>
          </c:tx>
          <c:spPr>
            <a:solidFill>
              <a:srgbClr val="C00000"/>
            </a:solidFill>
          </c:spPr>
          <c:invertIfNegative val="0"/>
          <c:dLbls>
            <c:spPr>
              <a:noFill/>
              <a:ln>
                <a:noFill/>
              </a:ln>
              <a:effectLst/>
            </c:spPr>
            <c:txPr>
              <a:bodyPr/>
              <a:lstStyle/>
              <a:p>
                <a:pPr>
                  <a:defRPr sz="800" b="1">
                    <a:solidFill>
                      <a:schemeClr val="bg1"/>
                    </a:solidFill>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Fatal!$M$2:$AK$2</c:f>
              <c:numCache>
                <c:formatCode>General</c:formatCode>
                <c:ptCount val="25"/>
                <c:pt idx="0">
                  <c:v>1992</c:v>
                </c:pt>
                <c:pt idx="1">
                  <c:v>1993</c:v>
                </c:pt>
                <c:pt idx="2">
                  <c:v>1994</c:v>
                </c:pt>
                <c:pt idx="3">
                  <c:v>1995</c:v>
                </c:pt>
                <c:pt idx="4">
                  <c:v>1996</c:v>
                </c:pt>
                <c:pt idx="5">
                  <c:v>1997</c:v>
                </c:pt>
                <c:pt idx="6">
                  <c:v>1998</c:v>
                </c:pt>
                <c:pt idx="7">
                  <c:v>1999</c:v>
                </c:pt>
                <c:pt idx="8">
                  <c:v>2000</c:v>
                </c:pt>
                <c:pt idx="9">
                  <c:v>2001</c:v>
                </c:pt>
                <c:pt idx="10">
                  <c:v>2002</c:v>
                </c:pt>
                <c:pt idx="11">
                  <c:v>2003</c:v>
                </c:pt>
                <c:pt idx="12">
                  <c:v>2004</c:v>
                </c:pt>
                <c:pt idx="13">
                  <c:v>2005</c:v>
                </c:pt>
                <c:pt idx="14">
                  <c:v>2006</c:v>
                </c:pt>
                <c:pt idx="15">
                  <c:v>2007</c:v>
                </c:pt>
                <c:pt idx="16">
                  <c:v>2008</c:v>
                </c:pt>
                <c:pt idx="17">
                  <c:v>2009</c:v>
                </c:pt>
                <c:pt idx="18">
                  <c:v>2010</c:v>
                </c:pt>
                <c:pt idx="19">
                  <c:v>2011</c:v>
                </c:pt>
                <c:pt idx="20">
                  <c:v>2012</c:v>
                </c:pt>
                <c:pt idx="21">
                  <c:v>2013</c:v>
                </c:pt>
                <c:pt idx="22">
                  <c:v>2014</c:v>
                </c:pt>
                <c:pt idx="23">
                  <c:v>2015</c:v>
                </c:pt>
                <c:pt idx="24">
                  <c:v>2016</c:v>
                </c:pt>
              </c:numCache>
            </c:numRef>
          </c:cat>
          <c:val>
            <c:numRef>
              <c:f>Fatal!$M$3:$AK$3</c:f>
              <c:numCache>
                <c:formatCode>General</c:formatCode>
                <c:ptCount val="25"/>
                <c:pt idx="0">
                  <c:v>12</c:v>
                </c:pt>
                <c:pt idx="1">
                  <c:v>22</c:v>
                </c:pt>
                <c:pt idx="2">
                  <c:v>28</c:v>
                </c:pt>
                <c:pt idx="3">
                  <c:v>35</c:v>
                </c:pt>
                <c:pt idx="4">
                  <c:v>18</c:v>
                </c:pt>
                <c:pt idx="5">
                  <c:v>22</c:v>
                </c:pt>
                <c:pt idx="6">
                  <c:v>34</c:v>
                </c:pt>
                <c:pt idx="7">
                  <c:v>35</c:v>
                </c:pt>
                <c:pt idx="8">
                  <c:v>21</c:v>
                </c:pt>
                <c:pt idx="9">
                  <c:v>24</c:v>
                </c:pt>
                <c:pt idx="10">
                  <c:v>40</c:v>
                </c:pt>
                <c:pt idx="11">
                  <c:v>29</c:v>
                </c:pt>
                <c:pt idx="12">
                  <c:v>18</c:v>
                </c:pt>
                <c:pt idx="13">
                  <c:v>47</c:v>
                </c:pt>
                <c:pt idx="14">
                  <c:v>44</c:v>
                </c:pt>
                <c:pt idx="15">
                  <c:v>32</c:v>
                </c:pt>
                <c:pt idx="16">
                  <c:v>27</c:v>
                </c:pt>
                <c:pt idx="17">
                  <c:v>35</c:v>
                </c:pt>
                <c:pt idx="18">
                  <c:v>40</c:v>
                </c:pt>
                <c:pt idx="19">
                  <c:v>61</c:v>
                </c:pt>
                <c:pt idx="20">
                  <c:v>31</c:v>
                </c:pt>
                <c:pt idx="21">
                  <c:v>34</c:v>
                </c:pt>
                <c:pt idx="22">
                  <c:v>18</c:v>
                </c:pt>
                <c:pt idx="23">
                  <c:v>37</c:v>
                </c:pt>
                <c:pt idx="24">
                  <c:v>39</c:v>
                </c:pt>
              </c:numCache>
            </c:numRef>
          </c:val>
        </c:ser>
        <c:dLbls>
          <c:showLegendKey val="0"/>
          <c:showVal val="0"/>
          <c:showCatName val="0"/>
          <c:showSerName val="0"/>
          <c:showPercent val="0"/>
          <c:showBubbleSize val="0"/>
        </c:dLbls>
        <c:gapWidth val="10"/>
        <c:axId val="368506384"/>
        <c:axId val="368506944"/>
      </c:barChart>
      <c:catAx>
        <c:axId val="368506384"/>
        <c:scaling>
          <c:orientation val="minMax"/>
        </c:scaling>
        <c:delete val="0"/>
        <c:axPos val="b"/>
        <c:numFmt formatCode="General" sourceLinked="1"/>
        <c:majorTickMark val="out"/>
        <c:minorTickMark val="none"/>
        <c:tickLblPos val="nextTo"/>
        <c:txPr>
          <a:bodyPr rot="-3900000"/>
          <a:lstStyle/>
          <a:p>
            <a:pPr>
              <a:defRPr sz="900"/>
            </a:pPr>
            <a:endParaRPr lang="en-US"/>
          </a:p>
        </c:txPr>
        <c:crossAx val="368506944"/>
        <c:crosses val="autoZero"/>
        <c:auto val="1"/>
        <c:lblAlgn val="ctr"/>
        <c:lblOffset val="100"/>
        <c:noMultiLvlLbl val="0"/>
      </c:catAx>
      <c:valAx>
        <c:axId val="368506944"/>
        <c:scaling>
          <c:orientation val="minMax"/>
        </c:scaling>
        <c:delete val="0"/>
        <c:axPos val="l"/>
        <c:majorGridlines/>
        <c:title>
          <c:tx>
            <c:rich>
              <a:bodyPr rot="-5400000" vert="horz"/>
              <a:lstStyle/>
              <a:p>
                <a:pPr>
                  <a:defRPr/>
                </a:pPr>
                <a:r>
                  <a:rPr lang="en-US"/>
                  <a:t>Numnber of Workers</a:t>
                </a:r>
              </a:p>
            </c:rich>
          </c:tx>
          <c:overlay val="0"/>
        </c:title>
        <c:numFmt formatCode="General" sourceLinked="1"/>
        <c:majorTickMark val="out"/>
        <c:minorTickMark val="none"/>
        <c:tickLblPos val="nextTo"/>
        <c:txPr>
          <a:bodyPr/>
          <a:lstStyle/>
          <a:p>
            <a:pPr>
              <a:defRPr sz="900"/>
            </a:pPr>
            <a:endParaRPr lang="en-US"/>
          </a:p>
        </c:txPr>
        <c:crossAx val="368506384"/>
        <c:crosses val="autoZero"/>
        <c:crossBetween val="between"/>
      </c:valAx>
      <c:spPr>
        <a:noFill/>
        <a:ln w="25400">
          <a:noFill/>
        </a:ln>
      </c:spPr>
    </c:plotArea>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0"/>
    <c:plotArea>
      <c:layout/>
      <c:barChart>
        <c:barDir val="col"/>
        <c:grouping val="stacked"/>
        <c:varyColors val="0"/>
        <c:ser>
          <c:idx val="1"/>
          <c:order val="0"/>
          <c:tx>
            <c:strRef>
              <c:f>Nonfatal!$M$4</c:f>
              <c:strCache>
                <c:ptCount val="1"/>
                <c:pt idx="0">
                  <c:v>Private sector</c:v>
                </c:pt>
              </c:strCache>
            </c:strRef>
          </c:tx>
          <c:spPr>
            <a:solidFill>
              <a:schemeClr val="accent5">
                <a:lumMod val="50000"/>
              </a:schemeClr>
            </a:solidFill>
          </c:spPr>
          <c:invertIfNegative val="0"/>
          <c:cat>
            <c:numRef>
              <c:f>Nonfatal!$N$2:$AL$2</c:f>
              <c:numCache>
                <c:formatCode>General</c:formatCode>
                <c:ptCount val="25"/>
                <c:pt idx="0">
                  <c:v>1992</c:v>
                </c:pt>
                <c:pt idx="1">
                  <c:v>1993</c:v>
                </c:pt>
                <c:pt idx="2">
                  <c:v>1994</c:v>
                </c:pt>
                <c:pt idx="3">
                  <c:v>1995</c:v>
                </c:pt>
                <c:pt idx="4">
                  <c:v>1996</c:v>
                </c:pt>
                <c:pt idx="5">
                  <c:v>1997</c:v>
                </c:pt>
                <c:pt idx="6">
                  <c:v>1998</c:v>
                </c:pt>
                <c:pt idx="7">
                  <c:v>1999</c:v>
                </c:pt>
                <c:pt idx="8">
                  <c:v>2000</c:v>
                </c:pt>
                <c:pt idx="9">
                  <c:v>2001</c:v>
                </c:pt>
                <c:pt idx="10">
                  <c:v>2002</c:v>
                </c:pt>
                <c:pt idx="11">
                  <c:v>2003</c:v>
                </c:pt>
                <c:pt idx="12">
                  <c:v>2004</c:v>
                </c:pt>
                <c:pt idx="13">
                  <c:v>2005</c:v>
                </c:pt>
                <c:pt idx="14">
                  <c:v>2006</c:v>
                </c:pt>
                <c:pt idx="15">
                  <c:v>2007</c:v>
                </c:pt>
                <c:pt idx="16">
                  <c:v>2008</c:v>
                </c:pt>
                <c:pt idx="17">
                  <c:v>2009</c:v>
                </c:pt>
                <c:pt idx="18">
                  <c:v>2010</c:v>
                </c:pt>
                <c:pt idx="19">
                  <c:v>2011</c:v>
                </c:pt>
                <c:pt idx="20">
                  <c:v>2012</c:v>
                </c:pt>
                <c:pt idx="21">
                  <c:v>2013</c:v>
                </c:pt>
                <c:pt idx="22">
                  <c:v>2014</c:v>
                </c:pt>
                <c:pt idx="23">
                  <c:v>2015</c:v>
                </c:pt>
                <c:pt idx="24">
                  <c:v>2016</c:v>
                </c:pt>
              </c:numCache>
            </c:numRef>
          </c:cat>
          <c:val>
            <c:numRef>
              <c:f>Nonfatal!$N$4:$AL$4</c:f>
              <c:numCache>
                <c:formatCode>General</c:formatCode>
                <c:ptCount val="25"/>
                <c:pt idx="0">
                  <c:v>1576</c:v>
                </c:pt>
                <c:pt idx="1">
                  <c:v>3119</c:v>
                </c:pt>
                <c:pt idx="2">
                  <c:v>2540</c:v>
                </c:pt>
                <c:pt idx="3">
                  <c:v>3629</c:v>
                </c:pt>
                <c:pt idx="4">
                  <c:v>1789</c:v>
                </c:pt>
                <c:pt idx="5">
                  <c:v>1630</c:v>
                </c:pt>
                <c:pt idx="6">
                  <c:v>2738</c:v>
                </c:pt>
                <c:pt idx="7">
                  <c:v>2708</c:v>
                </c:pt>
                <c:pt idx="8">
                  <c:v>2554</c:v>
                </c:pt>
                <c:pt idx="9">
                  <c:v>3135</c:v>
                </c:pt>
                <c:pt idx="10">
                  <c:v>2666</c:v>
                </c:pt>
                <c:pt idx="11">
                  <c:v>2060</c:v>
                </c:pt>
                <c:pt idx="12">
                  <c:v>1590</c:v>
                </c:pt>
                <c:pt idx="13">
                  <c:v>2610</c:v>
                </c:pt>
                <c:pt idx="14">
                  <c:v>3110</c:v>
                </c:pt>
                <c:pt idx="15">
                  <c:v>2550</c:v>
                </c:pt>
                <c:pt idx="16">
                  <c:v>1660</c:v>
                </c:pt>
                <c:pt idx="17">
                  <c:v>1790</c:v>
                </c:pt>
                <c:pt idx="18">
                  <c:v>3470</c:v>
                </c:pt>
                <c:pt idx="19">
                  <c:v>3400</c:v>
                </c:pt>
                <c:pt idx="20">
                  <c:v>3310</c:v>
                </c:pt>
                <c:pt idx="21">
                  <c:v>2550</c:v>
                </c:pt>
                <c:pt idx="22">
                  <c:v>2070</c:v>
                </c:pt>
                <c:pt idx="23">
                  <c:v>2010</c:v>
                </c:pt>
                <c:pt idx="24">
                  <c:v>3300</c:v>
                </c:pt>
              </c:numCache>
            </c:numRef>
          </c:val>
        </c:ser>
        <c:ser>
          <c:idx val="2"/>
          <c:order val="1"/>
          <c:tx>
            <c:strRef>
              <c:f>Nonfatal!$M$5</c:f>
              <c:strCache>
                <c:ptCount val="1"/>
                <c:pt idx="0">
                  <c:v>State &amp; Local Government</c:v>
                </c:pt>
              </c:strCache>
            </c:strRef>
          </c:tx>
          <c:spPr>
            <a:solidFill>
              <a:schemeClr val="accent5">
                <a:lumMod val="75000"/>
              </a:schemeClr>
            </a:solidFill>
          </c:spPr>
          <c:invertIfNegative val="0"/>
          <c:cat>
            <c:numRef>
              <c:f>Nonfatal!$N$2:$AL$2</c:f>
              <c:numCache>
                <c:formatCode>General</c:formatCode>
                <c:ptCount val="25"/>
                <c:pt idx="0">
                  <c:v>1992</c:v>
                </c:pt>
                <c:pt idx="1">
                  <c:v>1993</c:v>
                </c:pt>
                <c:pt idx="2">
                  <c:v>1994</c:v>
                </c:pt>
                <c:pt idx="3">
                  <c:v>1995</c:v>
                </c:pt>
                <c:pt idx="4">
                  <c:v>1996</c:v>
                </c:pt>
                <c:pt idx="5">
                  <c:v>1997</c:v>
                </c:pt>
                <c:pt idx="6">
                  <c:v>1998</c:v>
                </c:pt>
                <c:pt idx="7">
                  <c:v>1999</c:v>
                </c:pt>
                <c:pt idx="8">
                  <c:v>2000</c:v>
                </c:pt>
                <c:pt idx="9">
                  <c:v>2001</c:v>
                </c:pt>
                <c:pt idx="10">
                  <c:v>2002</c:v>
                </c:pt>
                <c:pt idx="11">
                  <c:v>2003</c:v>
                </c:pt>
                <c:pt idx="12">
                  <c:v>2004</c:v>
                </c:pt>
                <c:pt idx="13">
                  <c:v>2005</c:v>
                </c:pt>
                <c:pt idx="14">
                  <c:v>2006</c:v>
                </c:pt>
                <c:pt idx="15">
                  <c:v>2007</c:v>
                </c:pt>
                <c:pt idx="16">
                  <c:v>2008</c:v>
                </c:pt>
                <c:pt idx="17">
                  <c:v>2009</c:v>
                </c:pt>
                <c:pt idx="18">
                  <c:v>2010</c:v>
                </c:pt>
                <c:pt idx="19">
                  <c:v>2011</c:v>
                </c:pt>
                <c:pt idx="20">
                  <c:v>2012</c:v>
                </c:pt>
                <c:pt idx="21">
                  <c:v>2013</c:v>
                </c:pt>
                <c:pt idx="22">
                  <c:v>2014</c:v>
                </c:pt>
                <c:pt idx="23">
                  <c:v>2015</c:v>
                </c:pt>
                <c:pt idx="24">
                  <c:v>2016</c:v>
                </c:pt>
              </c:numCache>
            </c:numRef>
          </c:cat>
          <c:val>
            <c:numRef>
              <c:f>Nonfatal!$N$5:$AL$5</c:f>
              <c:numCache>
                <c:formatCode>General</c:formatCode>
                <c:ptCount val="25"/>
                <c:pt idx="17">
                  <c:v>380</c:v>
                </c:pt>
                <c:pt idx="18">
                  <c:v>720</c:v>
                </c:pt>
                <c:pt idx="19">
                  <c:v>1020</c:v>
                </c:pt>
                <c:pt idx="20">
                  <c:v>850</c:v>
                </c:pt>
                <c:pt idx="21">
                  <c:v>600</c:v>
                </c:pt>
                <c:pt idx="22">
                  <c:v>600</c:v>
                </c:pt>
                <c:pt idx="23">
                  <c:v>820</c:v>
                </c:pt>
                <c:pt idx="24">
                  <c:v>820</c:v>
                </c:pt>
              </c:numCache>
            </c:numRef>
          </c:val>
        </c:ser>
        <c:dLbls>
          <c:showLegendKey val="0"/>
          <c:showVal val="0"/>
          <c:showCatName val="0"/>
          <c:showSerName val="0"/>
          <c:showPercent val="0"/>
          <c:showBubbleSize val="0"/>
        </c:dLbls>
        <c:gapWidth val="5"/>
        <c:overlap val="100"/>
        <c:axId val="308009728"/>
        <c:axId val="308008608"/>
      </c:barChart>
      <c:catAx>
        <c:axId val="308009728"/>
        <c:scaling>
          <c:orientation val="minMax"/>
        </c:scaling>
        <c:delete val="0"/>
        <c:axPos val="b"/>
        <c:numFmt formatCode="General" sourceLinked="1"/>
        <c:majorTickMark val="out"/>
        <c:minorTickMark val="none"/>
        <c:tickLblPos val="nextTo"/>
        <c:txPr>
          <a:bodyPr rot="-3900000"/>
          <a:lstStyle/>
          <a:p>
            <a:pPr>
              <a:defRPr sz="900"/>
            </a:pPr>
            <a:endParaRPr lang="en-US"/>
          </a:p>
        </c:txPr>
        <c:crossAx val="308008608"/>
        <c:crosses val="autoZero"/>
        <c:auto val="1"/>
        <c:lblAlgn val="ctr"/>
        <c:lblOffset val="100"/>
        <c:noMultiLvlLbl val="0"/>
      </c:catAx>
      <c:valAx>
        <c:axId val="308008608"/>
        <c:scaling>
          <c:orientation val="minMax"/>
        </c:scaling>
        <c:delete val="0"/>
        <c:axPos val="l"/>
        <c:majorGridlines/>
        <c:title>
          <c:tx>
            <c:rich>
              <a:bodyPr rot="-5400000" vert="horz"/>
              <a:lstStyle/>
              <a:p>
                <a:pPr>
                  <a:defRPr/>
                </a:pPr>
                <a:r>
                  <a:rPr lang="en-US"/>
                  <a:t>Number of Workers</a:t>
                </a:r>
              </a:p>
            </c:rich>
          </c:tx>
          <c:overlay val="0"/>
        </c:title>
        <c:numFmt formatCode="General" sourceLinked="1"/>
        <c:majorTickMark val="out"/>
        <c:minorTickMark val="none"/>
        <c:tickLblPos val="nextTo"/>
        <c:txPr>
          <a:bodyPr/>
          <a:lstStyle/>
          <a:p>
            <a:pPr>
              <a:defRPr sz="900"/>
            </a:pPr>
            <a:endParaRPr lang="en-US"/>
          </a:p>
        </c:txPr>
        <c:crossAx val="308009728"/>
        <c:crosses val="autoZero"/>
        <c:crossBetween val="between"/>
      </c:valAx>
    </c:plotArea>
    <c:legend>
      <c:legendPos val="b"/>
      <c:overlay val="0"/>
    </c:legend>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0"/>
    <c:plotArea>
      <c:layout/>
      <c:lineChart>
        <c:grouping val="standard"/>
        <c:varyColors val="0"/>
        <c:ser>
          <c:idx val="1"/>
          <c:order val="0"/>
          <c:tx>
            <c:strRef>
              <c:f>Fatal!$L$8</c:f>
              <c:strCache>
                <c:ptCount val="1"/>
                <c:pt idx="0">
                  <c:v>Fatality Rate*</c:v>
                </c:pt>
              </c:strCache>
            </c:strRef>
          </c:tx>
          <c:spPr>
            <a:ln w="28575">
              <a:solidFill>
                <a:schemeClr val="accent2">
                  <a:lumMod val="75000"/>
                </a:schemeClr>
              </a:solidFill>
            </a:ln>
          </c:spPr>
          <c:marker>
            <c:symbol val="none"/>
          </c:marker>
          <c:trendline>
            <c:spPr>
              <a:ln w="19050">
                <a:solidFill>
                  <a:schemeClr val="accent2">
                    <a:lumMod val="75000"/>
                  </a:schemeClr>
                </a:solidFill>
                <a:prstDash val="sysDot"/>
              </a:ln>
            </c:spPr>
            <c:trendlineType val="linear"/>
            <c:dispRSqr val="0"/>
            <c:dispEq val="0"/>
          </c:trendline>
          <c:cat>
            <c:numRef>
              <c:f>Fatal!$M$2:$AK$2</c:f>
              <c:numCache>
                <c:formatCode>General</c:formatCode>
                <c:ptCount val="25"/>
                <c:pt idx="0">
                  <c:v>1992</c:v>
                </c:pt>
                <c:pt idx="1">
                  <c:v>1993</c:v>
                </c:pt>
                <c:pt idx="2">
                  <c:v>1994</c:v>
                </c:pt>
                <c:pt idx="3">
                  <c:v>1995</c:v>
                </c:pt>
                <c:pt idx="4">
                  <c:v>1996</c:v>
                </c:pt>
                <c:pt idx="5">
                  <c:v>1997</c:v>
                </c:pt>
                <c:pt idx="6">
                  <c:v>1998</c:v>
                </c:pt>
                <c:pt idx="7">
                  <c:v>1999</c:v>
                </c:pt>
                <c:pt idx="8">
                  <c:v>2000</c:v>
                </c:pt>
                <c:pt idx="9">
                  <c:v>2001</c:v>
                </c:pt>
                <c:pt idx="10">
                  <c:v>2002</c:v>
                </c:pt>
                <c:pt idx="11">
                  <c:v>2003</c:v>
                </c:pt>
                <c:pt idx="12">
                  <c:v>2004</c:v>
                </c:pt>
                <c:pt idx="13">
                  <c:v>2005</c:v>
                </c:pt>
                <c:pt idx="14">
                  <c:v>2006</c:v>
                </c:pt>
                <c:pt idx="15">
                  <c:v>2007</c:v>
                </c:pt>
                <c:pt idx="16">
                  <c:v>2008</c:v>
                </c:pt>
                <c:pt idx="17">
                  <c:v>2009</c:v>
                </c:pt>
                <c:pt idx="18">
                  <c:v>2010</c:v>
                </c:pt>
                <c:pt idx="19">
                  <c:v>2011</c:v>
                </c:pt>
                <c:pt idx="20">
                  <c:v>2012</c:v>
                </c:pt>
                <c:pt idx="21">
                  <c:v>2013</c:v>
                </c:pt>
                <c:pt idx="22">
                  <c:v>2014</c:v>
                </c:pt>
                <c:pt idx="23">
                  <c:v>2015</c:v>
                </c:pt>
                <c:pt idx="24">
                  <c:v>2016</c:v>
                </c:pt>
              </c:numCache>
            </c:numRef>
          </c:cat>
          <c:val>
            <c:numRef>
              <c:f>Fatal!$M$8:$AK$8</c:f>
              <c:numCache>
                <c:formatCode>General</c:formatCode>
                <c:ptCount val="25"/>
                <c:pt idx="0">
                  <c:v>0.10400746542474047</c:v>
                </c:pt>
                <c:pt idx="1">
                  <c:v>0.18771904999939559</c:v>
                </c:pt>
                <c:pt idx="2">
                  <c:v>0.23322692354946389</c:v>
                </c:pt>
                <c:pt idx="3">
                  <c:v>0.2869758079393907</c:v>
                </c:pt>
                <c:pt idx="4">
                  <c:v>0.14534424043167241</c:v>
                </c:pt>
                <c:pt idx="5">
                  <c:v>0.17354697140813646</c:v>
                </c:pt>
                <c:pt idx="6">
                  <c:v>0.26416983012196488</c:v>
                </c:pt>
                <c:pt idx="7">
                  <c:v>0.26772481713438834</c:v>
                </c:pt>
                <c:pt idx="8">
                  <c:v>0.15667471593381863</c:v>
                </c:pt>
                <c:pt idx="9">
                  <c:v>0.17886943338759451</c:v>
                </c:pt>
                <c:pt idx="10">
                  <c:v>0.29914295543268543</c:v>
                </c:pt>
                <c:pt idx="11">
                  <c:v>0.21486428665365545</c:v>
                </c:pt>
                <c:pt idx="12">
                  <c:v>0.13185975981988934</c:v>
                </c:pt>
                <c:pt idx="13">
                  <c:v>0.33818160232122096</c:v>
                </c:pt>
                <c:pt idx="14">
                  <c:v>0.31054804672336522</c:v>
                </c:pt>
                <c:pt idx="15">
                  <c:v>0.22328463324917522</c:v>
                </c:pt>
                <c:pt idx="16">
                  <c:v>0.18932477086735872</c:v>
                </c:pt>
                <c:pt idx="17">
                  <c:v>0.25535640458182352</c:v>
                </c:pt>
                <c:pt idx="18">
                  <c:v>0.29389956349791913</c:v>
                </c:pt>
                <c:pt idx="19">
                  <c:v>0.44517207238546552</c:v>
                </c:pt>
                <c:pt idx="20">
                  <c:v>0.22197862918649008</c:v>
                </c:pt>
                <c:pt idx="21">
                  <c:v>0.24084323466631408</c:v>
                </c:pt>
                <c:pt idx="22">
                  <c:v>0.125362884924997</c:v>
                </c:pt>
                <c:pt idx="23">
                  <c:v>0.25327156701514325</c:v>
                </c:pt>
                <c:pt idx="24">
                  <c:v>0.26236787002699358</c:v>
                </c:pt>
              </c:numCache>
            </c:numRef>
          </c:val>
          <c:smooth val="0"/>
        </c:ser>
        <c:dLbls>
          <c:showLegendKey val="0"/>
          <c:showVal val="0"/>
          <c:showCatName val="0"/>
          <c:showSerName val="0"/>
          <c:showPercent val="0"/>
          <c:showBubbleSize val="0"/>
        </c:dLbls>
        <c:marker val="1"/>
        <c:smooth val="0"/>
        <c:axId val="295736736"/>
        <c:axId val="295737296"/>
      </c:lineChart>
      <c:lineChart>
        <c:grouping val="standard"/>
        <c:varyColors val="0"/>
        <c:ser>
          <c:idx val="2"/>
          <c:order val="1"/>
          <c:tx>
            <c:strRef>
              <c:f>Fatal!$L$4</c:f>
              <c:strCache>
                <c:ptCount val="1"/>
                <c:pt idx="0">
                  <c:v>U.S. Average Annual Temperature (°F)</c:v>
                </c:pt>
              </c:strCache>
            </c:strRef>
          </c:tx>
          <c:spPr>
            <a:ln w="28575">
              <a:solidFill>
                <a:srgbClr val="FFC000"/>
              </a:solidFill>
            </a:ln>
          </c:spPr>
          <c:marker>
            <c:symbol val="none"/>
          </c:marker>
          <c:trendline>
            <c:spPr>
              <a:ln w="19050">
                <a:solidFill>
                  <a:srgbClr val="FFC000"/>
                </a:solidFill>
                <a:prstDash val="sysDot"/>
              </a:ln>
            </c:spPr>
            <c:trendlineType val="linear"/>
            <c:dispRSqr val="0"/>
            <c:dispEq val="0"/>
          </c:trendline>
          <c:cat>
            <c:numRef>
              <c:f>Fatal!$M$2:$AK$2</c:f>
              <c:numCache>
                <c:formatCode>General</c:formatCode>
                <c:ptCount val="25"/>
                <c:pt idx="0">
                  <c:v>1992</c:v>
                </c:pt>
                <c:pt idx="1">
                  <c:v>1993</c:v>
                </c:pt>
                <c:pt idx="2">
                  <c:v>1994</c:v>
                </c:pt>
                <c:pt idx="3">
                  <c:v>1995</c:v>
                </c:pt>
                <c:pt idx="4">
                  <c:v>1996</c:v>
                </c:pt>
                <c:pt idx="5">
                  <c:v>1997</c:v>
                </c:pt>
                <c:pt idx="6">
                  <c:v>1998</c:v>
                </c:pt>
                <c:pt idx="7">
                  <c:v>1999</c:v>
                </c:pt>
                <c:pt idx="8">
                  <c:v>2000</c:v>
                </c:pt>
                <c:pt idx="9">
                  <c:v>2001</c:v>
                </c:pt>
                <c:pt idx="10">
                  <c:v>2002</c:v>
                </c:pt>
                <c:pt idx="11">
                  <c:v>2003</c:v>
                </c:pt>
                <c:pt idx="12">
                  <c:v>2004</c:v>
                </c:pt>
                <c:pt idx="13">
                  <c:v>2005</c:v>
                </c:pt>
                <c:pt idx="14">
                  <c:v>2006</c:v>
                </c:pt>
                <c:pt idx="15">
                  <c:v>2007</c:v>
                </c:pt>
                <c:pt idx="16">
                  <c:v>2008</c:v>
                </c:pt>
                <c:pt idx="17">
                  <c:v>2009</c:v>
                </c:pt>
                <c:pt idx="18">
                  <c:v>2010</c:v>
                </c:pt>
                <c:pt idx="19">
                  <c:v>2011</c:v>
                </c:pt>
                <c:pt idx="20">
                  <c:v>2012</c:v>
                </c:pt>
                <c:pt idx="21">
                  <c:v>2013</c:v>
                </c:pt>
                <c:pt idx="22">
                  <c:v>2014</c:v>
                </c:pt>
                <c:pt idx="23">
                  <c:v>2015</c:v>
                </c:pt>
                <c:pt idx="24">
                  <c:v>2016</c:v>
                </c:pt>
              </c:numCache>
            </c:numRef>
          </c:cat>
          <c:val>
            <c:numRef>
              <c:f>Fatal!$M$4:$AK$4</c:f>
              <c:numCache>
                <c:formatCode>General</c:formatCode>
                <c:ptCount val="25"/>
                <c:pt idx="0">
                  <c:v>52.6</c:v>
                </c:pt>
                <c:pt idx="1">
                  <c:v>51.26</c:v>
                </c:pt>
                <c:pt idx="2">
                  <c:v>52.87</c:v>
                </c:pt>
                <c:pt idx="3">
                  <c:v>52.65</c:v>
                </c:pt>
                <c:pt idx="4">
                  <c:v>51.88</c:v>
                </c:pt>
                <c:pt idx="5">
                  <c:v>52.2</c:v>
                </c:pt>
                <c:pt idx="6">
                  <c:v>54.23</c:v>
                </c:pt>
                <c:pt idx="7">
                  <c:v>53.88</c:v>
                </c:pt>
                <c:pt idx="8">
                  <c:v>53.27</c:v>
                </c:pt>
                <c:pt idx="9">
                  <c:v>53.69</c:v>
                </c:pt>
                <c:pt idx="10">
                  <c:v>53.21</c:v>
                </c:pt>
                <c:pt idx="11">
                  <c:v>53.26</c:v>
                </c:pt>
                <c:pt idx="12">
                  <c:v>53.1</c:v>
                </c:pt>
                <c:pt idx="13">
                  <c:v>53.64</c:v>
                </c:pt>
                <c:pt idx="14">
                  <c:v>54.25</c:v>
                </c:pt>
                <c:pt idx="15">
                  <c:v>53.65</c:v>
                </c:pt>
                <c:pt idx="16">
                  <c:v>52.29</c:v>
                </c:pt>
                <c:pt idx="17">
                  <c:v>52.39</c:v>
                </c:pt>
                <c:pt idx="18">
                  <c:v>52.98</c:v>
                </c:pt>
                <c:pt idx="19">
                  <c:v>53.18</c:v>
                </c:pt>
                <c:pt idx="20">
                  <c:v>55.28</c:v>
                </c:pt>
                <c:pt idx="21">
                  <c:v>52.43</c:v>
                </c:pt>
                <c:pt idx="22">
                  <c:v>52.54</c:v>
                </c:pt>
                <c:pt idx="23">
                  <c:v>54.4</c:v>
                </c:pt>
                <c:pt idx="24">
                  <c:v>54.92</c:v>
                </c:pt>
              </c:numCache>
            </c:numRef>
          </c:val>
          <c:smooth val="0"/>
        </c:ser>
        <c:dLbls>
          <c:showLegendKey val="0"/>
          <c:showVal val="0"/>
          <c:showCatName val="0"/>
          <c:showSerName val="0"/>
          <c:showPercent val="0"/>
          <c:showBubbleSize val="0"/>
        </c:dLbls>
        <c:marker val="1"/>
        <c:smooth val="0"/>
        <c:axId val="295738416"/>
        <c:axId val="295737856"/>
      </c:lineChart>
      <c:catAx>
        <c:axId val="295736736"/>
        <c:scaling>
          <c:orientation val="minMax"/>
        </c:scaling>
        <c:delete val="0"/>
        <c:axPos val="b"/>
        <c:numFmt formatCode="General" sourceLinked="1"/>
        <c:majorTickMark val="out"/>
        <c:minorTickMark val="none"/>
        <c:tickLblPos val="nextTo"/>
        <c:txPr>
          <a:bodyPr rot="-3600000"/>
          <a:lstStyle/>
          <a:p>
            <a:pPr>
              <a:defRPr sz="900"/>
            </a:pPr>
            <a:endParaRPr lang="en-US"/>
          </a:p>
        </c:txPr>
        <c:crossAx val="295737296"/>
        <c:crosses val="autoZero"/>
        <c:auto val="1"/>
        <c:lblAlgn val="ctr"/>
        <c:lblOffset val="100"/>
        <c:noMultiLvlLbl val="0"/>
      </c:catAx>
      <c:valAx>
        <c:axId val="295737296"/>
        <c:scaling>
          <c:orientation val="minMax"/>
        </c:scaling>
        <c:delete val="0"/>
        <c:axPos val="l"/>
        <c:majorGridlines/>
        <c:title>
          <c:tx>
            <c:rich>
              <a:bodyPr rot="-5400000" vert="horz"/>
              <a:lstStyle/>
              <a:p>
                <a:pPr>
                  <a:defRPr/>
                </a:pPr>
                <a:r>
                  <a:rPr lang="en-US" sz="1000" b="1" i="0" u="none" strike="noStrike" baseline="0">
                    <a:effectLst/>
                  </a:rPr>
                  <a:t>Fatality rate per million workers</a:t>
                </a:r>
                <a:endParaRPr lang="en-US" sz="900"/>
              </a:p>
            </c:rich>
          </c:tx>
          <c:overlay val="0"/>
        </c:title>
        <c:numFmt formatCode="General" sourceLinked="1"/>
        <c:majorTickMark val="out"/>
        <c:minorTickMark val="none"/>
        <c:tickLblPos val="nextTo"/>
        <c:txPr>
          <a:bodyPr/>
          <a:lstStyle/>
          <a:p>
            <a:pPr>
              <a:defRPr sz="900"/>
            </a:pPr>
            <a:endParaRPr lang="en-US"/>
          </a:p>
        </c:txPr>
        <c:crossAx val="295736736"/>
        <c:crosses val="autoZero"/>
        <c:crossBetween val="between"/>
      </c:valAx>
      <c:valAx>
        <c:axId val="295737856"/>
        <c:scaling>
          <c:orientation val="minMax"/>
        </c:scaling>
        <c:delete val="0"/>
        <c:axPos val="r"/>
        <c:title>
          <c:tx>
            <c:rich>
              <a:bodyPr rot="-5400000" vert="horz"/>
              <a:lstStyle/>
              <a:p>
                <a:pPr>
                  <a:defRPr/>
                </a:pPr>
                <a:r>
                  <a:rPr lang="en-US" sz="1000" b="1" i="0" u="none" strike="noStrike" baseline="0">
                    <a:effectLst/>
                  </a:rPr>
                  <a:t>Annual average U.S. temperature (°F)</a:t>
                </a:r>
                <a:endParaRPr lang="en-US" sz="900"/>
              </a:p>
            </c:rich>
          </c:tx>
          <c:overlay val="0"/>
        </c:title>
        <c:numFmt formatCode="General" sourceLinked="1"/>
        <c:majorTickMark val="out"/>
        <c:minorTickMark val="none"/>
        <c:tickLblPos val="nextTo"/>
        <c:txPr>
          <a:bodyPr/>
          <a:lstStyle/>
          <a:p>
            <a:pPr>
              <a:defRPr sz="900"/>
            </a:pPr>
            <a:endParaRPr lang="en-US"/>
          </a:p>
        </c:txPr>
        <c:crossAx val="295738416"/>
        <c:crosses val="max"/>
        <c:crossBetween val="between"/>
      </c:valAx>
      <c:catAx>
        <c:axId val="295738416"/>
        <c:scaling>
          <c:orientation val="minMax"/>
        </c:scaling>
        <c:delete val="1"/>
        <c:axPos val="b"/>
        <c:numFmt formatCode="General" sourceLinked="1"/>
        <c:majorTickMark val="out"/>
        <c:minorTickMark val="none"/>
        <c:tickLblPos val="nextTo"/>
        <c:crossAx val="295737856"/>
        <c:crosses val="autoZero"/>
        <c:auto val="1"/>
        <c:lblAlgn val="ctr"/>
        <c:lblOffset val="100"/>
        <c:noMultiLvlLbl val="0"/>
      </c:catAx>
    </c:plotArea>
    <c:legend>
      <c:legendPos val="b"/>
      <c:legendEntry>
        <c:idx val="2"/>
        <c:delete val="1"/>
      </c:legendEntry>
      <c:legendEntry>
        <c:idx val="3"/>
        <c:delete val="1"/>
      </c:legendEntry>
      <c:overlay val="0"/>
      <c:txPr>
        <a:bodyPr/>
        <a:lstStyle/>
        <a:p>
          <a:pPr>
            <a:defRPr sz="900"/>
          </a:pPr>
          <a:endParaRPr lang="en-US"/>
        </a:p>
      </c:txPr>
    </c:legend>
    <c:plotVisOnly val="1"/>
    <c:dispBlanksAs val="gap"/>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Sheet1!$B$1</c:f>
              <c:strCache>
                <c:ptCount val="1"/>
                <c:pt idx="0">
                  <c:v>Perentage of Employers Not Providing</c:v>
                </c:pt>
              </c:strCache>
            </c:strRef>
          </c:tx>
          <c:spPr>
            <a:solidFill>
              <a:srgbClr val="C0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Sheet1!$A$2:$A$8</c:f>
              <c:strCache>
                <c:ptCount val="7"/>
                <c:pt idx="0">
                  <c:v>Maintain any heat illness prevention program</c:v>
                </c:pt>
                <c:pt idx="1">
                  <c:v>Provide adequate water</c:v>
                </c:pt>
                <c:pt idx="2">
                  <c:v>Provide heat shielded areas</c:v>
                </c:pt>
                <c:pt idx="3">
                  <c:v>Adjust work/rest cycle based on conditions</c:v>
                </c:pt>
                <c:pt idx="4">
                  <c:v>Use heat index to identify heat-stress risk</c:v>
                </c:pt>
                <c:pt idx="5">
                  <c:v>Acclimitization safety progarm</c:v>
                </c:pt>
                <c:pt idx="6">
                  <c:v>Training to prevent heat illness</c:v>
                </c:pt>
              </c:strCache>
            </c:strRef>
          </c:cat>
          <c:val>
            <c:numRef>
              <c:f>Sheet1!$B$2:$B$8</c:f>
              <c:numCache>
                <c:formatCode>0%</c:formatCode>
                <c:ptCount val="7"/>
                <c:pt idx="0">
                  <c:v>0.42</c:v>
                </c:pt>
                <c:pt idx="1">
                  <c:v>0.23</c:v>
                </c:pt>
                <c:pt idx="2">
                  <c:v>0.36</c:v>
                </c:pt>
                <c:pt idx="3">
                  <c:v>0.97</c:v>
                </c:pt>
                <c:pt idx="4">
                  <c:v>0.84</c:v>
                </c:pt>
                <c:pt idx="5">
                  <c:v>0.99</c:v>
                </c:pt>
                <c:pt idx="6">
                  <c:v>0.3</c:v>
                </c:pt>
              </c:numCache>
            </c:numRef>
          </c:val>
        </c:ser>
        <c:dLbls>
          <c:showLegendKey val="0"/>
          <c:showVal val="0"/>
          <c:showCatName val="0"/>
          <c:showSerName val="0"/>
          <c:showPercent val="0"/>
          <c:showBubbleSize val="0"/>
        </c:dLbls>
        <c:gapWidth val="100"/>
        <c:axId val="363560256"/>
        <c:axId val="363560816"/>
      </c:barChart>
      <c:catAx>
        <c:axId val="363560256"/>
        <c:scaling>
          <c:orientation val="minMax"/>
        </c:scaling>
        <c:delete val="0"/>
        <c:axPos val="l"/>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363560816"/>
        <c:crosses val="autoZero"/>
        <c:auto val="1"/>
        <c:lblAlgn val="ctr"/>
        <c:lblOffset val="100"/>
        <c:noMultiLvlLbl val="0"/>
      </c:catAx>
      <c:valAx>
        <c:axId val="363560816"/>
        <c:scaling>
          <c:orientation val="minMax"/>
          <c:max val="1"/>
        </c:scaling>
        <c:delete val="0"/>
        <c:axPos val="b"/>
        <c:majorGridlines>
          <c:spPr>
            <a:ln w="9525" cap="flat" cmpd="sng" algn="ctr">
              <a:solidFill>
                <a:schemeClr val="tx2">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363560256"/>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3B1578-D063-4014-8BE0-984F713C8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39</Pages>
  <Words>11603</Words>
  <Characters>66143</Characters>
  <Application>Microsoft Office Word</Application>
  <DocSecurity>0</DocSecurity>
  <Lines>551</Lines>
  <Paragraphs>155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77591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Arkush</dc:creator>
  <cp:lastModifiedBy>David Arkush</cp:lastModifiedBy>
  <cp:revision>6</cp:revision>
  <cp:lastPrinted>2018-07-06T14:19:00Z</cp:lastPrinted>
  <dcterms:created xsi:type="dcterms:W3CDTF">2018-07-10T13:44:00Z</dcterms:created>
  <dcterms:modified xsi:type="dcterms:W3CDTF">2018-07-10T13:49:00Z</dcterms:modified>
</cp:coreProperties>
</file>