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B70C4" w14:textId="31D95BB5" w:rsidR="00DC16E9" w:rsidRDefault="00D64411">
      <w:pPr>
        <w:rPr>
          <w:rFonts w:ascii="Times New Roman" w:hAnsi="Times New Roman" w:cs="Times New Roman"/>
        </w:rPr>
      </w:pPr>
      <w:r>
        <w:rPr>
          <w:rFonts w:ascii="Times New Roman" w:hAnsi="Times New Roman" w:cs="Times New Roman"/>
        </w:rPr>
        <w:t xml:space="preserve">Earthjustice • </w:t>
      </w:r>
      <w:r w:rsidR="00F70720">
        <w:rPr>
          <w:rFonts w:ascii="Times New Roman" w:hAnsi="Times New Roman" w:cs="Times New Roman"/>
        </w:rPr>
        <w:t>Earthworks • Western Organization of Resource Councils</w:t>
      </w:r>
    </w:p>
    <w:p w14:paraId="7FE6F586" w14:textId="77777777" w:rsidR="00F70720" w:rsidRPr="005470EC" w:rsidRDefault="00F70720">
      <w:pPr>
        <w:rPr>
          <w:rFonts w:ascii="Times New Roman" w:hAnsi="Times New Roman" w:cs="Times New Roman"/>
        </w:rPr>
      </w:pPr>
    </w:p>
    <w:p w14:paraId="685341A8" w14:textId="77777777" w:rsidR="00182C79" w:rsidRPr="005470EC" w:rsidRDefault="00182C79">
      <w:pPr>
        <w:rPr>
          <w:rFonts w:ascii="Times New Roman" w:hAnsi="Times New Roman" w:cs="Times New Roman"/>
        </w:rPr>
      </w:pPr>
    </w:p>
    <w:p w14:paraId="538002A0" w14:textId="1BFBF9F9" w:rsidR="00182C79" w:rsidRPr="005470EC" w:rsidRDefault="00182C79">
      <w:pPr>
        <w:rPr>
          <w:rFonts w:ascii="Times New Roman" w:hAnsi="Times New Roman" w:cs="Times New Roman"/>
        </w:rPr>
      </w:pPr>
      <w:r w:rsidRPr="005470EC">
        <w:rPr>
          <w:rFonts w:ascii="Times New Roman" w:hAnsi="Times New Roman" w:cs="Times New Roman"/>
        </w:rPr>
        <w:tab/>
      </w:r>
      <w:r w:rsidRPr="005470EC">
        <w:rPr>
          <w:rFonts w:ascii="Times New Roman" w:hAnsi="Times New Roman" w:cs="Times New Roman"/>
        </w:rPr>
        <w:tab/>
      </w:r>
      <w:r w:rsidRPr="005470EC">
        <w:rPr>
          <w:rFonts w:ascii="Times New Roman" w:hAnsi="Times New Roman" w:cs="Times New Roman"/>
        </w:rPr>
        <w:tab/>
      </w:r>
      <w:r w:rsidRPr="005470EC">
        <w:rPr>
          <w:rFonts w:ascii="Times New Roman" w:hAnsi="Times New Roman" w:cs="Times New Roman"/>
        </w:rPr>
        <w:tab/>
      </w:r>
      <w:r w:rsidRPr="005470EC">
        <w:rPr>
          <w:rFonts w:ascii="Times New Roman" w:hAnsi="Times New Roman" w:cs="Times New Roman"/>
        </w:rPr>
        <w:tab/>
        <w:t>September 6, 2018</w:t>
      </w:r>
    </w:p>
    <w:p w14:paraId="70F1A0B2" w14:textId="77777777" w:rsidR="00182C79" w:rsidRPr="005470EC" w:rsidRDefault="00182C79">
      <w:pPr>
        <w:rPr>
          <w:rFonts w:ascii="Times New Roman" w:hAnsi="Times New Roman" w:cs="Times New Roman"/>
        </w:rPr>
      </w:pPr>
    </w:p>
    <w:p w14:paraId="5D0ACBA8" w14:textId="30175362" w:rsidR="00182C79" w:rsidRPr="005470EC" w:rsidRDefault="00182C79">
      <w:pPr>
        <w:rPr>
          <w:rFonts w:ascii="Times New Roman" w:hAnsi="Times New Roman" w:cs="Times New Roman"/>
        </w:rPr>
      </w:pPr>
      <w:r w:rsidRPr="005470EC">
        <w:rPr>
          <w:rFonts w:ascii="Times New Roman" w:hAnsi="Times New Roman" w:cs="Times New Roman"/>
        </w:rPr>
        <w:t>Dear Member of Congress,</w:t>
      </w:r>
    </w:p>
    <w:p w14:paraId="2CB17D0E" w14:textId="77777777" w:rsidR="00182C79" w:rsidRPr="005470EC" w:rsidRDefault="00182C79">
      <w:pPr>
        <w:rPr>
          <w:rFonts w:ascii="Times New Roman" w:hAnsi="Times New Roman" w:cs="Times New Roman"/>
        </w:rPr>
      </w:pPr>
    </w:p>
    <w:p w14:paraId="6E0534CC" w14:textId="426E04ED" w:rsidR="001E6B07" w:rsidRPr="005470EC" w:rsidRDefault="003C0815" w:rsidP="00A5119E">
      <w:pPr>
        <w:rPr>
          <w:rFonts w:ascii="Times New Roman" w:hAnsi="Times New Roman" w:cs="Times New Roman"/>
        </w:rPr>
      </w:pPr>
      <w:r w:rsidRPr="005470EC">
        <w:rPr>
          <w:rFonts w:ascii="Times New Roman" w:hAnsi="Times New Roman" w:cs="Times New Roman"/>
        </w:rPr>
        <w:t>On behalf of</w:t>
      </w:r>
      <w:r w:rsidR="00CD22CC" w:rsidRPr="005470EC">
        <w:rPr>
          <w:rFonts w:ascii="Times New Roman" w:hAnsi="Times New Roman" w:cs="Times New Roman"/>
        </w:rPr>
        <w:t xml:space="preserve"> our members, we write to express</w:t>
      </w:r>
      <w:r w:rsidRPr="005470EC">
        <w:rPr>
          <w:rFonts w:ascii="Times New Roman" w:hAnsi="Times New Roman" w:cs="Times New Roman"/>
        </w:rPr>
        <w:t xml:space="preserve"> </w:t>
      </w:r>
      <w:r w:rsidR="004C2F50" w:rsidRPr="005470EC">
        <w:rPr>
          <w:rFonts w:ascii="Times New Roman" w:hAnsi="Times New Roman" w:cs="Times New Roman"/>
        </w:rPr>
        <w:t xml:space="preserve">our opposition to H.R. 4606, Ensuring Small Scale LNG Certainty and Access Act.  </w:t>
      </w:r>
      <w:r w:rsidR="004C2F50" w:rsidRPr="005470EC">
        <w:rPr>
          <w:rFonts w:ascii="Times New Roman" w:hAnsi="Times New Roman" w:cs="Times New Roman"/>
        </w:rPr>
        <w:t>H.R. 4606</w:t>
      </w:r>
      <w:r w:rsidR="00B67B6C" w:rsidRPr="005470EC">
        <w:rPr>
          <w:rFonts w:ascii="Times New Roman" w:hAnsi="Times New Roman" w:cs="Times New Roman"/>
        </w:rPr>
        <w:t xml:space="preserve"> amends Section 3(c) of the Natural Gas Act to </w:t>
      </w:r>
      <w:r w:rsidR="003365AA" w:rsidRPr="005470EC">
        <w:rPr>
          <w:rFonts w:ascii="Times New Roman" w:hAnsi="Times New Roman" w:cs="Times New Roman"/>
        </w:rPr>
        <w:t>require</w:t>
      </w:r>
      <w:r w:rsidR="00B67B6C" w:rsidRPr="005470EC">
        <w:rPr>
          <w:rFonts w:ascii="Times New Roman" w:hAnsi="Times New Roman" w:cs="Times New Roman"/>
        </w:rPr>
        <w:t xml:space="preserve"> the Federal Energy Regulatory Commission (FERC) to grant </w:t>
      </w:r>
      <w:r w:rsidR="001E6B07" w:rsidRPr="005470EC">
        <w:rPr>
          <w:rFonts w:ascii="Times New Roman" w:hAnsi="Times New Roman" w:cs="Times New Roman"/>
        </w:rPr>
        <w:t>applica</w:t>
      </w:r>
      <w:r w:rsidR="00D071A3" w:rsidRPr="005470EC">
        <w:rPr>
          <w:rFonts w:ascii="Times New Roman" w:hAnsi="Times New Roman" w:cs="Times New Roman"/>
        </w:rPr>
        <w:t>tions for natural gas import or</w:t>
      </w:r>
      <w:r w:rsidR="001E6B07" w:rsidRPr="005470EC">
        <w:rPr>
          <w:rFonts w:ascii="Times New Roman" w:hAnsi="Times New Roman" w:cs="Times New Roman"/>
        </w:rPr>
        <w:t xml:space="preserve"> export facilities with daily volumes below 0.14 </w:t>
      </w:r>
      <w:proofErr w:type="spellStart"/>
      <w:r w:rsidR="001E6B07" w:rsidRPr="005470EC">
        <w:rPr>
          <w:rFonts w:ascii="Times New Roman" w:hAnsi="Times New Roman" w:cs="Times New Roman"/>
        </w:rPr>
        <w:t>bcf</w:t>
      </w:r>
      <w:proofErr w:type="spellEnd"/>
      <w:r w:rsidR="001E6B07" w:rsidRPr="005470EC">
        <w:rPr>
          <w:rFonts w:ascii="Times New Roman" w:hAnsi="Times New Roman" w:cs="Times New Roman"/>
        </w:rPr>
        <w:t xml:space="preserve"> (billion cubic feet). </w:t>
      </w:r>
      <w:r w:rsidR="00D071A3" w:rsidRPr="005470EC">
        <w:rPr>
          <w:rFonts w:ascii="Times New Roman" w:hAnsi="Times New Roman" w:cs="Times New Roman"/>
        </w:rPr>
        <w:t>The bill also waives any environment</w:t>
      </w:r>
      <w:r w:rsidR="00992324">
        <w:rPr>
          <w:rFonts w:ascii="Times New Roman" w:hAnsi="Times New Roman" w:cs="Times New Roman"/>
        </w:rPr>
        <w:t>al review for these projects</w:t>
      </w:r>
      <w:r w:rsidR="00D071A3" w:rsidRPr="005470EC">
        <w:rPr>
          <w:rFonts w:ascii="Times New Roman" w:hAnsi="Times New Roman" w:cs="Times New Roman"/>
        </w:rPr>
        <w:t xml:space="preserve"> under the National Environmental Policy Act (NEPA)</w:t>
      </w:r>
      <w:r w:rsidR="00856C70">
        <w:rPr>
          <w:rStyle w:val="EndnoteReference"/>
          <w:rFonts w:ascii="Times New Roman" w:hAnsi="Times New Roman" w:cs="Times New Roman"/>
        </w:rPr>
        <w:endnoteReference w:id="1"/>
      </w:r>
      <w:r w:rsidR="00D071A3" w:rsidRPr="005470EC">
        <w:rPr>
          <w:rFonts w:ascii="Times New Roman" w:hAnsi="Times New Roman" w:cs="Times New Roman"/>
        </w:rPr>
        <w:t>.</w:t>
      </w:r>
    </w:p>
    <w:p w14:paraId="73D3F242" w14:textId="77777777" w:rsidR="001E6B07" w:rsidRPr="005470EC" w:rsidRDefault="001E6B07" w:rsidP="00A5119E">
      <w:pPr>
        <w:rPr>
          <w:rFonts w:ascii="Times New Roman" w:hAnsi="Times New Roman" w:cs="Times New Roman"/>
        </w:rPr>
      </w:pPr>
    </w:p>
    <w:p w14:paraId="67C830A2" w14:textId="0294A91A" w:rsidR="00A5119E" w:rsidRDefault="00FE7EAF" w:rsidP="00A5119E">
      <w:pPr>
        <w:rPr>
          <w:rFonts w:ascii="Times New Roman" w:hAnsi="Times New Roman" w:cs="Times New Roman"/>
        </w:rPr>
      </w:pPr>
      <w:r w:rsidRPr="005470EC">
        <w:rPr>
          <w:rFonts w:ascii="Times New Roman" w:hAnsi="Times New Roman" w:cs="Times New Roman"/>
        </w:rPr>
        <w:t>This</w:t>
      </w:r>
      <w:r w:rsidR="00283E17">
        <w:rPr>
          <w:rFonts w:ascii="Times New Roman" w:hAnsi="Times New Roman" w:cs="Times New Roman"/>
        </w:rPr>
        <w:t xml:space="preserve"> legislation</w:t>
      </w:r>
      <w:r w:rsidRPr="005470EC">
        <w:rPr>
          <w:rFonts w:ascii="Times New Roman" w:hAnsi="Times New Roman" w:cs="Times New Roman"/>
        </w:rPr>
        <w:t xml:space="preserve"> </w:t>
      </w:r>
      <w:r w:rsidR="00283E17">
        <w:rPr>
          <w:rFonts w:ascii="Times New Roman" w:hAnsi="Times New Roman" w:cs="Times New Roman"/>
        </w:rPr>
        <w:t>exacerbates</w:t>
      </w:r>
      <w:r w:rsidR="00642B43">
        <w:rPr>
          <w:rFonts w:ascii="Times New Roman" w:hAnsi="Times New Roman" w:cs="Times New Roman"/>
        </w:rPr>
        <w:t xml:space="preserve"> two proble</w:t>
      </w:r>
      <w:r w:rsidR="00FC5BE7">
        <w:rPr>
          <w:rFonts w:ascii="Times New Roman" w:hAnsi="Times New Roman" w:cs="Times New Roman"/>
        </w:rPr>
        <w:t>ms for communities supporting proper</w:t>
      </w:r>
      <w:r w:rsidR="00397CF4">
        <w:rPr>
          <w:rFonts w:ascii="Times New Roman" w:hAnsi="Times New Roman" w:cs="Times New Roman"/>
        </w:rPr>
        <w:t>ty rights and</w:t>
      </w:r>
      <w:r w:rsidR="00FC5BE7">
        <w:rPr>
          <w:rFonts w:ascii="Times New Roman" w:hAnsi="Times New Roman" w:cs="Times New Roman"/>
        </w:rPr>
        <w:t xml:space="preserve"> protections for their air, water, climate, wildlife, and public health. </w:t>
      </w:r>
      <w:r w:rsidR="00992324">
        <w:rPr>
          <w:rFonts w:ascii="Times New Roman" w:hAnsi="Times New Roman" w:cs="Times New Roman"/>
        </w:rPr>
        <w:t xml:space="preserve">First, H.R. 4606 </w:t>
      </w:r>
      <w:r w:rsidR="004C2F50" w:rsidRPr="005470EC">
        <w:rPr>
          <w:rFonts w:ascii="Times New Roman" w:hAnsi="Times New Roman" w:cs="Times New Roman"/>
        </w:rPr>
        <w:t>unilaterally declares</w:t>
      </w:r>
      <w:r w:rsidR="00752563" w:rsidRPr="005470EC">
        <w:rPr>
          <w:rFonts w:ascii="Times New Roman" w:hAnsi="Times New Roman" w:cs="Times New Roman"/>
        </w:rPr>
        <w:t xml:space="preserve"> all low volume natural gas export or import facilit</w:t>
      </w:r>
      <w:r w:rsidR="00B15DE8" w:rsidRPr="005470EC">
        <w:rPr>
          <w:rFonts w:ascii="Times New Roman" w:hAnsi="Times New Roman" w:cs="Times New Roman"/>
        </w:rPr>
        <w:t>i</w:t>
      </w:r>
      <w:r w:rsidR="00752563" w:rsidRPr="005470EC">
        <w:rPr>
          <w:rFonts w:ascii="Times New Roman" w:hAnsi="Times New Roman" w:cs="Times New Roman"/>
        </w:rPr>
        <w:t>es</w:t>
      </w:r>
      <w:r w:rsidR="004C2F50" w:rsidRPr="005470EC">
        <w:rPr>
          <w:rFonts w:ascii="Times New Roman" w:hAnsi="Times New Roman" w:cs="Times New Roman"/>
        </w:rPr>
        <w:t xml:space="preserve"> in the public interest</w:t>
      </w:r>
      <w:r w:rsidR="00752563" w:rsidRPr="005470EC">
        <w:rPr>
          <w:rFonts w:ascii="Times New Roman" w:hAnsi="Times New Roman" w:cs="Times New Roman"/>
        </w:rPr>
        <w:t xml:space="preserve">. </w:t>
      </w:r>
      <w:r w:rsidR="0008192A" w:rsidRPr="005470EC">
        <w:rPr>
          <w:rFonts w:ascii="Times New Roman" w:hAnsi="Times New Roman" w:cs="Times New Roman"/>
        </w:rPr>
        <w:t xml:space="preserve"> </w:t>
      </w:r>
      <w:r w:rsidR="00642B43">
        <w:rPr>
          <w:rFonts w:ascii="Times New Roman" w:hAnsi="Times New Roman" w:cs="Times New Roman"/>
        </w:rPr>
        <w:t xml:space="preserve">This determination </w:t>
      </w:r>
      <w:r w:rsidR="004275DD" w:rsidRPr="005470EC">
        <w:rPr>
          <w:rFonts w:ascii="Times New Roman" w:hAnsi="Times New Roman" w:cs="Times New Roman"/>
        </w:rPr>
        <w:t>ease</w:t>
      </w:r>
      <w:r w:rsidR="00642B43">
        <w:rPr>
          <w:rFonts w:ascii="Times New Roman" w:hAnsi="Times New Roman" w:cs="Times New Roman"/>
        </w:rPr>
        <w:t>s</w:t>
      </w:r>
      <w:r w:rsidR="004275DD" w:rsidRPr="005470EC">
        <w:rPr>
          <w:rFonts w:ascii="Times New Roman" w:hAnsi="Times New Roman" w:cs="Times New Roman"/>
        </w:rPr>
        <w:t xml:space="preserve"> the path toward </w:t>
      </w:r>
      <w:r w:rsidR="000A4AB6">
        <w:rPr>
          <w:rFonts w:ascii="Times New Roman" w:hAnsi="Times New Roman" w:cs="Times New Roman"/>
        </w:rPr>
        <w:t xml:space="preserve">natural gas companies </w:t>
      </w:r>
      <w:r w:rsidR="004275DD" w:rsidRPr="005470EC">
        <w:rPr>
          <w:rFonts w:ascii="Times New Roman" w:hAnsi="Times New Roman" w:cs="Times New Roman"/>
        </w:rPr>
        <w:t>taking private land by eminent d</w:t>
      </w:r>
      <w:r w:rsidR="00992324">
        <w:rPr>
          <w:rFonts w:ascii="Times New Roman" w:hAnsi="Times New Roman" w:cs="Times New Roman"/>
        </w:rPr>
        <w:t>omain. Second</w:t>
      </w:r>
      <w:r w:rsidR="004275DD" w:rsidRPr="005470EC">
        <w:rPr>
          <w:rFonts w:ascii="Times New Roman" w:hAnsi="Times New Roman" w:cs="Times New Roman"/>
        </w:rPr>
        <w:t xml:space="preserve">, </w:t>
      </w:r>
      <w:r w:rsidR="00EF5759" w:rsidRPr="005470EC">
        <w:rPr>
          <w:rFonts w:ascii="Times New Roman" w:hAnsi="Times New Roman" w:cs="Times New Roman"/>
        </w:rPr>
        <w:t>the</w:t>
      </w:r>
      <w:r w:rsidR="004275DD" w:rsidRPr="005470EC">
        <w:rPr>
          <w:rFonts w:ascii="Times New Roman" w:hAnsi="Times New Roman" w:cs="Times New Roman"/>
        </w:rPr>
        <w:t xml:space="preserve"> bill’s NEPA waiver limits</w:t>
      </w:r>
      <w:r w:rsidR="004C2F50" w:rsidRPr="005470EC">
        <w:rPr>
          <w:rFonts w:ascii="Times New Roman" w:hAnsi="Times New Roman" w:cs="Times New Roman"/>
        </w:rPr>
        <w:t xml:space="preserve"> </w:t>
      </w:r>
      <w:r w:rsidR="0008192A" w:rsidRPr="005470EC">
        <w:rPr>
          <w:rFonts w:ascii="Times New Roman" w:hAnsi="Times New Roman" w:cs="Times New Roman"/>
        </w:rPr>
        <w:t>the power</w:t>
      </w:r>
      <w:r w:rsidR="004C2F50" w:rsidRPr="005470EC">
        <w:rPr>
          <w:rFonts w:ascii="Times New Roman" w:hAnsi="Times New Roman" w:cs="Times New Roman"/>
        </w:rPr>
        <w:t xml:space="preserve"> of communities neighboring these facilities </w:t>
      </w:r>
      <w:r w:rsidR="003365AA" w:rsidRPr="005470EC">
        <w:rPr>
          <w:rFonts w:ascii="Times New Roman" w:hAnsi="Times New Roman" w:cs="Times New Roman"/>
        </w:rPr>
        <w:t>to participate</w:t>
      </w:r>
      <w:r w:rsidR="004C2F50" w:rsidRPr="005470EC">
        <w:rPr>
          <w:rFonts w:ascii="Times New Roman" w:hAnsi="Times New Roman" w:cs="Times New Roman"/>
        </w:rPr>
        <w:t xml:space="preserve"> in our Government</w:t>
      </w:r>
      <w:r w:rsidR="00A5119E" w:rsidRPr="005470EC">
        <w:rPr>
          <w:rFonts w:ascii="Times New Roman" w:hAnsi="Times New Roman" w:cs="Times New Roman"/>
        </w:rPr>
        <w:t xml:space="preserve">’s </w:t>
      </w:r>
      <w:r w:rsidR="004275DD" w:rsidRPr="005470EC">
        <w:rPr>
          <w:rFonts w:ascii="Times New Roman" w:hAnsi="Times New Roman" w:cs="Times New Roman"/>
        </w:rPr>
        <w:t xml:space="preserve">environmental </w:t>
      </w:r>
      <w:r w:rsidR="00A5119E" w:rsidRPr="005470EC">
        <w:rPr>
          <w:rFonts w:ascii="Times New Roman" w:hAnsi="Times New Roman" w:cs="Times New Roman"/>
        </w:rPr>
        <w:t>decisions</w:t>
      </w:r>
      <w:r w:rsidR="004C2F50" w:rsidRPr="005470EC">
        <w:rPr>
          <w:rFonts w:ascii="Times New Roman" w:hAnsi="Times New Roman" w:cs="Times New Roman"/>
        </w:rPr>
        <w:t>.</w:t>
      </w:r>
      <w:r w:rsidR="00856C70">
        <w:rPr>
          <w:rFonts w:ascii="Times New Roman" w:hAnsi="Times New Roman" w:cs="Times New Roman"/>
        </w:rPr>
        <w:t xml:space="preserve"> </w:t>
      </w:r>
    </w:p>
    <w:p w14:paraId="31662C3E" w14:textId="77777777" w:rsidR="00111A56" w:rsidRDefault="00111A56" w:rsidP="00A5119E">
      <w:pPr>
        <w:rPr>
          <w:rFonts w:ascii="Times New Roman" w:hAnsi="Times New Roman" w:cs="Times New Roman"/>
        </w:rPr>
      </w:pPr>
    </w:p>
    <w:p w14:paraId="44470315" w14:textId="77777777" w:rsidR="00111A56" w:rsidRPr="009A32F2" w:rsidRDefault="00111A56" w:rsidP="00111A56">
      <w:pPr>
        <w:jc w:val="center"/>
        <w:rPr>
          <w:rFonts w:ascii="Times New Roman" w:hAnsi="Times New Roman" w:cs="Times New Roman"/>
          <w:b/>
        </w:rPr>
      </w:pPr>
      <w:r w:rsidRPr="009A32F2">
        <w:rPr>
          <w:rFonts w:ascii="Times New Roman" w:hAnsi="Times New Roman" w:cs="Times New Roman"/>
          <w:b/>
        </w:rPr>
        <w:t>Waiving NEPA Undermines Community Consent and Public Participation in Our Government’s Decisions</w:t>
      </w:r>
    </w:p>
    <w:p w14:paraId="154810B3" w14:textId="77777777" w:rsidR="00111A56" w:rsidRPr="005470EC" w:rsidRDefault="00111A56" w:rsidP="00111A56">
      <w:pPr>
        <w:rPr>
          <w:rFonts w:ascii="Times New Roman" w:hAnsi="Times New Roman" w:cs="Times New Roman"/>
        </w:rPr>
      </w:pPr>
    </w:p>
    <w:p w14:paraId="08B569B0" w14:textId="5F8C785B" w:rsidR="00111A56" w:rsidRPr="000B1091" w:rsidRDefault="00111A56" w:rsidP="00111A56">
      <w:pPr>
        <w:rPr>
          <w:rFonts w:ascii="Times New Roman" w:eastAsia="Times New Roman" w:hAnsi="Times New Roman" w:cs="Times New Roman"/>
        </w:rPr>
      </w:pPr>
      <w:r w:rsidRPr="000B1091">
        <w:rPr>
          <w:rFonts w:ascii="Times New Roman" w:eastAsia="Times New Roman" w:hAnsi="Times New Roman" w:cs="Times New Roman"/>
        </w:rPr>
        <w:t>NEPA, often referred to as the environmental “Magna Carta”, requires federal agencies to</w:t>
      </w:r>
      <w:r w:rsidR="00E57958">
        <w:rPr>
          <w:rFonts w:ascii="Times New Roman" w:eastAsia="Times New Roman" w:hAnsi="Times New Roman" w:cs="Times New Roman"/>
        </w:rPr>
        <w:t xml:space="preserve"> publicly disclose their plans to build facilities,</w:t>
      </w:r>
      <w:r w:rsidRPr="000B1091">
        <w:rPr>
          <w:rFonts w:ascii="Times New Roman" w:eastAsia="Times New Roman" w:hAnsi="Times New Roman" w:cs="Times New Roman"/>
        </w:rPr>
        <w:t xml:space="preserve"> assess the environme</w:t>
      </w:r>
      <w:r w:rsidR="00E57958">
        <w:rPr>
          <w:rFonts w:ascii="Times New Roman" w:eastAsia="Times New Roman" w:hAnsi="Times New Roman" w:cs="Times New Roman"/>
        </w:rPr>
        <w:t>ntal impacts of their actions, and give the public a voice in the decision-making process.</w:t>
      </w:r>
      <w:r w:rsidRPr="000B1091">
        <w:rPr>
          <w:rFonts w:ascii="Times New Roman" w:eastAsia="Times New Roman" w:hAnsi="Times New Roman" w:cs="Times New Roman"/>
        </w:rPr>
        <w:t xml:space="preserve"> For nearly fifty years, NEPA has provided certainty and predictability through a transparent process well understood by federal regulators, permit applicants, and affected communities. NEPA ensures that Americans can take part in the review and development of projects affecting our social, economic, and environmental health. The process provides an opportunity for communiti</w:t>
      </w:r>
      <w:r w:rsidR="00C613D3">
        <w:rPr>
          <w:rFonts w:ascii="Times New Roman" w:eastAsia="Times New Roman" w:hAnsi="Times New Roman" w:cs="Times New Roman"/>
        </w:rPr>
        <w:t>es to learn about proposed natural gas import/export facilities</w:t>
      </w:r>
      <w:r w:rsidRPr="000B1091">
        <w:rPr>
          <w:rFonts w:ascii="Times New Roman" w:eastAsia="Times New Roman" w:hAnsi="Times New Roman" w:cs="Times New Roman"/>
        </w:rPr>
        <w:t xml:space="preserve"> and offers agencies the chance to receive valuable public input. And it works. Public input has improved agency consideration of project alternatives and resulted in better </w:t>
      </w:r>
      <w:r w:rsidR="00E57958">
        <w:rPr>
          <w:rFonts w:ascii="Times New Roman" w:eastAsia="Times New Roman" w:hAnsi="Times New Roman" w:cs="Times New Roman"/>
        </w:rPr>
        <w:t xml:space="preserve">community, </w:t>
      </w:r>
      <w:r w:rsidRPr="000B1091">
        <w:rPr>
          <w:rFonts w:ascii="Times New Roman" w:eastAsia="Times New Roman" w:hAnsi="Times New Roman" w:cs="Times New Roman"/>
        </w:rPr>
        <w:t>environmental</w:t>
      </w:r>
      <w:r w:rsidR="00E57958">
        <w:rPr>
          <w:rFonts w:ascii="Times New Roman" w:eastAsia="Times New Roman" w:hAnsi="Times New Roman" w:cs="Times New Roman"/>
        </w:rPr>
        <w:t>, and economic</w:t>
      </w:r>
      <w:bookmarkStart w:id="0" w:name="_GoBack"/>
      <w:bookmarkEnd w:id="0"/>
      <w:r w:rsidRPr="000B1091">
        <w:rPr>
          <w:rFonts w:ascii="Times New Roman" w:eastAsia="Times New Roman" w:hAnsi="Times New Roman" w:cs="Times New Roman"/>
        </w:rPr>
        <w:t xml:space="preserve"> outcomes. </w:t>
      </w:r>
    </w:p>
    <w:p w14:paraId="32A4436E" w14:textId="77777777" w:rsidR="00111A56" w:rsidRPr="005470EC" w:rsidRDefault="00111A56" w:rsidP="00111A56">
      <w:pPr>
        <w:rPr>
          <w:rFonts w:ascii="Times New Roman" w:hAnsi="Times New Roman" w:cs="Times New Roman"/>
        </w:rPr>
      </w:pPr>
    </w:p>
    <w:p w14:paraId="62BB992B" w14:textId="595E09F4" w:rsidR="00111A56" w:rsidRDefault="00111A56" w:rsidP="00111A56">
      <w:pPr>
        <w:rPr>
          <w:rFonts w:ascii="Times New Roman" w:eastAsia="Times New Roman" w:hAnsi="Times New Roman" w:cs="Times New Roman"/>
        </w:rPr>
      </w:pPr>
      <w:r w:rsidRPr="000B1091">
        <w:rPr>
          <w:rFonts w:ascii="Times New Roman" w:eastAsia="Times New Roman" w:hAnsi="Times New Roman" w:cs="Times New Roman"/>
        </w:rPr>
        <w:t>Ultimately, NEPA is a source of strength and predictability. It helps</w:t>
      </w:r>
      <w:r w:rsidRPr="005470EC">
        <w:rPr>
          <w:rFonts w:ascii="Times New Roman" w:eastAsia="Times New Roman" w:hAnsi="Times New Roman" w:cs="Times New Roman"/>
        </w:rPr>
        <w:t xml:space="preserve"> lay the foundation for a</w:t>
      </w:r>
      <w:r w:rsidRPr="000B1091">
        <w:rPr>
          <w:rFonts w:ascii="Times New Roman" w:eastAsia="Times New Roman" w:hAnsi="Times New Roman" w:cs="Times New Roman"/>
        </w:rPr>
        <w:t xml:space="preserve"> company’s social license to operate (SLTO),</w:t>
      </w:r>
      <w:r w:rsidRPr="005470EC">
        <w:rPr>
          <w:rFonts w:ascii="Times New Roman" w:eastAsia="Times New Roman" w:hAnsi="Times New Roman" w:cs="Times New Roman"/>
        </w:rPr>
        <w:t xml:space="preserve"> </w:t>
      </w:r>
      <w:r w:rsidRPr="000B1091">
        <w:rPr>
          <w:rFonts w:ascii="Times New Roman" w:eastAsia="Times New Roman" w:hAnsi="Times New Roman" w:cs="Times New Roman"/>
        </w:rPr>
        <w:t>lowers investment risk</w:t>
      </w:r>
      <w:r w:rsidRPr="005470EC">
        <w:rPr>
          <w:rFonts w:ascii="Times New Roman" w:eastAsia="Times New Roman" w:hAnsi="Times New Roman" w:cs="Times New Roman"/>
        </w:rPr>
        <w:t>,</w:t>
      </w:r>
      <w:r w:rsidRPr="000B1091">
        <w:rPr>
          <w:rFonts w:ascii="Times New Roman" w:eastAsia="Times New Roman" w:hAnsi="Times New Roman" w:cs="Times New Roman"/>
        </w:rPr>
        <w:t xml:space="preserve"> and reduces uncertainty as compared to jurisdictions without a similar public outreach process.</w:t>
      </w:r>
      <w:r>
        <w:rPr>
          <w:rFonts w:ascii="Times New Roman" w:eastAsia="Times New Roman" w:hAnsi="Times New Roman" w:cs="Times New Roman"/>
        </w:rPr>
        <w:t xml:space="preserve"> Waiving NEPA increases project uncertainty and delay by inviting needless litigation and stoking community opposition. </w:t>
      </w:r>
    </w:p>
    <w:p w14:paraId="0F4A2FE3" w14:textId="77777777" w:rsidR="00E57958" w:rsidRDefault="00E57958" w:rsidP="00111A56">
      <w:pPr>
        <w:rPr>
          <w:rFonts w:ascii="Times New Roman" w:eastAsia="Times New Roman" w:hAnsi="Times New Roman" w:cs="Times New Roman"/>
        </w:rPr>
      </w:pPr>
    </w:p>
    <w:p w14:paraId="2C1BDCDA" w14:textId="57CC7653" w:rsidR="00E57958" w:rsidRDefault="00E57958" w:rsidP="00111A56">
      <w:pPr>
        <w:rPr>
          <w:rFonts w:ascii="Times New Roman" w:eastAsia="Times New Roman" w:hAnsi="Times New Roman" w:cs="Times New Roman"/>
        </w:rPr>
      </w:pPr>
      <w:r>
        <w:rPr>
          <w:rFonts w:ascii="Times New Roman" w:eastAsia="Times New Roman" w:hAnsi="Times New Roman" w:cs="Times New Roman"/>
        </w:rPr>
        <w:t xml:space="preserve">The NEPA waiver in H.R. 4606, increases project uncertainty and delay by inviting community opposition. It would essentially rubberstamp profit-driven corporations’ plans to build rushed and risk-filled projects that put our communities in danger. All while cutting out the same communities from having a voice in the decision. The bill is fundamentally unfair because it silences the very communities that are bound to bear the burdens of having these facilities virtually in their backyards. Moreover, this legislation will inevitably lower the quality of the </w:t>
      </w:r>
      <w:r>
        <w:rPr>
          <w:rFonts w:ascii="Times New Roman" w:eastAsia="Times New Roman" w:hAnsi="Times New Roman" w:cs="Times New Roman"/>
        </w:rPr>
        <w:lastRenderedPageBreak/>
        <w:t xml:space="preserve">facilities because it seeks to eliminate any mechanism to hold the facilities’ builder/operator accountable for the dangerous consequences of inadequate construction or operation. </w:t>
      </w:r>
    </w:p>
    <w:p w14:paraId="600E0B04" w14:textId="77777777" w:rsidR="008C4700" w:rsidRDefault="008C4700" w:rsidP="00111A56">
      <w:pPr>
        <w:rPr>
          <w:rFonts w:ascii="Times New Roman" w:eastAsia="Times New Roman" w:hAnsi="Times New Roman" w:cs="Times New Roman"/>
        </w:rPr>
      </w:pPr>
    </w:p>
    <w:p w14:paraId="37BC0CE2" w14:textId="1C563B75" w:rsidR="00111A56" w:rsidRPr="008C4700" w:rsidRDefault="008C4700" w:rsidP="00A5119E">
      <w:pPr>
        <w:rPr>
          <w:rFonts w:ascii="Times New Roman" w:eastAsia="Times New Roman" w:hAnsi="Times New Roman" w:cs="Times New Roman"/>
        </w:rPr>
      </w:pPr>
      <w:r w:rsidRPr="005470EC">
        <w:rPr>
          <w:rFonts w:ascii="Times New Roman" w:hAnsi="Times New Roman" w:cs="Times New Roman"/>
        </w:rPr>
        <w:t>On July 25,</w:t>
      </w:r>
      <w:r>
        <w:rPr>
          <w:rFonts w:ascii="Times New Roman" w:hAnsi="Times New Roman" w:cs="Times New Roman"/>
        </w:rPr>
        <w:t xml:space="preserve"> </w:t>
      </w:r>
      <w:r w:rsidRPr="005470EC">
        <w:rPr>
          <w:rFonts w:ascii="Times New Roman" w:hAnsi="Times New Roman" w:cs="Times New Roman"/>
        </w:rPr>
        <w:t>2018, the Depar</w:t>
      </w:r>
      <w:r>
        <w:rPr>
          <w:rFonts w:ascii="Times New Roman" w:hAnsi="Times New Roman" w:cs="Times New Roman"/>
        </w:rPr>
        <w:t>t</w:t>
      </w:r>
      <w:r w:rsidRPr="005470EC">
        <w:rPr>
          <w:rFonts w:ascii="Times New Roman" w:hAnsi="Times New Roman" w:cs="Times New Roman"/>
        </w:rPr>
        <w:t>ment of Energy (DOE) finalized a rule that would expedite approvals for these identical facilities.</w:t>
      </w:r>
      <w:r>
        <w:rPr>
          <w:rStyle w:val="EndnoteReference"/>
          <w:rFonts w:ascii="Times New Roman" w:hAnsi="Times New Roman" w:cs="Times New Roman"/>
        </w:rPr>
        <w:endnoteReference w:id="2"/>
      </w:r>
      <w:r w:rsidRPr="005470EC">
        <w:rPr>
          <w:rFonts w:ascii="Times New Roman" w:hAnsi="Times New Roman" w:cs="Times New Roman"/>
        </w:rPr>
        <w:t xml:space="preserve"> The rule requires compliance with NEPA</w:t>
      </w:r>
      <w:r w:rsidR="00E57958">
        <w:rPr>
          <w:rFonts w:ascii="Times New Roman" w:hAnsi="Times New Roman" w:cs="Times New Roman"/>
        </w:rPr>
        <w:t xml:space="preserve"> and serves as evidence that a NEPA waiver is unnecessary to expedite permits and it is, in fact, dangerous</w:t>
      </w:r>
      <w:r w:rsidRPr="005470EC">
        <w:rPr>
          <w:rFonts w:ascii="Times New Roman" w:hAnsi="Times New Roman" w:cs="Times New Roman"/>
        </w:rPr>
        <w:t>.</w:t>
      </w:r>
      <w:r w:rsidRPr="005470EC">
        <w:rPr>
          <w:rFonts w:ascii="Times New Roman" w:eastAsia="Times New Roman" w:hAnsi="Times New Roman" w:cs="Times New Roman"/>
          <w:color w:val="333333"/>
          <w:sz w:val="21"/>
          <w:szCs w:val="21"/>
          <w:shd w:val="clear" w:color="auto" w:fill="D8D8D8"/>
        </w:rPr>
        <w:t xml:space="preserve"> </w:t>
      </w:r>
    </w:p>
    <w:p w14:paraId="15462257" w14:textId="77777777" w:rsidR="00A5119E" w:rsidRPr="005470EC" w:rsidRDefault="00A5119E" w:rsidP="00A5119E">
      <w:pPr>
        <w:rPr>
          <w:rFonts w:ascii="Times New Roman" w:hAnsi="Times New Roman" w:cs="Times New Roman"/>
        </w:rPr>
      </w:pPr>
    </w:p>
    <w:p w14:paraId="09E6B384" w14:textId="7D79F1EE" w:rsidR="00182C79" w:rsidRPr="009A32F2" w:rsidRDefault="00752563" w:rsidP="009A32F2">
      <w:pPr>
        <w:jc w:val="center"/>
        <w:rPr>
          <w:rFonts w:ascii="Times New Roman" w:hAnsi="Times New Roman" w:cs="Times New Roman"/>
          <w:b/>
        </w:rPr>
      </w:pPr>
      <w:r w:rsidRPr="009A32F2">
        <w:rPr>
          <w:rFonts w:ascii="Times New Roman" w:hAnsi="Times New Roman" w:cs="Times New Roman"/>
          <w:b/>
        </w:rPr>
        <w:t>H</w:t>
      </w:r>
      <w:r w:rsidR="009043A4">
        <w:rPr>
          <w:rFonts w:ascii="Times New Roman" w:hAnsi="Times New Roman" w:cs="Times New Roman"/>
          <w:b/>
        </w:rPr>
        <w:t>.</w:t>
      </w:r>
      <w:r w:rsidRPr="009A32F2">
        <w:rPr>
          <w:rFonts w:ascii="Times New Roman" w:hAnsi="Times New Roman" w:cs="Times New Roman"/>
          <w:b/>
        </w:rPr>
        <w:t>R</w:t>
      </w:r>
      <w:r w:rsidR="009043A4">
        <w:rPr>
          <w:rFonts w:ascii="Times New Roman" w:hAnsi="Times New Roman" w:cs="Times New Roman"/>
          <w:b/>
        </w:rPr>
        <w:t>.</w:t>
      </w:r>
      <w:r w:rsidRPr="009A32F2">
        <w:rPr>
          <w:rFonts w:ascii="Times New Roman" w:hAnsi="Times New Roman" w:cs="Times New Roman"/>
          <w:b/>
        </w:rPr>
        <w:t xml:space="preserve"> 4606 May</w:t>
      </w:r>
      <w:r w:rsidR="006E5189" w:rsidRPr="009A32F2">
        <w:rPr>
          <w:rFonts w:ascii="Times New Roman" w:hAnsi="Times New Roman" w:cs="Times New Roman"/>
          <w:b/>
        </w:rPr>
        <w:t xml:space="preserve"> Lead to More Takings of Private Land by Eminent Domain</w:t>
      </w:r>
    </w:p>
    <w:p w14:paraId="5B2006FC" w14:textId="77777777" w:rsidR="00802174" w:rsidRPr="005470EC" w:rsidRDefault="00802174" w:rsidP="00A5119E">
      <w:pPr>
        <w:rPr>
          <w:rFonts w:ascii="Times New Roman" w:hAnsi="Times New Roman" w:cs="Times New Roman"/>
        </w:rPr>
      </w:pPr>
    </w:p>
    <w:p w14:paraId="028E9CF9" w14:textId="12B12269" w:rsidR="00415C0A" w:rsidRDefault="004275DD" w:rsidP="00415C0A">
      <w:pPr>
        <w:rPr>
          <w:rFonts w:ascii="Times New Roman" w:eastAsia="Times New Roman" w:hAnsi="Times New Roman" w:cs="Times New Roman"/>
        </w:rPr>
      </w:pPr>
      <w:r w:rsidRPr="005470EC">
        <w:rPr>
          <w:rFonts w:ascii="Times New Roman" w:hAnsi="Times New Roman" w:cs="Times New Roman"/>
        </w:rPr>
        <w:t>H</w:t>
      </w:r>
      <w:r w:rsidR="009043A4">
        <w:rPr>
          <w:rFonts w:ascii="Times New Roman" w:hAnsi="Times New Roman" w:cs="Times New Roman"/>
        </w:rPr>
        <w:t>.</w:t>
      </w:r>
      <w:r w:rsidRPr="005470EC">
        <w:rPr>
          <w:rFonts w:ascii="Times New Roman" w:hAnsi="Times New Roman" w:cs="Times New Roman"/>
        </w:rPr>
        <w:t>R</w:t>
      </w:r>
      <w:r w:rsidR="009043A4">
        <w:rPr>
          <w:rFonts w:ascii="Times New Roman" w:hAnsi="Times New Roman" w:cs="Times New Roman"/>
        </w:rPr>
        <w:t>.</w:t>
      </w:r>
      <w:r w:rsidRPr="005470EC">
        <w:rPr>
          <w:rFonts w:ascii="Times New Roman" w:hAnsi="Times New Roman" w:cs="Times New Roman"/>
        </w:rPr>
        <w:t xml:space="preserve"> 4606</w:t>
      </w:r>
      <w:r w:rsidR="00752563" w:rsidRPr="005470EC">
        <w:rPr>
          <w:rFonts w:ascii="Times New Roman" w:hAnsi="Times New Roman" w:cs="Times New Roman"/>
        </w:rPr>
        <w:t xml:space="preserve"> tramples upon community consent and private property rights by </w:t>
      </w:r>
      <w:r w:rsidR="00FC2FBB">
        <w:rPr>
          <w:rFonts w:ascii="Times New Roman" w:hAnsi="Times New Roman" w:cs="Times New Roman"/>
        </w:rPr>
        <w:t>potentially</w:t>
      </w:r>
      <w:r w:rsidR="00752563" w:rsidRPr="005470EC">
        <w:rPr>
          <w:rFonts w:ascii="Times New Roman" w:hAnsi="Times New Roman" w:cs="Times New Roman"/>
        </w:rPr>
        <w:t xml:space="preserve"> subjecting more private land to takings by eminent domain. </w:t>
      </w:r>
      <w:r w:rsidR="00802174" w:rsidRPr="005470EC">
        <w:rPr>
          <w:rFonts w:ascii="Times New Roman" w:hAnsi="Times New Roman" w:cs="Times New Roman"/>
        </w:rPr>
        <w:t xml:space="preserve">The Natural Gas Act confers upon holders of a Certificate of Public Convenience and Necessity (CPCN) the </w:t>
      </w:r>
      <w:r w:rsidR="000B1091" w:rsidRPr="005470EC">
        <w:rPr>
          <w:rFonts w:ascii="Times New Roman" w:hAnsi="Times New Roman" w:cs="Times New Roman"/>
        </w:rPr>
        <w:t>ability to take</w:t>
      </w:r>
      <w:r w:rsidR="00802174" w:rsidRPr="005470EC">
        <w:rPr>
          <w:rFonts w:ascii="Times New Roman" w:hAnsi="Times New Roman" w:cs="Times New Roman"/>
        </w:rPr>
        <w:t xml:space="preserve"> private land by eminent domain.</w:t>
      </w:r>
      <w:r w:rsidR="00D0747B" w:rsidRPr="005470EC">
        <w:rPr>
          <w:rStyle w:val="EndnoteReference"/>
          <w:rFonts w:ascii="Times New Roman" w:hAnsi="Times New Roman" w:cs="Times New Roman"/>
        </w:rPr>
        <w:endnoteReference w:id="3"/>
      </w:r>
      <w:r w:rsidR="00D0747B" w:rsidRPr="005470EC">
        <w:rPr>
          <w:rFonts w:ascii="Times New Roman" w:hAnsi="Times New Roman" w:cs="Times New Roman"/>
        </w:rPr>
        <w:t xml:space="preserve"> </w:t>
      </w:r>
      <w:r w:rsidR="003365AA" w:rsidRPr="005470EC">
        <w:rPr>
          <w:rFonts w:ascii="Times New Roman" w:hAnsi="Times New Roman" w:cs="Times New Roman"/>
        </w:rPr>
        <w:t xml:space="preserve">H.R. 4606 mandates that these lower volume natural gas </w:t>
      </w:r>
      <w:r w:rsidR="00747198">
        <w:rPr>
          <w:rFonts w:ascii="Times New Roman" w:hAnsi="Times New Roman" w:cs="Times New Roman"/>
        </w:rPr>
        <w:t>import/</w:t>
      </w:r>
      <w:r w:rsidR="003365AA" w:rsidRPr="005470EC">
        <w:rPr>
          <w:rFonts w:ascii="Times New Roman" w:hAnsi="Times New Roman" w:cs="Times New Roman"/>
        </w:rPr>
        <w:t xml:space="preserve">export facilities are in the public interest, </w:t>
      </w:r>
      <w:r w:rsidR="00642B43">
        <w:rPr>
          <w:rFonts w:ascii="Times New Roman" w:hAnsi="Times New Roman" w:cs="Times New Roman"/>
        </w:rPr>
        <w:t>effectively requiring F</w:t>
      </w:r>
      <w:r w:rsidR="00747198">
        <w:rPr>
          <w:rFonts w:ascii="Times New Roman" w:hAnsi="Times New Roman" w:cs="Times New Roman"/>
        </w:rPr>
        <w:t xml:space="preserve">ERC issue these </w:t>
      </w:r>
      <w:r w:rsidR="00642B43">
        <w:rPr>
          <w:rFonts w:ascii="Times New Roman" w:hAnsi="Times New Roman" w:cs="Times New Roman"/>
        </w:rPr>
        <w:t xml:space="preserve">permit seekers a CPCN. If permittees cannot negotiate agreements with private landowners, current law allows permittees to seize their land through eminent domain. </w:t>
      </w:r>
      <w:r w:rsidR="00D0747B" w:rsidRPr="005470EC">
        <w:rPr>
          <w:rFonts w:ascii="Times New Roman" w:eastAsia="Times New Roman" w:hAnsi="Times New Roman" w:cs="Times New Roman"/>
        </w:rPr>
        <w:t>Fast tracking takings of private land will only alienate landowners and communities</w:t>
      </w:r>
      <w:r w:rsidR="00642B43">
        <w:rPr>
          <w:rFonts w:ascii="Times New Roman" w:eastAsia="Times New Roman" w:hAnsi="Times New Roman" w:cs="Times New Roman"/>
        </w:rPr>
        <w:t>. It could also undermine the purpose of this bill by leading to needless litigation and</w:t>
      </w:r>
      <w:r w:rsidR="00D0747B" w:rsidRPr="005470EC">
        <w:rPr>
          <w:rFonts w:ascii="Times New Roman" w:eastAsia="Times New Roman" w:hAnsi="Times New Roman" w:cs="Times New Roman"/>
        </w:rPr>
        <w:t xml:space="preserve"> additional delays</w:t>
      </w:r>
      <w:r w:rsidR="00642B43">
        <w:rPr>
          <w:rFonts w:ascii="Times New Roman" w:eastAsia="Times New Roman" w:hAnsi="Times New Roman" w:cs="Times New Roman"/>
        </w:rPr>
        <w:t>.</w:t>
      </w:r>
    </w:p>
    <w:p w14:paraId="5461093A" w14:textId="77777777" w:rsidR="00642B43" w:rsidRDefault="00642B43" w:rsidP="00415C0A">
      <w:pPr>
        <w:rPr>
          <w:rFonts w:ascii="Times New Roman" w:eastAsia="Times New Roman" w:hAnsi="Times New Roman" w:cs="Times New Roman"/>
        </w:rPr>
      </w:pPr>
    </w:p>
    <w:p w14:paraId="29ABDB3A" w14:textId="00B94719" w:rsidR="00642B43" w:rsidRPr="00642B43" w:rsidRDefault="00C613D3" w:rsidP="00415C0A">
      <w:pPr>
        <w:rPr>
          <w:rFonts w:ascii="Times New Roman" w:hAnsi="Times New Roman" w:cs="Times New Roman"/>
        </w:rPr>
      </w:pPr>
      <w:r>
        <w:rPr>
          <w:rFonts w:ascii="Times New Roman" w:hAnsi="Times New Roman" w:cs="Times New Roman"/>
        </w:rPr>
        <w:t>The Federal G</w:t>
      </w:r>
      <w:r w:rsidR="00642B43" w:rsidRPr="005470EC">
        <w:rPr>
          <w:rFonts w:ascii="Times New Roman" w:hAnsi="Times New Roman" w:cs="Times New Roman"/>
        </w:rPr>
        <w:t xml:space="preserve">overnment conferring upon a natural gas export project applicant (sometimes foreign-owned) the power to seize Americans’ private property undermines basic notions of </w:t>
      </w:r>
      <w:r w:rsidR="00A822B0">
        <w:rPr>
          <w:rFonts w:ascii="Times New Roman" w:hAnsi="Times New Roman" w:cs="Times New Roman"/>
        </w:rPr>
        <w:t xml:space="preserve">public use and </w:t>
      </w:r>
      <w:r>
        <w:rPr>
          <w:rFonts w:ascii="Times New Roman" w:hAnsi="Times New Roman" w:cs="Times New Roman"/>
        </w:rPr>
        <w:t>what is truly in t</w:t>
      </w:r>
      <w:r w:rsidR="00642B43" w:rsidRPr="005470EC">
        <w:rPr>
          <w:rFonts w:ascii="Times New Roman" w:hAnsi="Times New Roman" w:cs="Times New Roman"/>
        </w:rPr>
        <w:t xml:space="preserve">he public’s interest.  Where individual </w:t>
      </w:r>
      <w:r w:rsidR="00A822B0">
        <w:rPr>
          <w:rFonts w:ascii="Times New Roman" w:hAnsi="Times New Roman" w:cs="Times New Roman"/>
        </w:rPr>
        <w:t xml:space="preserve">low volume </w:t>
      </w:r>
      <w:r w:rsidR="00642B43" w:rsidRPr="005470EC">
        <w:rPr>
          <w:rFonts w:ascii="Times New Roman" w:hAnsi="Times New Roman" w:cs="Times New Roman"/>
        </w:rPr>
        <w:t>export projects do meet the public’s interest, current law allo</w:t>
      </w:r>
      <w:r>
        <w:rPr>
          <w:rFonts w:ascii="Times New Roman" w:hAnsi="Times New Roman" w:cs="Times New Roman"/>
        </w:rPr>
        <w:t>ws FERC</w:t>
      </w:r>
      <w:r w:rsidR="00642B43" w:rsidRPr="005470EC">
        <w:rPr>
          <w:rFonts w:ascii="Times New Roman" w:hAnsi="Times New Roman" w:cs="Times New Roman"/>
        </w:rPr>
        <w:t xml:space="preserve"> discretion</w:t>
      </w:r>
      <w:r>
        <w:rPr>
          <w:rFonts w:ascii="Times New Roman" w:hAnsi="Times New Roman" w:cs="Times New Roman"/>
        </w:rPr>
        <w:t xml:space="preserve"> to make that decision</w:t>
      </w:r>
      <w:r w:rsidR="00642B43" w:rsidRPr="005470EC">
        <w:rPr>
          <w:rFonts w:ascii="Times New Roman" w:hAnsi="Times New Roman" w:cs="Times New Roman"/>
        </w:rPr>
        <w:t>. H</w:t>
      </w:r>
      <w:r>
        <w:rPr>
          <w:rFonts w:ascii="Times New Roman" w:hAnsi="Times New Roman" w:cs="Times New Roman"/>
        </w:rPr>
        <w:t>.</w:t>
      </w:r>
      <w:r w:rsidR="00642B43" w:rsidRPr="005470EC">
        <w:rPr>
          <w:rFonts w:ascii="Times New Roman" w:hAnsi="Times New Roman" w:cs="Times New Roman"/>
        </w:rPr>
        <w:t>R</w:t>
      </w:r>
      <w:r>
        <w:rPr>
          <w:rFonts w:ascii="Times New Roman" w:hAnsi="Times New Roman" w:cs="Times New Roman"/>
        </w:rPr>
        <w:t>.</w:t>
      </w:r>
      <w:r w:rsidR="00642B43" w:rsidRPr="005470EC">
        <w:rPr>
          <w:rFonts w:ascii="Times New Roman" w:hAnsi="Times New Roman" w:cs="Times New Roman"/>
        </w:rPr>
        <w:t xml:space="preserve"> 4606, by contrast, </w:t>
      </w:r>
      <w:r w:rsidR="008C4700">
        <w:rPr>
          <w:rFonts w:ascii="Times New Roman" w:hAnsi="Times New Roman" w:cs="Times New Roman"/>
        </w:rPr>
        <w:t>removes</w:t>
      </w:r>
      <w:r w:rsidR="00A822B0">
        <w:rPr>
          <w:rFonts w:ascii="Times New Roman" w:hAnsi="Times New Roman" w:cs="Times New Roman"/>
        </w:rPr>
        <w:t xml:space="preserve"> this </w:t>
      </w:r>
      <w:r w:rsidR="008C4700">
        <w:rPr>
          <w:rFonts w:ascii="Times New Roman" w:hAnsi="Times New Roman" w:cs="Times New Roman"/>
        </w:rPr>
        <w:t>discretion</w:t>
      </w:r>
      <w:r w:rsidR="00A822B0">
        <w:rPr>
          <w:rFonts w:ascii="Times New Roman" w:hAnsi="Times New Roman" w:cs="Times New Roman"/>
        </w:rPr>
        <w:t>. Policymakers concerned about government overreach, energy security, private property rights, local control, protection of air, water, climate, wildlife, or public health</w:t>
      </w:r>
      <w:r w:rsidR="008C4700">
        <w:rPr>
          <w:rFonts w:ascii="Times New Roman" w:hAnsi="Times New Roman" w:cs="Times New Roman"/>
        </w:rPr>
        <w:t xml:space="preserve"> </w:t>
      </w:r>
      <w:r w:rsidR="000E3CCA">
        <w:rPr>
          <w:rFonts w:ascii="Times New Roman" w:hAnsi="Times New Roman" w:cs="Times New Roman"/>
        </w:rPr>
        <w:t xml:space="preserve">should not support legislation that both condones taking private land and removes the public’s voice from our Government’s decision-making. </w:t>
      </w:r>
    </w:p>
    <w:p w14:paraId="395B598B" w14:textId="77777777" w:rsidR="000B1091" w:rsidRPr="000B1091" w:rsidRDefault="000B1091" w:rsidP="000B1091">
      <w:pPr>
        <w:rPr>
          <w:rFonts w:ascii="Times New Roman" w:eastAsia="Times New Roman" w:hAnsi="Times New Roman" w:cs="Times New Roman"/>
        </w:rPr>
      </w:pPr>
    </w:p>
    <w:p w14:paraId="78689017" w14:textId="5FE7F04A" w:rsidR="000B1091" w:rsidRPr="008C4700" w:rsidRDefault="00ED2BCA" w:rsidP="008C4700">
      <w:pPr>
        <w:jc w:val="center"/>
        <w:rPr>
          <w:rFonts w:ascii="Times New Roman" w:hAnsi="Times New Roman" w:cs="Times New Roman"/>
          <w:b/>
        </w:rPr>
      </w:pPr>
      <w:r w:rsidRPr="008C4700">
        <w:rPr>
          <w:rFonts w:ascii="Times New Roman" w:hAnsi="Times New Roman" w:cs="Times New Roman"/>
          <w:b/>
        </w:rPr>
        <w:t>Conclusion</w:t>
      </w:r>
    </w:p>
    <w:p w14:paraId="27C8DD8B" w14:textId="77777777" w:rsidR="00ED2BCA" w:rsidRDefault="00ED2BCA" w:rsidP="00A5119E">
      <w:pPr>
        <w:rPr>
          <w:rFonts w:ascii="Times New Roman" w:hAnsi="Times New Roman" w:cs="Times New Roman"/>
        </w:rPr>
      </w:pPr>
    </w:p>
    <w:p w14:paraId="5FFA3C12" w14:textId="3F1C9B1F" w:rsidR="00ED2BCA" w:rsidRPr="005470EC" w:rsidRDefault="00AC6568" w:rsidP="00A5119E">
      <w:pPr>
        <w:rPr>
          <w:rFonts w:ascii="Times New Roman" w:hAnsi="Times New Roman" w:cs="Times New Roman"/>
        </w:rPr>
      </w:pPr>
      <w:r>
        <w:rPr>
          <w:rFonts w:ascii="Times New Roman" w:hAnsi="Times New Roman" w:cs="Times New Roman"/>
        </w:rPr>
        <w:t xml:space="preserve">Drilling for oil and gas results in pollution of air, water, climate, </w:t>
      </w:r>
      <w:r w:rsidR="000E3CCA">
        <w:rPr>
          <w:rFonts w:ascii="Times New Roman" w:hAnsi="Times New Roman" w:cs="Times New Roman"/>
        </w:rPr>
        <w:t xml:space="preserve">wildlife, </w:t>
      </w:r>
      <w:r>
        <w:rPr>
          <w:rFonts w:ascii="Times New Roman" w:hAnsi="Times New Roman" w:cs="Times New Roman"/>
        </w:rPr>
        <w:t xml:space="preserve">and harms public health.  Exporting America’s resources to foreign nations while creating domestic environmental and public health impacts is not in the public interest. </w:t>
      </w:r>
      <w:r w:rsidR="00BF20DD">
        <w:rPr>
          <w:rFonts w:ascii="Times New Roman" w:hAnsi="Times New Roman" w:cs="Times New Roman"/>
        </w:rPr>
        <w:t>Nor is</w:t>
      </w:r>
      <w:r>
        <w:rPr>
          <w:rFonts w:ascii="Times New Roman" w:hAnsi="Times New Roman" w:cs="Times New Roman"/>
        </w:rPr>
        <w:t xml:space="preserve"> cutting the public out of the process </w:t>
      </w:r>
      <w:r w:rsidR="00F70720">
        <w:rPr>
          <w:rFonts w:ascii="Times New Roman" w:hAnsi="Times New Roman" w:cs="Times New Roman"/>
        </w:rPr>
        <w:t>by</w:t>
      </w:r>
      <w:r w:rsidR="00BF20DD">
        <w:rPr>
          <w:rFonts w:ascii="Times New Roman" w:hAnsi="Times New Roman" w:cs="Times New Roman"/>
        </w:rPr>
        <w:t xml:space="preserve"> which</w:t>
      </w:r>
      <w:r>
        <w:rPr>
          <w:rFonts w:ascii="Times New Roman" w:hAnsi="Times New Roman" w:cs="Times New Roman"/>
        </w:rPr>
        <w:t xml:space="preserve"> we express our interest. Congress sh</w:t>
      </w:r>
      <w:r w:rsidR="00856C70">
        <w:rPr>
          <w:rFonts w:ascii="Times New Roman" w:hAnsi="Times New Roman" w:cs="Times New Roman"/>
        </w:rPr>
        <w:t>ould not</w:t>
      </w:r>
      <w:r w:rsidR="000E3CCA">
        <w:rPr>
          <w:rFonts w:ascii="Times New Roman" w:hAnsi="Times New Roman" w:cs="Times New Roman"/>
        </w:rPr>
        <w:t xml:space="preserve"> </w:t>
      </w:r>
      <w:r w:rsidR="00856C70">
        <w:rPr>
          <w:rFonts w:ascii="Times New Roman" w:hAnsi="Times New Roman" w:cs="Times New Roman"/>
        </w:rPr>
        <w:t xml:space="preserve">create laws to </w:t>
      </w:r>
      <w:r w:rsidR="000E3CCA">
        <w:rPr>
          <w:rFonts w:ascii="Times New Roman" w:hAnsi="Times New Roman" w:cs="Times New Roman"/>
        </w:rPr>
        <w:t xml:space="preserve">export our natural resources wealth </w:t>
      </w:r>
      <w:r w:rsidR="00856C70">
        <w:rPr>
          <w:rFonts w:ascii="Times New Roman" w:hAnsi="Times New Roman" w:cs="Times New Roman"/>
        </w:rPr>
        <w:t xml:space="preserve">at the expense of our environment </w:t>
      </w:r>
      <w:r w:rsidR="000E3CCA">
        <w:rPr>
          <w:rFonts w:ascii="Times New Roman" w:hAnsi="Times New Roman" w:cs="Times New Roman"/>
        </w:rPr>
        <w:t xml:space="preserve">while simultaneously </w:t>
      </w:r>
      <w:r>
        <w:rPr>
          <w:rFonts w:ascii="Times New Roman" w:hAnsi="Times New Roman" w:cs="Times New Roman"/>
        </w:rPr>
        <w:t>limit</w:t>
      </w:r>
      <w:r w:rsidR="000E3CCA">
        <w:rPr>
          <w:rFonts w:ascii="Times New Roman" w:hAnsi="Times New Roman" w:cs="Times New Roman"/>
        </w:rPr>
        <w:t>ing</w:t>
      </w:r>
      <w:r>
        <w:rPr>
          <w:rFonts w:ascii="Times New Roman" w:hAnsi="Times New Roman" w:cs="Times New Roman"/>
        </w:rPr>
        <w:t xml:space="preserve"> the rights of Americans to comment on natural gas export projects in their communities. </w:t>
      </w:r>
    </w:p>
    <w:p w14:paraId="2ECADED1" w14:textId="77777777" w:rsidR="00A5119E" w:rsidRPr="005470EC" w:rsidRDefault="00A5119E" w:rsidP="00A5119E">
      <w:pPr>
        <w:rPr>
          <w:rFonts w:ascii="Times New Roman" w:hAnsi="Times New Roman" w:cs="Times New Roman"/>
        </w:rPr>
      </w:pPr>
    </w:p>
    <w:p w14:paraId="0233CF04" w14:textId="77777777" w:rsidR="00182C79" w:rsidRPr="005470EC" w:rsidRDefault="00182C79">
      <w:pPr>
        <w:rPr>
          <w:rFonts w:ascii="Times New Roman" w:hAnsi="Times New Roman" w:cs="Times New Roman"/>
        </w:rPr>
      </w:pPr>
    </w:p>
    <w:sectPr w:rsidR="00182C79" w:rsidRPr="005470EC" w:rsidSect="0064115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B2003" w14:textId="77777777" w:rsidR="007D2DE3" w:rsidRDefault="007D2DE3" w:rsidP="00D0747B">
      <w:r>
        <w:separator/>
      </w:r>
    </w:p>
  </w:endnote>
  <w:endnote w:type="continuationSeparator" w:id="0">
    <w:p w14:paraId="78277220" w14:textId="77777777" w:rsidR="007D2DE3" w:rsidRDefault="007D2DE3" w:rsidP="00D0747B">
      <w:r>
        <w:continuationSeparator/>
      </w:r>
    </w:p>
  </w:endnote>
  <w:endnote w:id="1">
    <w:p w14:paraId="11BFBFA8" w14:textId="440A62FF" w:rsidR="00856C70" w:rsidRDefault="00856C70">
      <w:pPr>
        <w:pStyle w:val="EndnoteText"/>
      </w:pPr>
      <w:r>
        <w:rPr>
          <w:rStyle w:val="EndnoteReference"/>
        </w:rPr>
        <w:endnoteRef/>
      </w:r>
      <w:r>
        <w:t xml:space="preserve"> </w:t>
      </w:r>
      <w:r w:rsidRPr="00856C70">
        <w:rPr>
          <w:rFonts w:ascii="Times New Roman" w:hAnsi="Times New Roman" w:cs="Times New Roman"/>
        </w:rPr>
        <w:t>42 U.S.C. 4321 et seq. (1970)</w:t>
      </w:r>
    </w:p>
  </w:endnote>
  <w:endnote w:id="2">
    <w:p w14:paraId="10769529" w14:textId="300091F1" w:rsidR="008C4700" w:rsidRDefault="008C4700">
      <w:pPr>
        <w:pStyle w:val="EndnoteText"/>
      </w:pPr>
      <w:r>
        <w:rPr>
          <w:rStyle w:val="EndnoteReference"/>
        </w:rPr>
        <w:endnoteRef/>
      </w:r>
      <w:r>
        <w:t xml:space="preserve"> </w:t>
      </w:r>
      <w:r w:rsidRPr="005470EC">
        <w:rPr>
          <w:rFonts w:ascii="Times New Roman" w:hAnsi="Times New Roman" w:cs="Times New Roman"/>
        </w:rPr>
        <w:t>83 F</w:t>
      </w:r>
      <w:r w:rsidR="00856C70">
        <w:rPr>
          <w:rFonts w:ascii="Times New Roman" w:hAnsi="Times New Roman" w:cs="Times New Roman"/>
        </w:rPr>
        <w:t xml:space="preserve">ed </w:t>
      </w:r>
      <w:r w:rsidRPr="005470EC">
        <w:rPr>
          <w:rFonts w:ascii="Times New Roman" w:hAnsi="Times New Roman" w:cs="Times New Roman"/>
        </w:rPr>
        <w:t>R</w:t>
      </w:r>
      <w:r w:rsidR="00856C70">
        <w:rPr>
          <w:rFonts w:ascii="Times New Roman" w:hAnsi="Times New Roman" w:cs="Times New Roman"/>
        </w:rPr>
        <w:t>eg.</w:t>
      </w:r>
      <w:r w:rsidRPr="005470EC">
        <w:rPr>
          <w:rFonts w:ascii="Times New Roman" w:hAnsi="Times New Roman" w:cs="Times New Roman"/>
        </w:rPr>
        <w:t xml:space="preserve"> 35106</w:t>
      </w:r>
      <w:r w:rsidR="00856C70">
        <w:rPr>
          <w:rFonts w:ascii="Times New Roman" w:hAnsi="Times New Roman" w:cs="Times New Roman"/>
        </w:rPr>
        <w:t xml:space="preserve"> (July 25,2018)</w:t>
      </w:r>
    </w:p>
  </w:endnote>
  <w:endnote w:id="3">
    <w:p w14:paraId="4BF40D5A" w14:textId="23F3556F" w:rsidR="00D0747B" w:rsidRDefault="00D0747B">
      <w:pPr>
        <w:pStyle w:val="EndnoteText"/>
      </w:pPr>
      <w:r>
        <w:rPr>
          <w:rStyle w:val="EndnoteReference"/>
        </w:rPr>
        <w:endnoteRef/>
      </w:r>
      <w:r>
        <w:t xml:space="preserve"> </w:t>
      </w:r>
      <w:r w:rsidRPr="00415C0A">
        <w:rPr>
          <w:rFonts w:ascii="Times New Roman" w:eastAsia="Times New Roman" w:hAnsi="Times New Roman" w:cs="Times New Roman"/>
        </w:rPr>
        <w:t>Section 7(h) of the Natural Gas Act: When any holder of a certificate of public convenience and necessity cannot acquire by contract, or is unable to agree with the owner of property to the compensation… it may acquire the same by the exercise of the right of eminent domain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40402" w14:textId="77777777" w:rsidR="007D2DE3" w:rsidRDefault="007D2DE3" w:rsidP="00D0747B">
      <w:r>
        <w:separator/>
      </w:r>
    </w:p>
  </w:footnote>
  <w:footnote w:type="continuationSeparator" w:id="0">
    <w:p w14:paraId="7886826D" w14:textId="77777777" w:rsidR="007D2DE3" w:rsidRDefault="007D2DE3" w:rsidP="00D074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79"/>
    <w:rsid w:val="0000367B"/>
    <w:rsid w:val="000713F8"/>
    <w:rsid w:val="0008192A"/>
    <w:rsid w:val="000A4AB6"/>
    <w:rsid w:val="000B1091"/>
    <w:rsid w:val="000E3CCA"/>
    <w:rsid w:val="000F1D29"/>
    <w:rsid w:val="00111A56"/>
    <w:rsid w:val="00182C79"/>
    <w:rsid w:val="001E6B07"/>
    <w:rsid w:val="002369D7"/>
    <w:rsid w:val="0028383D"/>
    <w:rsid w:val="00283E17"/>
    <w:rsid w:val="003365AA"/>
    <w:rsid w:val="00397CF4"/>
    <w:rsid w:val="003C0815"/>
    <w:rsid w:val="003F13D0"/>
    <w:rsid w:val="00415C0A"/>
    <w:rsid w:val="004275DD"/>
    <w:rsid w:val="004C2F50"/>
    <w:rsid w:val="00527D7D"/>
    <w:rsid w:val="005470EC"/>
    <w:rsid w:val="005C0ED3"/>
    <w:rsid w:val="0064115E"/>
    <w:rsid w:val="00642B43"/>
    <w:rsid w:val="006E5189"/>
    <w:rsid w:val="00747198"/>
    <w:rsid w:val="00752563"/>
    <w:rsid w:val="007D2DE3"/>
    <w:rsid w:val="00802174"/>
    <w:rsid w:val="00856C70"/>
    <w:rsid w:val="008C4700"/>
    <w:rsid w:val="008E535F"/>
    <w:rsid w:val="008F186D"/>
    <w:rsid w:val="008F7762"/>
    <w:rsid w:val="009043A4"/>
    <w:rsid w:val="00992324"/>
    <w:rsid w:val="009A32F2"/>
    <w:rsid w:val="00A20569"/>
    <w:rsid w:val="00A305D3"/>
    <w:rsid w:val="00A5119E"/>
    <w:rsid w:val="00A60F5E"/>
    <w:rsid w:val="00A822B0"/>
    <w:rsid w:val="00A959E5"/>
    <w:rsid w:val="00AC6568"/>
    <w:rsid w:val="00AD78A6"/>
    <w:rsid w:val="00B15DE8"/>
    <w:rsid w:val="00B67B6C"/>
    <w:rsid w:val="00B75C73"/>
    <w:rsid w:val="00BF20DD"/>
    <w:rsid w:val="00C613D3"/>
    <w:rsid w:val="00CD22CC"/>
    <w:rsid w:val="00D071A3"/>
    <w:rsid w:val="00D0747B"/>
    <w:rsid w:val="00D471D5"/>
    <w:rsid w:val="00D64411"/>
    <w:rsid w:val="00D70C59"/>
    <w:rsid w:val="00DC16E9"/>
    <w:rsid w:val="00DC55B0"/>
    <w:rsid w:val="00DF7A53"/>
    <w:rsid w:val="00E41817"/>
    <w:rsid w:val="00E42413"/>
    <w:rsid w:val="00E57958"/>
    <w:rsid w:val="00E817BC"/>
    <w:rsid w:val="00ED2BCA"/>
    <w:rsid w:val="00EF5759"/>
    <w:rsid w:val="00F305AF"/>
    <w:rsid w:val="00F70720"/>
    <w:rsid w:val="00FC2FBB"/>
    <w:rsid w:val="00FC5BE7"/>
    <w:rsid w:val="00FE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851EA7"/>
  <w15:chartTrackingRefBased/>
  <w15:docId w15:val="{19DD7BAD-F448-A24C-9E54-19042FC2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D0747B"/>
    <w:rPr>
      <w:sz w:val="20"/>
      <w:szCs w:val="20"/>
    </w:rPr>
  </w:style>
  <w:style w:type="character" w:customStyle="1" w:styleId="EndnoteTextChar">
    <w:name w:val="Endnote Text Char"/>
    <w:basedOn w:val="DefaultParagraphFont"/>
    <w:link w:val="EndnoteText"/>
    <w:uiPriority w:val="99"/>
    <w:semiHidden/>
    <w:rsid w:val="00D0747B"/>
    <w:rPr>
      <w:sz w:val="20"/>
      <w:szCs w:val="20"/>
    </w:rPr>
  </w:style>
  <w:style w:type="character" w:styleId="EndnoteReference">
    <w:name w:val="endnote reference"/>
    <w:basedOn w:val="DefaultParagraphFont"/>
    <w:uiPriority w:val="99"/>
    <w:semiHidden/>
    <w:unhideWhenUsed/>
    <w:rsid w:val="00D07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175244">
      <w:bodyDiv w:val="1"/>
      <w:marLeft w:val="0"/>
      <w:marRight w:val="0"/>
      <w:marTop w:val="0"/>
      <w:marBottom w:val="0"/>
      <w:divBdr>
        <w:top w:val="none" w:sz="0" w:space="0" w:color="auto"/>
        <w:left w:val="none" w:sz="0" w:space="0" w:color="auto"/>
        <w:bottom w:val="none" w:sz="0" w:space="0" w:color="auto"/>
        <w:right w:val="none" w:sz="0" w:space="0" w:color="auto"/>
      </w:divBdr>
    </w:div>
    <w:div w:id="366296234">
      <w:bodyDiv w:val="1"/>
      <w:marLeft w:val="0"/>
      <w:marRight w:val="0"/>
      <w:marTop w:val="0"/>
      <w:marBottom w:val="0"/>
      <w:divBdr>
        <w:top w:val="none" w:sz="0" w:space="0" w:color="auto"/>
        <w:left w:val="none" w:sz="0" w:space="0" w:color="auto"/>
        <w:bottom w:val="none" w:sz="0" w:space="0" w:color="auto"/>
        <w:right w:val="none" w:sz="0" w:space="0" w:color="auto"/>
      </w:divBdr>
    </w:div>
    <w:div w:id="882908948">
      <w:bodyDiv w:val="1"/>
      <w:marLeft w:val="0"/>
      <w:marRight w:val="0"/>
      <w:marTop w:val="0"/>
      <w:marBottom w:val="0"/>
      <w:divBdr>
        <w:top w:val="none" w:sz="0" w:space="0" w:color="auto"/>
        <w:left w:val="none" w:sz="0" w:space="0" w:color="auto"/>
        <w:bottom w:val="none" w:sz="0" w:space="0" w:color="auto"/>
        <w:right w:val="none" w:sz="0" w:space="0" w:color="auto"/>
      </w:divBdr>
    </w:div>
    <w:div w:id="1244799185">
      <w:bodyDiv w:val="1"/>
      <w:marLeft w:val="0"/>
      <w:marRight w:val="0"/>
      <w:marTop w:val="0"/>
      <w:marBottom w:val="0"/>
      <w:divBdr>
        <w:top w:val="none" w:sz="0" w:space="0" w:color="auto"/>
        <w:left w:val="none" w:sz="0" w:space="0" w:color="auto"/>
        <w:bottom w:val="none" w:sz="0" w:space="0" w:color="auto"/>
        <w:right w:val="none" w:sz="0" w:space="0" w:color="auto"/>
      </w:divBdr>
    </w:div>
    <w:div w:id="1315331866">
      <w:bodyDiv w:val="1"/>
      <w:marLeft w:val="0"/>
      <w:marRight w:val="0"/>
      <w:marTop w:val="0"/>
      <w:marBottom w:val="0"/>
      <w:divBdr>
        <w:top w:val="none" w:sz="0" w:space="0" w:color="auto"/>
        <w:left w:val="none" w:sz="0" w:space="0" w:color="auto"/>
        <w:bottom w:val="none" w:sz="0" w:space="0" w:color="auto"/>
        <w:right w:val="none" w:sz="0" w:space="0" w:color="auto"/>
      </w:divBdr>
    </w:div>
    <w:div w:id="20947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2018-09-05T16:50:00Z</dcterms:created>
  <dcterms:modified xsi:type="dcterms:W3CDTF">2018-09-05T16:50:00Z</dcterms:modified>
</cp:coreProperties>
</file>